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7 -->
  <w:body>
    <w:p>
      <w:pPr>
        <w:rPr>
          <w:rFonts w:ascii="arial" w:eastAsia="arial" w:hAnsi="arial" w:cs="arial"/>
          <w:sz w:val="20"/>
          <w:lang w:val="en-US" w:eastAsia="en-US" w:bidi="ar-SA"/>
        </w:rPr>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 w:history="1">
        <w:r>
          <w:rPr>
            <w:rFonts w:ascii="arial" w:eastAsia="arial" w:hAnsi="arial" w:cs="arial"/>
            <w:b/>
            <w:bCs/>
            <w:i/>
            <w:color w:val="0077CC"/>
            <w:kern w:val="32"/>
            <w:sz w:val="28"/>
            <w:szCs w:val="32"/>
            <w:u w:val="single"/>
            <w:shd w:val="clear" w:color="auto" w:fill="FFFFFF"/>
            <w:lang w:val="en-US" w:eastAsia="en-US" w:bidi="ar-SA"/>
          </w:rPr>
          <w:t>Aldred v. Colbeck, [2010] B.C.J. No. 89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I.H. Pitfield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26-30,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20,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S084476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[2010] B.C.J. No. 89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BCSC 57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4 B.C.L.R. (5th) 364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48 C.E.L.R. (3d) 207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CarswellBC 112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184 A.C.W.S. (3d) 1022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Susan Aldred, Plaintiff, and Alexander Colbeck and Lynda Colbeck,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(89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25" style="position:absolute;z-index:2516582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0" w:name="Keywords"/>
      <w:bookmarkEnd w:id="0"/>
      <w:r>
        <w:rPr>
          <w:rFonts w:ascii="arial" w:eastAsia="arial" w:hAnsi="arial" w:cs="arial"/>
          <w:b/>
          <w:color w:val="000000"/>
          <w:sz w:val="20"/>
          <w:lang w:val="en-US" w:eastAsia="en-US" w:bidi="ar-SA"/>
        </w:rPr>
        <w:t>Damages — For torts — Fraud and misrepresentation — Action by purchaser for negligent misrepresentation and costs of remediation allowed in part — At time plaintiff entered into agreement of purchase and sale for property, advised that oil tank had been decommissioned — Elements of negligent misrepresentation proved — Special relationship existed between parties which gave rise to duty of care — Defendants' representation that oil tank decommissioned was false, inaccurate and misleading, and negligently made — Plaintiff relied on misrepresentation and reliance reasonable — As result of reliance, plaintiff sustained costs of remediation of property and loss of $6,123 on sale of former home — Other damages too remote.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Real property law — Sale of land — Misrepresentation — Negligent misrepresentation — Action by purchaser for negligent misrepresentation and costs of remediation allowed in part — At time plaintiff entered into agreement of purchase and sale for property, advised that oil tank had been decommissioned — Elements of negligent misrepresentation proved — Special relationship existed between parties which gave rise to duty of care — Defendants' representation that oil tank decommissioned was false, inaccurate and misleading, and negligently made — Plaintiff relied on misrepresentation and reliance reasonable — As result of reliance, plaintiff sustained costs of remediation of property and loss of $6,123 on sale of former home — Other damages too remote.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Fraud and misrepresentation — Negligent misrepresentation (Hedley Byrne principle) — Particular relationships — Sale of land — Action by purchaser for negligent misrepresentation and costs of remediation allowed in part — At time plaintiff entered into agreement of purchase and sale for property, advised that oil tank had been decommissioned — Elements of negligent misrepresentation proved — Special relationship existed between parties which gave rise to duty of care — Defendants' representation that oil tank decommissioned was false, inaccurate and misleading, and negligently made — Plaintiff relied on misrepresentation and reliance reasonable — As result of reliance, plaintiff sustained costs of remediation of property and loss of $6,123 on sale of former home — Other damages too remote.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 w:name="Case Summary"/>
            <w:bookmarkEnd w:id="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purchaser for negligent misrepresentation and costs of remediation in relation to soil contamination caused by an underground storage tank on a residential property purchased from the defendants. The defendants purchased the property in September 1998. Prior to completing the purchase, a building inspection was conducted which indicated that there was a buried oil tank on the property that should be removed. The defendants did not act on the recommendation until November 2000, when they decided to sell the property and at that time they had the tank decommissioned. The plaintiff expressed interest in purchasing the property and when she enquired about the need for a building inspection, she was advised by the plaintiffs that they had one completed two years earlier, had done some work in conformity with the recommendations and that no additional inspection would be required. The parties entered into an agreement of purchase and sale without obtaining advice from a real estate agent, notary or lawyer, and the only relevant condition in the agreement was that the building inspector's be incorporated. In 2007, the plaintiff entered into an agreement of purchase and sale to sell the property for $1.57 million. The agreement for purchase and sale included a statement that there were no underground oil storage tanks on the property. In response to advice from her real estate agent, the plaintiff retained a contract to inspect the property for an oil tank. They discovered an oil tank located at the location identified in the earlier building inspection. The plaintiff had the tank removed and the contaminated land surrounding the tank remediated at a cost of approximately $205,000. Eventually, the purchaser terminated the agreement, on the basis of delay caused by the remediation. The plaintiff eventually sold the property to another purchaser for $1 million.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 w:name="Holdings of Court"/>
            <w:bookmarkEnd w:id="2"/>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elements of negligent misrepresentation were proved. A special relationship existed between the parties which gave rise to a duty of care. The defendants' representation that the oil tank had been decommissioned was false, inaccurate and misleading, and was negligently made. The plaintiff relied on the misrepresentation and her reliance was reasonable in the circumstances. Part of the property was a contaminated site. The defendants knew or ought to have know that the property was contaminated and consequently were not afforded the protection of s. 46(1)(d) of the Environmental Management Act and were liable for the remediation of the property. As a result of her reliance on the misrepresentation, the plaintiff sustained costs of remediation of the property and a loss of $6,123 on the sale of her home in order to finance the purchase of the defendant's property for which she was entitled to compensation. The plaintiff was not entitled to damages as compensation for property taxes, utility costs, and vacant home insurance costs, for the reduction in sale price, debt financing or general damages as such damages were too remote.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 w:name="Legislation Cited"/>
      <w:bookmarkEnd w:id="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26" style="position:absolute;z-index:2517094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Contaminated Sites Regulation, </w:t>
      </w:r>
      <w:hyperlink r:id="rId11" w:history="1">
        <w:r>
          <w:rPr>
            <w:rFonts w:ascii="arial" w:eastAsia="arial" w:hAnsi="arial" w:cs="arial"/>
            <w:i/>
            <w:color w:val="0077CC"/>
            <w:sz w:val="20"/>
            <w:u w:val="single"/>
            <w:shd w:val="clear" w:color="auto" w:fill="FFFFFF"/>
            <w:lang w:val="en-US" w:eastAsia="en-US" w:bidi="ar-SA"/>
          </w:rPr>
          <w:t>B.C. Reg. 375/96, s. 28</w:t>
        </w:r>
      </w:hyperlink>
      <w:r>
        <w:rPr>
          <w:rFonts w:ascii="arial" w:eastAsia="arial" w:hAnsi="arial" w:cs="arial"/>
          <w:color w:val="000000"/>
          <w:sz w:val="20"/>
          <w:lang w:val="en-US" w:eastAsia="en-US" w:bidi="ar-SA"/>
        </w:rPr>
        <w:t>, s. 28(a), s. 28(c), s. 39(1)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Environmental Management Act, </w:t>
      </w:r>
      <w:hyperlink r:id="rId12" w:history="1">
        <w:r>
          <w:rPr>
            <w:rFonts w:ascii="arial" w:eastAsia="arial" w:hAnsi="arial" w:cs="arial"/>
            <w:i/>
            <w:color w:val="0077CC"/>
            <w:sz w:val="20"/>
            <w:u w:val="single"/>
            <w:shd w:val="clear" w:color="auto" w:fill="FFFFFF"/>
            <w:lang w:val="en-US" w:eastAsia="en-US" w:bidi="ar-SA"/>
          </w:rPr>
          <w:t>SBC 2003, CHAPTER 53, s. 44</w:t>
        </w:r>
      </w:hyperlink>
      <w:r>
        <w:rPr>
          <w:rFonts w:ascii="arial" w:eastAsia="arial" w:hAnsi="arial" w:cs="arial"/>
          <w:color w:val="000000"/>
          <w:sz w:val="20"/>
          <w:lang w:val="en-US" w:eastAsia="en-US" w:bidi="ar-SA"/>
        </w:rPr>
        <w:t>, s. 44(1), s. 45, s. 45(1)(a)-(e), s. 46, s. 46(1)(d), s. 46(1)(d) (i), s. 46(3), s. 47, s. 47(1), s. 47(8)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Waste Management Act, </w:t>
      </w:r>
      <w:hyperlink r:id="rId13" w:history="1">
        <w:r>
          <w:rPr>
            <w:rFonts w:ascii="arial" w:eastAsia="arial" w:hAnsi="arial" w:cs="arial"/>
            <w:i/>
            <w:color w:val="0077CC"/>
            <w:sz w:val="20"/>
            <w:u w:val="single"/>
            <w:shd w:val="clear" w:color="auto" w:fill="FFFFFF"/>
            <w:lang w:val="en-US" w:eastAsia="en-US" w:bidi="ar-SA"/>
          </w:rPr>
          <w:t>RSBC 1996, CHAPTER 482</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4" w:name="Counsel"/>
      <w:bookmarkEnd w:id="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27" style="position:absolute;z-index:2517606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G. van Ert.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J.M. Sullivan, K. Oldfield.</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5" w:name="Judgment"/>
      <w:bookmarkEnd w:id="5"/>
      <w:r>
        <w:pict>
          <v:line id="_x0000_s1028" style="position:absolute;z-index:25181184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6" w:name="I.H. PITFIELD J."/>
            <w:bookmarkEnd w:id="6"/>
            <w:r>
              <w:rPr>
                <w:rFonts w:ascii="arial" w:eastAsia="arial" w:hAnsi="arial" w:cs="arial"/>
                <w:b/>
                <w:color w:val="000000"/>
                <w:sz w:val="30"/>
                <w:lang w:val="en-US" w:eastAsia="en-US" w:bidi="ar-SA"/>
              </w:rPr>
              <w:t>I.H. PITFIELD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action results from soil contamination caused by oil that leaked from an underground storage tank on a residential property at 2304 Mathers Avenue, West Vancouver,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Ms. Aldred claims that she was induced to purchase the property by Mr. and Mrs. Colbeck's negligent misrepresentation that an oil tank had been removed from the property when it had not. She claims to have suffered damage as a result. Ms. Aldred also claims that whether or not the Colbecks made a negligent misrepresentation, they are liable for the cost of remediation by virtue of the </w:t>
      </w:r>
      <w:r>
        <w:rPr>
          <w:rFonts w:ascii="arial" w:eastAsia="arial" w:hAnsi="arial" w:cs="arial"/>
          <w:i/>
          <w:color w:val="000000"/>
          <w:sz w:val="20"/>
          <w:lang w:val="en-US" w:eastAsia="en-US" w:bidi="ar-SA"/>
        </w:rPr>
        <w:t>Environmental Management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2003, c. 53</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EMA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Colbecks deny making the representation attributed to them, and deny liability under the </w:t>
      </w:r>
      <w:r>
        <w:rPr>
          <w:rFonts w:ascii="arial" w:eastAsia="arial" w:hAnsi="arial" w:cs="arial"/>
          <w:i/>
          <w:color w:val="000000"/>
          <w:sz w:val="20"/>
          <w:lang w:val="en-US" w:eastAsia="en-US" w:bidi="ar-SA"/>
        </w:rPr>
        <w:t>EMA</w:t>
      </w:r>
      <w:r>
        <w:rPr>
          <w:rFonts w:ascii="arial" w:eastAsia="arial" w:hAnsi="arial" w:cs="arial"/>
          <w:color w:val="000000"/>
          <w:sz w:val="20"/>
          <w:lang w:val="en-US" w:eastAsia="en-US" w:bidi="ar-SA"/>
        </w:rPr>
        <w:t>. They say that if they are liable to pay any part of the cost of remediation, so too is Ms. Aldred.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Chronology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Colbecks purchased the Mathers property in September 1998. Their offer to purchase was subject to a satisfactory building inspection. In due course, the building inspector reported as follows in relation to an oil tank:</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Evidence of buried oil tank, vent and fill pipe on east side, locate, test for residual oil products &amp; dispose of according to applicable requirements of the authority having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Colbecks did not act on the inspector's recommendation until November 2000, after they had decided the sell the property. In anticipation of the sale, the Colbecks retained Mr. Randy Scotland, now deceased, to deal with the tank. What work was done was performed on November 22,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the summer of 2000, Ms. Aldred had left a business card at a number of residences, including that owned by the Colbecks, stating that she was interested in purchasing a home in the neighbourhood. The Colbecks kept the card. Mrs. Colbeck contacted Ms. Aldred to advise that their property was for sale. Ms. Aldred visited the property and discussed the need for a building inspection with Mr. and Mrs. Colbeck. The Colbecks advised Ms. Aldred of their inspection some two years earlier, said that they had done some work in conformity with its recommendations, and stated that no additional inspection would be required. A discussion ensued regarding the oil tank, a topic to which I will return. The Colbecks gave Ms. Aldred a copy of the inspection report they had obtained.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On December 22, 2000, the parties signed a contract of purchase and sale without obtaining advice from a real estate agent, notary, or lawyer. The only condition in the agreement that is relevant for present purposes was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Sellers to supply the Buyer with a copy of the most recent Building Inspector's report dated 9/21, 1998, which will be incorporated into and form part of this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purchase and sale closed on January 23,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late 2007, Ms. Aldred decided to sell the Mathers property. On November 23, 2007, she signed a residential property disclosure statement in which she answered "No" to the question "Are you aware of any underground oil storage tank(s) on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 March 2, 2008, Ms. Aldred signed a contract of purchase and sale with one Mr. Gulston at a price of $1.57 million. The agreement contained the following term: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attached Property Disclosure Statement dated Nov. 23, 2007 is incorporated into and forms part of this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Ms. Aldred's realtor advised her to check the Mathers property to ensure that her statement regarding the absence of an oil tank was correct. Ms. Aldred retained Westcoast Tank Recovery to inspect the site. On March 3, 2008, the firm located a tank at the location identified in the inspection report obtained by the Colbecks in 1998. As a result, the Gulston contract was amended on March 4, 2008 to add the following clause: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Seller agrees, at the Sellers [sic] expense, to have the underground oil storage tank removed in compliance with Municipal [legislation]. The Seller shall remedy any soil contamination caused by said oil tank in compliance with current environmental standards as overseen by the municipal authorities prior to completion.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Ms. Aldred asked a firm operating under the name of "Digger Dick's" to provide an estimate of the cost to remove the tank. On March 13, 2008, the contractor estimated the cost of removal to be $3,633.89, inclusive of tax. On April 10, 2008, the contractor removed the tank which was found to contain water, oil and sludge. The cost of removal was billed at the amount of $2,692.32.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contractor advised Ms. Aldred that the ground immediately around the tank appeared to be contaminated. The contractor estimated the cost of remediating this contamination to be $56,518.66.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need for remediation resulted in an amendment to the Gulston contract. The following clause was added by an addendum signed on April 28, 2008: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seller shall, at the seller's expense, remedy the soil contamination caused by the underground oil storage tank in compliance with current environmental standards as overseen by the municipal authorities and obtain a certificate of approval from the municipal authorities on or before May 29,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contractor undertook work on the site, purportedly for the purpose of remediating the site, and billed Ms. Aldred a total of $202,963.07.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August 2008, Gulston purported to terminate the purchase and sale contract on the basis of alleged delay in the completion of remediation. In due course, the Mathers property was fully remediated. Ms. Aldred eventually sold the property in January 2009 at a price of $1 million.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It is not appropriate for me to make findings of fact with respect to the nature of the work actually performed by Digger Dick's, or with respect to the amount to be paid for the work done. Likewise, I need not determine whether all services for which the contractor provided invoices related to remediation as opposed to other work on the property. The contractor has commenced an action against Ms. Aldred seeking recovery of the full amount billed. Ms. Aldred has filed a defence to the action and has commenced an action against Gulston alleging breach of their contract of purchase and sale. The parties to the present action have agreed that issues of liability as between Ms. Aldred and the Colbecks should be resolved but, in the event that the Colbecks are found liable to contribute to the cost of remediation, the quantification of the cost should be left for determination in conjunction with the disposition of the litigation in which Digger Dick's, Gulston, and Ms. Aldred are engaged.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The Negligent Misrepresentation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18"/>
                <w:lang w:val="en-US" w:eastAsia="en-US" w:bidi="ar-SA"/>
              </w:rPr>
              <w:t>(a)</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18"/>
                <w:lang w:val="en-US" w:eastAsia="en-US" w:bidi="ar-SA"/>
              </w:rPr>
              <w:t>Proof of Essential Elements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The elements of the tort of negligent misrepresentation were described in </w:t>
      </w:r>
      <w:r>
        <w:rPr>
          <w:rFonts w:ascii="arial" w:eastAsia="arial" w:hAnsi="arial" w:cs="arial"/>
          <w:i/>
          <w:color w:val="000000"/>
          <w:sz w:val="20"/>
          <w:lang w:val="en-US" w:eastAsia="en-US" w:bidi="ar-SA"/>
        </w:rPr>
        <w:t>Queen v. Cognos</w:t>
      </w:r>
      <w:r>
        <w:rPr>
          <w:rFonts w:ascii="arial" w:eastAsia="arial" w:hAnsi="arial" w:cs="arial"/>
          <w:color w:val="000000"/>
          <w:sz w:val="20"/>
          <w:lang w:val="en-US" w:eastAsia="en-US" w:bidi="ar-SA"/>
        </w:rPr>
        <w:t xml:space="preserve">, </w:t>
      </w:r>
      <w:hyperlink r:id="rId14" w:history="1">
        <w:r>
          <w:rPr>
            <w:rFonts w:ascii="arial" w:eastAsia="arial" w:hAnsi="arial" w:cs="arial"/>
            <w:i/>
            <w:color w:val="0077CC"/>
            <w:sz w:val="20"/>
            <w:u w:val="single"/>
            <w:shd w:val="clear" w:color="auto" w:fill="FFFFFF"/>
            <w:lang w:val="en-US" w:eastAsia="en-US" w:bidi="ar-SA"/>
          </w:rPr>
          <w:t>[1993] 1 S.C.R. 87</w:t>
        </w:r>
      </w:hyperlink>
      <w:r>
        <w:rPr>
          <w:rFonts w:ascii="arial" w:eastAsia="arial" w:hAnsi="arial" w:cs="arial"/>
          <w:color w:val="000000"/>
          <w:sz w:val="20"/>
          <w:lang w:val="en-US" w:eastAsia="en-US" w:bidi="ar-SA"/>
        </w:rPr>
        <w:t xml:space="preserve"> at para. 33: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decisions of this Court cited above suggest five general requirements: (1) there must be a duty of care based on a "special relationship" between the representor and the representee; (2) the representation in question must be untrue, inaccurate, or misleading; (3) the representor must have acted negligently in making said misrepresentation; (4) the representee must have relied, in a reasonable manner, on said negligent misrepresentation; and (5) the reliance must have been detrimental to the representee in the sense that damages resulted.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Nothing in the contract of purchase and sale precluded the assertion of a claim for negligent misrepresentation. In this instance, the evidence supports a finding that the required elements have been proved.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 find that a special relationship existed between the Colbecks and Ms. Aldred as vendors and purchaser, respectively. That relationship gave rise to a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 find that the Colbecks' representation that the oil tank referred to in the 1998 building inspection report had been removed or decommissioned was untrue, inaccurate, and misleading. I will address the question of whether the misrepresentation was negligent presently.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 find that Ms. Aldred relied on whatever representation was actually made by the Colbecks in relation to the state of the tank. I will address the question of whether her reliance was reasonable in due course.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On the face of it, Ms. Aldred suffered damage as a result of the misrepresentation. She incurred costs to remediate the property in order to facilitate a sale to Gulston. That sale at $1.57 million fell through and the property was eventually sold for $1 million. In the event that the Colbecks are found to have made a negligent misrepresentation, the assessment of damages will necessitate an inquiry into the extent to which the loss realized by Ms. Aldred was caused by the negligent misrepresentation rather than some other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questions to be resolved in relation to the claim of liability for the tort of negligent misrepresentation are whether the Colbecks were negligent in making the misrepresentation regarding the state of the oil tank on the property, and whether Ms. Aldred reasonably relied on the 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18"/>
                <w:lang w:val="en-US" w:eastAsia="en-US" w:bidi="ar-SA"/>
              </w:rPr>
              <w:t>(b)</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18"/>
                <w:lang w:val="en-US" w:eastAsia="en-US" w:bidi="ar-SA"/>
              </w:rPr>
              <w:t>The Nature of the Representation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Ms. Aldred claims that in response to her inquiry about the presence of an oil tank, and before the parties prepared and signed a contract of purchase and sale, the Colbecks told her that an oil tank had been removed from the property. The Colbecks say that they told Ms. Aldred that the tank had been decommissioned, not that it had been removed.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 accept Ms. Aldred's claim that she believed the Colbecks told her the tank had been removed. She signed a property disclosure statement when she listed the Mathers property for sale. In response to the question "Are you aware of any oil storage tank(s) on the property?", Ms. Aldred answered "No". Regardless of Ms. Aldred's belief regarding that which she was told, the evidence persuades me that the Colbecks did not tell Ms. Aldred that the tank had been removed.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Nothing in the invoice provided to the Colbecks by Scotland suggests that the tank was removed. The description of services is more consistent with decommissioning an oil tank than it is with its removal.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When Ms. Aldred wrote to the Colbecks on April 4, 2008, she informed them that "the tank that you had decommissioned was not done correctly and there is contamination on the property". That statement is consistent with the Colbecks' claim that they told Ms. Aldred the tank had been decommissioned rather than removed and contradicts Ms. Aldred's evidence of her belief.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 find as a fact that the Colbecks did not tell Ms. Aldred that the tank had been removed. Nonetheless, I find that the reasonable meaning to be accorded to the Colbecks' statement that the tank had been decommissioned, and the meaning they intended to convey, was that the tank had not damaged the property and did not threaten the environmental integrity or safety of the property. In fact, the representation was incorrect.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858"/>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18"/>
                <w:lang w:val="en-US" w:eastAsia="en-US" w:bidi="ar-SA"/>
              </w:rPr>
              <w:t>(c)</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18"/>
                <w:lang w:val="en-US" w:eastAsia="en-US" w:bidi="ar-SA"/>
              </w:rPr>
              <w:t>Was the Misrepresentation Negligently Made?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Colbecks deny that they made a misrepresentation regarding the tank, but say that if they did, then the misrepresentation was not negligently made. They say that when they decided to deal with the tank, they contacted the appropriate municipal authority which was the District of West Vancouver Fire Department. Mrs. Colbeck spoke with a member of the Department and followed his recommendation concerning the decommissioning of the tank. The Colbecks say that the person who did the work was an individual expressly recommended by the Department as one who could deal responsibly with an underground oil storage tank.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While the foregoing evidence lends support to the Colbeck's claim, other evidence supports a finding, which I make, that the misrepresentation was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The first requirement in relation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to define the relevant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Neither party called expert evidence regarding the standard of care to be applied in relation to the management of an underground oil tank on residential property. The standard of care must nonetheless be defined in accordance with generally applicable standards. In </w:t>
      </w:r>
      <w:r>
        <w:rPr>
          <w:rFonts w:ascii="arial" w:eastAsia="arial" w:hAnsi="arial" w:cs="arial"/>
          <w:i/>
          <w:color w:val="000000"/>
          <w:sz w:val="20"/>
          <w:lang w:val="en-US" w:eastAsia="en-US" w:bidi="ar-SA"/>
        </w:rPr>
        <w:t>Cognos</w:t>
      </w:r>
      <w:r>
        <w:rPr>
          <w:rFonts w:ascii="arial" w:eastAsia="arial" w:hAnsi="arial" w:cs="arial"/>
          <w:color w:val="000000"/>
          <w:sz w:val="20"/>
          <w:lang w:val="en-US" w:eastAsia="en-US" w:bidi="ar-SA"/>
        </w:rPr>
        <w:t>, the Supreme Court of Canada addressed the issue of standard of care at paras. 55 and 63: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applicable standard of care should be the one used in every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case, namely the universally accepted, albeit hypothetical, "reasonable person". The standard of care required by persons making representations is an objective one: para. 55.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Although the representor's subjective belief in the accuracy of the representations and his moral blameworthiness, or lack thereof, are highly relevant when considering whether or not a misrepresentation was fraudulently made, they serve little, if any, purpose into an inquiry into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As noted above, the applicable standard of care is that of the objective reasonable person. The representor's belief in the truth of his or her representations is irrelevant to that standard of care: para. 63.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The environmental hazard posed by the leakage of petroleum products was generally known in 2000 and reflected in the </w:t>
      </w:r>
      <w:r>
        <w:rPr>
          <w:rFonts w:ascii="arial" w:eastAsia="arial" w:hAnsi="arial" w:cs="arial"/>
          <w:i/>
          <w:color w:val="000000"/>
          <w:sz w:val="20"/>
          <w:lang w:val="en-US" w:eastAsia="en-US" w:bidi="ar-SA"/>
        </w:rPr>
        <w:t>Waste Management Act</w:t>
      </w:r>
      <w:r>
        <w:rPr>
          <w:rFonts w:ascii="arial" w:eastAsia="arial" w:hAnsi="arial" w:cs="arial"/>
          <w:color w:val="000000"/>
          <w:sz w:val="20"/>
          <w:lang w:val="en-US" w:eastAsia="en-US" w:bidi="ar-SA"/>
        </w:rPr>
        <w:t xml:space="preserve">, </w:t>
      </w:r>
      <w:hyperlink r:id="rId13" w:history="1">
        <w:r>
          <w:rPr>
            <w:rFonts w:ascii="arial" w:eastAsia="arial" w:hAnsi="arial" w:cs="arial"/>
            <w:i/>
            <w:color w:val="0077CC"/>
            <w:sz w:val="20"/>
            <w:u w:val="single"/>
            <w:shd w:val="clear" w:color="auto" w:fill="FFFFFF"/>
            <w:lang w:val="en-US" w:eastAsia="en-US" w:bidi="ar-SA"/>
          </w:rPr>
          <w:t>R.S.B.C. 1996, c. 482</w:t>
        </w:r>
      </w:hyperlink>
      <w:r>
        <w:rPr>
          <w:rFonts w:ascii="arial" w:eastAsia="arial" w:hAnsi="arial" w:cs="arial"/>
          <w:color w:val="000000"/>
          <w:sz w:val="20"/>
          <w:lang w:val="en-US" w:eastAsia="en-US" w:bidi="ar-SA"/>
        </w:rPr>
        <w:t xml:space="preserve"> which preceded the </w:t>
      </w:r>
      <w:r>
        <w:rPr>
          <w:rFonts w:ascii="arial" w:eastAsia="arial" w:hAnsi="arial" w:cs="arial"/>
          <w:i/>
          <w:color w:val="000000"/>
          <w:sz w:val="20"/>
          <w:lang w:val="en-US" w:eastAsia="en-US" w:bidi="ar-SA"/>
        </w:rPr>
        <w:t>EMA</w:t>
      </w:r>
      <w:r>
        <w:rPr>
          <w:rFonts w:ascii="arial" w:eastAsia="arial" w:hAnsi="arial" w:cs="arial"/>
          <w:color w:val="000000"/>
          <w:sz w:val="20"/>
          <w:lang w:val="en-US" w:eastAsia="en-US" w:bidi="ar-SA"/>
        </w:rPr>
        <w:t>. The evidence in this case establishes that the environmental risk was generally known in West Vancouver and of concern to the municipality and the fire department.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the result, in November 2000, the owner of residential property in West Vancouver, who represented to a potential purchaser that there was no tank which posed an environmental threat when it was reasonable to expect the purchaser would rely on the representation, was under a duty to take reasonable care to ensure that there was no tank on the property or, if there was a tank on site, to ensure that its integrity had not been compromised by the deterioration of the tank, thereby permitting contamination of the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next point of concern is whether the Colbecks exercised the required degree of reasonable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Colbecks were not strangers to the danger or threat posed by underground oil storage tanks on residential property. In 1997, one year before the Mathers purchase, the Colbecks purchased a residential property on New Market Drive in North Vancouver. The contract of purchase and sale contained the following clause: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Subject To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seller complying with municipal codes regarding oil tanks and agrees to complete testing and tank filling and provide the buyer with municipal documentation that the buried tank complies with all regulations by March 10, 1997. Failing which this offer shall become null and void.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subject is for the sole benefit of the vendor.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work at that site was completed and a reporting letter was provided to the vendor, and, in turn, to the Colbecks: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DECOMMISSIONING DOCUMENT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document certifies that the underground furnace oil tank located at your property, 2784 New Market Drive, NV has been decommissioned in accordance with the BC Fire Services Code &amp; </w:t>
      </w:r>
      <w:r>
        <w:rPr>
          <w:rFonts w:ascii="arial" w:eastAsia="arial" w:hAnsi="arial" w:cs="arial"/>
          <w:i/>
          <w:color w:val="000000"/>
          <w:sz w:val="20"/>
          <w:lang w:val="en-US" w:eastAsia="en-US" w:bidi="ar-SA"/>
        </w:rPr>
        <w:t>Regulations</w:t>
      </w:r>
      <w:r>
        <w:rPr>
          <w:rFonts w:ascii="arial" w:eastAsia="arial" w:hAnsi="arial" w:cs="arial"/>
          <w:color w:val="000000"/>
          <w:sz w:val="20"/>
          <w:lang w:val="en-US" w:eastAsia="en-US" w:bidi="ar-SA"/>
        </w:rPr>
        <w:t>, Section IV Flammable Liquids; Section 4.10 Withdrawal of Storage Tanks from Service; Sub-section 4.10.3.3 Private Dwellings.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Emergency Response Consultants completed work as follows: excavation, cutting-open the tank, pumping-out residual oil, removing bottom sludge, removing fill and vent pipes, filling the tank with sand and filling-in the excavation.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Keep this document with your important papers. In the event that you sell the house, you may be asked to show proof that the underground furnace oil tank has been decommissioned.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have notified the District of North Vancouver Fire Services of the decommissioning of your underground oil tank.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Thank you for contracting this work with our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It is evident from the building inspection report which the Colbecks obtained prior to closing the Mathers property purchase that a vent and fill pipe were observed, suggesting that there was a tank on the property. The report recommended locating the tank and testing for residual oil products. The Colbecks did not locate the tank nor do any testing at the time of purchase.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For reasons which they did not explain, the Colbecks did not insist upon the tank on the Mathers property being removed or decommissioned as a condition of their purchase of the property in 1998. Instead, the purchase agreement was subject to receipt of a satisfactory building inspection report. It was open to them to withdraw from the transaction when the report was received on the basis that the likely presence of an oil tank made them unwilling to complete the purchase. Alternatively, it was open to the Colbecks to insist that the contract be amended to require the vendors to provide confirmation that there was no tank, or proof that any tank on the site had been properly decommissioned. That is the course the Colbecks had pursued when they acquired the New Market property in 1997, but which they did not pursue in relation to the Mathers property in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After deciding to sell the Mathers property, Mrs. Colbeck telephoned the West Vancouver Fire Department, which had been publicizing its desire to identify tanks on residential property and providing suggestions with respect to the preferred course of conduct in the event that a tank was located. Mrs. Colbeck invited a member of the West Vancouver Fire Department to visit the Mathers property. The member recommended that steps be taken to deal with the tank. He provided Mrs. Colbeck with a list of 13 suitable contractors, among which were Emergency Response Consultants, the contractor that had decommissioned the tank on the New Market property, and Randy Scotland. The list contained a recommendation that the owner obtain three estimates. The Colbecks retained Scotland without getting any other estimates.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Colbecks argue that they met the standard of care by retaining Scotland to decommission the tank. With respect, retaining Scotland was not sufficient.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Mrs. Colbeck testified that Scotland was on site for one day on November 22, 2000. In the invoice provided to the Colbecks, Scotland represented that he had removed a portion of a sidewalk to gain access to the tank; pumped out 580 gallons of water, oil, and sludge from a 636 gallon tank; cleaned the tank; filled the tank with sand; removed the filler and vent pipes; and replaced the sidewalk. The cost was $900. Common sense suggests that the representation made by Mr. Scotland with respect to the work that had been done in the course of a single day was false. The falsity is confirmed by the fact that when Ms. Aldred retained a contractor to remove the tank in 2008, it contained 200 gallons of oil, water, and sludge which had to be removed before the tank itself was removed. There is some suggestion in the evidence that there was sand in the tank. I do not find that evidence to be reliable. No explanation was provided as to why the tank would contain oil, sludge, and water if it had been filled with sand. I find that if Scotland took any steps to decommission the tank, he did not do so in a workmanlike manner.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my opinion, it was not reasonable for the Colbecks to rely on Scotland's representation regarding the work done. As I have previously mentioned, the description of the work done, the small amount of time taken, and the price charged were sufficient to raise a suspicion that the work was not properly done or had been misrepresented.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building inspection report recommended testing for residual oil products associated with the tank. There is no evidence that the Colbecks enquired of the testing done by Scotland or the results derived from such testing. There is no evidence that the Colbecks asked or required Scotland to certify that the work he had done conformed to municipal requirements. Such a certification had been part and parcel of the work performed by Emergency Response Consultants in respect of the work done on the New Market property to the Colbeck's benefit in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 find that the Colbeck's negligently misrepresented the status, safety, and integrity of the oil tank on the Mathers property, thereby inducing Ms. Aldred to enter into an agreement to purchase the property from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858"/>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18"/>
                <w:lang w:val="en-US" w:eastAsia="en-US" w:bidi="ar-SA"/>
              </w:rPr>
              <w:t>(d)</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18"/>
                <w:lang w:val="en-US" w:eastAsia="en-US" w:bidi="ar-SA"/>
              </w:rPr>
              <w:t>Was Reliance on the Representation Reasonable?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 find as a fact that in the early stages of discussions with the Colbecks regarding the purchase of the Mathers property, Ms. Aldred queried the status of the oil tank and received from the Colbecks the 1998 inspection report and their assurances that the tank had been properly dealt with. I find that without that assurance, Ms. Aldred would not have entered into a contract of purchase and sale. I find as a fact that Ms. Aldred relied upon the representation when making the decision to enter into discussions which led to the contract of purchase and sale, and her reliance was reasonable in the circumstances as I have described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In the result, the elements of the tort of negligent misrepresentation have been proved on a balance of probabilities. The Colbecks are liable for the reasonably foreseeable loss and damage resulting therefrom.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The Environmental Management Act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Part 4 of the </w:t>
      </w:r>
      <w:r>
        <w:rPr>
          <w:rFonts w:ascii="arial" w:eastAsia="arial" w:hAnsi="arial" w:cs="arial"/>
          <w:i/>
          <w:color w:val="000000"/>
          <w:sz w:val="20"/>
          <w:lang w:val="en-US" w:eastAsia="en-US" w:bidi="ar-SA"/>
        </w:rPr>
        <w:t>EMA</w:t>
      </w:r>
      <w:r>
        <w:rPr>
          <w:rFonts w:ascii="arial" w:eastAsia="arial" w:hAnsi="arial" w:cs="arial"/>
          <w:color w:val="000000"/>
          <w:sz w:val="20"/>
          <w:lang w:val="en-US" w:eastAsia="en-US" w:bidi="ar-SA"/>
        </w:rPr>
        <w:t xml:space="preserve"> governs the remediation of contaminated sites. Sections 45, 46, and 47, are particularly pertinent for present purposes and are reproduced as Appendix 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The basic scheme of the </w:t>
      </w:r>
      <w:r>
        <w:rPr>
          <w:rFonts w:ascii="arial" w:eastAsia="arial" w:hAnsi="arial" w:cs="arial"/>
          <w:i/>
          <w:color w:val="000000"/>
          <w:sz w:val="20"/>
          <w:lang w:val="en-US" w:eastAsia="en-US" w:bidi="ar-SA"/>
        </w:rPr>
        <w:t>EMA</w:t>
      </w:r>
      <w:r>
        <w:rPr>
          <w:rFonts w:ascii="arial" w:eastAsia="arial" w:hAnsi="arial" w:cs="arial"/>
          <w:color w:val="000000"/>
          <w:sz w:val="20"/>
          <w:lang w:val="en-US" w:eastAsia="en-US" w:bidi="ar-SA"/>
        </w:rPr>
        <w:t xml:space="preserve"> is that present and prior owners of a contaminated site are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liable for the costs of remediating a contaminated site: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45(1) Subject to section 46 [persons not responsible for remediation], the following persons are responsible for remediation of a contaminated site:</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current owner or operator of the site;</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previous owner or operator of the site;</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who</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produced a substance, and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by contract, agreement or otherwise caused the substance to be disposed of, handled or treated in a manner that, in whole or in part, caused the site to become a contaminated site;</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who</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transported or arranged for transport of a substance, and</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by contract, agreement or otherwise caused the substance to be disposed of, handled or treated in a manner that, in whole or in part, caused the site to become a contaminated site;</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who is in a class designated in the regulations as responsible for remediation.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descriptions of responsible persons are disjunctive. Any person who is described in any of paragraphs (a) through (e) is potentially liable for the remediation of a contaminated site. The liability among those who are responsible persons is joint and several: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47(1) A person who is responsible for remediation of a contaminated site is absolutely, retroactively and jointly and separately liable to any person or government body for reasonably incurred costs of remediation of the contaminated site, whether incurred on or off the contaminated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In 2009, Ms. Aldred was potentially liable for the remediation of the Mathers property in her capacity as the present owner. The Colbecks were potentially liable as previous owners of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Section 46 defines the circumstances in which actual liability will be avoided. In this case the provision that may afford protection to any of the parties is s. 46(1)(d):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46(1) The following persons are not responsible for remediation of a contaminated site: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owner or operator who establishes that</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time the person became an owner or operator of the site,</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site was a contaminated site,</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person had no knowledge or reason to know or suspect that the site was a contaminated site, and</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person undertook all appropriate inquiries into the previous ownership and uses of the site and undertook other investigations, consistent with good commercial or customary practice at that time, in an effort to minimize potential liability,</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person was an owner of the site, the person did not transfer any interest in the site without first disclosing any known contamination to the transferee, and</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owner or operator did not, by any act or omission, cause or contribute to the contamination of the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Section 46(3) provides that the party seeking to avoid liability must prove the elements in s. 46(1)(d) on a balance of probabilities. In that regard, it is important to recognize that the word "and" is used conjunctively in relation to subparagraphs (i), (ii) and (iii), and in relation to clauses (A), (B), and (C) of subparagraph (i). Failure to prove any of the factors enumerated in subparagraphs (i) through (iii) will result in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18"/>
                <w:lang w:val="en-US" w:eastAsia="en-US" w:bidi="ar-SA"/>
              </w:rPr>
              <w:t>(a)</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18"/>
                <w:lang w:val="en-US" w:eastAsia="en-US" w:bidi="ar-SA"/>
              </w:rPr>
              <w:t>Was the Site Contaminated?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Section 44(1) of the </w:t>
      </w:r>
      <w:r>
        <w:rPr>
          <w:rFonts w:ascii="arial" w:eastAsia="arial" w:hAnsi="arial" w:cs="arial"/>
          <w:i/>
          <w:color w:val="000000"/>
          <w:sz w:val="20"/>
          <w:lang w:val="en-US" w:eastAsia="en-US" w:bidi="ar-SA"/>
        </w:rPr>
        <w:t>EMA</w:t>
      </w:r>
      <w:r>
        <w:rPr>
          <w:rFonts w:ascii="arial" w:eastAsia="arial" w:hAnsi="arial" w:cs="arial"/>
          <w:color w:val="000000"/>
          <w:sz w:val="20"/>
          <w:lang w:val="en-US" w:eastAsia="en-US" w:bidi="ar-SA"/>
        </w:rPr>
        <w:t xml:space="preserve"> empowers a director appointed under the </w:t>
      </w:r>
      <w:r>
        <w:rPr>
          <w:rFonts w:ascii="arial" w:eastAsia="arial" w:hAnsi="arial" w:cs="arial"/>
          <w:i/>
          <w:color w:val="000000"/>
          <w:sz w:val="20"/>
          <w:lang w:val="en-US" w:eastAsia="en-US" w:bidi="ar-SA"/>
        </w:rPr>
        <w:t>EMA</w:t>
      </w:r>
      <w:r>
        <w:rPr>
          <w:rFonts w:ascii="arial" w:eastAsia="arial" w:hAnsi="arial" w:cs="arial"/>
          <w:color w:val="000000"/>
          <w:sz w:val="20"/>
          <w:lang w:val="en-US" w:eastAsia="en-US" w:bidi="ar-SA"/>
        </w:rPr>
        <w:t>, to determine whether a site is a contaminated site and, if contaminated, to determine the boundaries of the site. Section 47(8) provides that if independent remediation has been carried out at a site and the site has not been determined under s. 44 to be or to have been a contaminated site, the court must determine whether the site is or was a contaminated site. The director was not involved with the Mathers property and made no determination regarding contamination. It follows that the court must make the determination.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Samples of soil taken from the site on April 4, 2009 were analyzed and found to contain light and heavy extractable petroleum hydrocarbons and naphthalene in excess of the limits prescribed by the</w:t>
      </w:r>
      <w:r>
        <w:rPr>
          <w:rFonts w:ascii="arial" w:eastAsia="arial" w:hAnsi="arial" w:cs="arial"/>
          <w:i/>
          <w:color w:val="000000"/>
          <w:sz w:val="20"/>
          <w:lang w:val="en-US" w:eastAsia="en-US" w:bidi="ar-SA"/>
        </w:rPr>
        <w:t xml:space="preserve"> Contaminated Sites Regulation</w:t>
      </w:r>
      <w:r>
        <w:rPr>
          <w:rFonts w:ascii="arial" w:eastAsia="arial" w:hAnsi="arial" w:cs="arial"/>
          <w:color w:val="000000"/>
          <w:sz w:val="20"/>
          <w:lang w:val="en-US" w:eastAsia="en-US" w:bidi="ar-SA"/>
        </w:rPr>
        <w:t xml:space="preserve">, </w:t>
      </w:r>
      <w:hyperlink r:id="rId15" w:history="1">
        <w:r>
          <w:rPr>
            <w:rFonts w:ascii="arial" w:eastAsia="arial" w:hAnsi="arial" w:cs="arial"/>
            <w:i/>
            <w:color w:val="0077CC"/>
            <w:sz w:val="20"/>
            <w:u w:val="single"/>
            <w:shd w:val="clear" w:color="auto" w:fill="FFFFFF"/>
            <w:lang w:val="en-US" w:eastAsia="en-US" w:bidi="ar-SA"/>
          </w:rPr>
          <w:t>B.C. Reg. 375/96</w:t>
        </w:r>
      </w:hyperlink>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Regulation</w:t>
      </w:r>
      <w:r>
        <w:rPr>
          <w:rFonts w:ascii="arial" w:eastAsia="arial" w:hAnsi="arial" w:cs="arial"/>
          <w:color w:val="000000"/>
          <w:sz w:val="20"/>
          <w:lang w:val="en-US" w:eastAsia="en-US" w:bidi="ar-SA"/>
        </w:rPr>
        <w:t xml:space="preserve">"). That being the case, the Mathers property met the definition of a "contaminated site" under the </w:t>
      </w:r>
      <w:r>
        <w:rPr>
          <w:rFonts w:ascii="arial" w:eastAsia="arial" w:hAnsi="arial" w:cs="arial"/>
          <w:i/>
          <w:color w:val="000000"/>
          <w:sz w:val="20"/>
          <w:lang w:val="en-US" w:eastAsia="en-US" w:bidi="ar-SA"/>
        </w:rPr>
        <w:t>EMA</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39(1) In this Part and Part 5 [Remediation of Mineral Exploration Sites and Mines]: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"contaminated site" means an area of the land in which the soil or any groundwater lying beneath it, or the water or the underlying sediment, contains</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hazardous waste,</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another prescribed substance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quantities or concentration exceeding prescribed risk based or numerical criteria or standards or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As permitted by s. 47(8) of the </w:t>
      </w:r>
      <w:r>
        <w:rPr>
          <w:rFonts w:ascii="arial" w:eastAsia="arial" w:hAnsi="arial" w:cs="arial"/>
          <w:i/>
          <w:color w:val="000000"/>
          <w:sz w:val="20"/>
          <w:lang w:val="en-US" w:eastAsia="en-US" w:bidi="ar-SA"/>
        </w:rPr>
        <w:t>EMA</w:t>
      </w:r>
      <w:r>
        <w:rPr>
          <w:rFonts w:ascii="arial" w:eastAsia="arial" w:hAnsi="arial" w:cs="arial"/>
          <w:color w:val="000000"/>
          <w:sz w:val="20"/>
          <w:lang w:val="en-US" w:eastAsia="en-US" w:bidi="ar-SA"/>
        </w:rPr>
        <w:t>, I find as a fact and declare that part of the Mathers property, which I will define, was a contaminated site. In doing so I have not overlooked arguments to the contrary advanced on behalf of the Colbecks.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The Colbecks claim that a site may only be determined or declared to be or to have been contaminated if reliable expert evidence to support a finding of contamination has been adduced. Counsel relies on </w:t>
      </w:r>
      <w:r>
        <w:rPr>
          <w:rFonts w:ascii="arial" w:eastAsia="arial" w:hAnsi="arial" w:cs="arial"/>
          <w:i/>
          <w:color w:val="000000"/>
          <w:sz w:val="20"/>
          <w:lang w:val="en-US" w:eastAsia="en-US" w:bidi="ar-SA"/>
        </w:rPr>
        <w:t>Simpson v. Chapman</w:t>
      </w:r>
      <w:r>
        <w:rPr>
          <w:rFonts w:ascii="arial" w:eastAsia="arial" w:hAnsi="arial" w:cs="arial"/>
          <w:color w:val="000000"/>
          <w:sz w:val="20"/>
          <w:lang w:val="en-US" w:eastAsia="en-US" w:bidi="ar-SA"/>
        </w:rPr>
        <w:t xml:space="preserve">, </w:t>
      </w:r>
      <w:hyperlink r:id="rId16" w:history="1">
        <w:r>
          <w:rPr>
            <w:rFonts w:ascii="arial" w:eastAsia="arial" w:hAnsi="arial" w:cs="arial"/>
            <w:i/>
            <w:color w:val="0077CC"/>
            <w:sz w:val="20"/>
            <w:u w:val="single"/>
            <w:shd w:val="clear" w:color="auto" w:fill="FFFFFF"/>
            <w:lang w:val="en-US" w:eastAsia="en-US" w:bidi="ar-SA"/>
          </w:rPr>
          <w:t>2009 BCPC 28</w:t>
        </w:r>
      </w:hyperlink>
      <w:r>
        <w:rPr>
          <w:rFonts w:ascii="arial" w:eastAsia="arial" w:hAnsi="arial" w:cs="arial"/>
          <w:color w:val="000000"/>
          <w:sz w:val="20"/>
          <w:lang w:val="en-US" w:eastAsia="en-US" w:bidi="ar-SA"/>
        </w:rPr>
        <w:t xml:space="preserve"> at para. 12: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presence of an underground oil tank and oily soil does not necessarily lead to the conclusion that the site meets the legal definition of contaminated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In this case there is more than the presence of a tank and the detection of oily soil to support the finding of contamination on part of the Mathers property. There is evidence regarding the locations from which soil samples were taken, evidence from a qualified soil analyst regarding the tests that were performed, and uncontradicted evidence of the test results indicating the presence of substances at levels which constitute contamination within the meaning of the </w:t>
      </w:r>
      <w:r>
        <w:rPr>
          <w:rFonts w:ascii="arial" w:eastAsia="arial" w:hAnsi="arial" w:cs="arial"/>
          <w:i/>
          <w:color w:val="000000"/>
          <w:sz w:val="20"/>
          <w:lang w:val="en-US" w:eastAsia="en-US" w:bidi="ar-SA"/>
        </w:rPr>
        <w:t>EMA</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Regulation</w:t>
      </w:r>
      <w:r>
        <w:rPr>
          <w:rFonts w:ascii="arial" w:eastAsia="arial" w:hAnsi="arial" w:cs="arial"/>
          <w:color w:val="000000"/>
          <w:sz w:val="20"/>
          <w:lang w:val="en-US" w:eastAsia="en-US" w:bidi="ar-SA"/>
        </w:rPr>
        <w:t xml:space="preserve"> at the locations from which some of the samples were taken. With respect, in the face of the test results, expert evidence is not required to inform the court of the meaning of the legislation.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That said, the Colbecks correctly claim that the court must be able to define the "area of land" which was contaminated.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EMA</w:t>
      </w:r>
      <w:r>
        <w:rPr>
          <w:rFonts w:ascii="arial" w:eastAsia="arial" w:hAnsi="arial" w:cs="arial"/>
          <w:color w:val="000000"/>
          <w:sz w:val="20"/>
          <w:lang w:val="en-US" w:eastAsia="en-US" w:bidi="ar-SA"/>
        </w:rPr>
        <w:t xml:space="preserve"> does not define a contaminated site by reference to property boundaries. The size of the area is not determinative. A contaminated site is an area of land in which contamination is found. This conclusion flows from the reasonable interpretation of s. 44 of the </w:t>
      </w:r>
      <w:r>
        <w:rPr>
          <w:rFonts w:ascii="arial" w:eastAsia="arial" w:hAnsi="arial" w:cs="arial"/>
          <w:i/>
          <w:color w:val="000000"/>
          <w:sz w:val="20"/>
          <w:lang w:val="en-US" w:eastAsia="en-US" w:bidi="ar-SA"/>
        </w:rPr>
        <w:t>EMA</w:t>
      </w:r>
      <w:r>
        <w:rPr>
          <w:rFonts w:ascii="arial" w:eastAsia="arial" w:hAnsi="arial" w:cs="arial"/>
          <w:color w:val="000000"/>
          <w:sz w:val="20"/>
          <w:lang w:val="en-US" w:eastAsia="en-US" w:bidi="ar-SA"/>
        </w:rPr>
        <w:t xml:space="preserve"> which empowers the director to determine "the boundaries of the contaminated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In this case, testing was limited to six samples. The sample taken in the vicinity of the north end of the tank was contaminated as was the sample taken from the south end of the tank. A third sample taken in the vicinity of the southwest corner of the residential structure was contaminated. Two other samples taken from the downward slope extending from the south wall of the residence were not contaminated. The point on the slope to which the contamination actually extended was not confirmed by soil testing. Rather, the extent of the contamination was estimated by visual inspection. With respect, visual inspection is not sufficient to prove contamination. The limits or boundaries of a contaminated site must be determined by testing and the reasonable delineation of the site as derived from the test results.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While I have no doubt that the area of the contaminated site extended beyond the area that might narrowly be defined by the testing that was done, I am limited in any finding by the state of the admissible evidence. I am prepared to accept the evidence of Dr. Sverre, a biologist who works in the area of environmental contamination, that liquids will migrate through soil and the extent of the migration will likely be affected by the slope of the surface, in this case, downhill to the south.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By reference to Exhibit 17 at trial on which the locations from which samples were identified were taken, the slope of the property, and the fact that downhill migration was more likely than not, I find as a fact that the boundary of the contaminated site can reasonably be defined by a line extending at a right angle from a point on the east foundation wall of the residence 22 feet north of its southeast corner 8.5 feet in an easterly direction to the east property line of the Mathers property; a line extending from that point south along the east property line for 32 feet; a line extending at a right angle from that point in a westerly direction for 15 feet; a line extending from that point at a right angle north to the point of intersection with the south foundation wall of the residence; a line extending east along the foundation wall to the southeast corner; and a line extending north along the foundation wall to the point of commencement.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18"/>
                <w:lang w:val="en-US" w:eastAsia="en-US" w:bidi="ar-SA"/>
              </w:rPr>
              <w:t>(b)</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18"/>
                <w:lang w:val="en-US" w:eastAsia="en-US" w:bidi="ar-SA"/>
              </w:rPr>
              <w:t>When was the Site Contaminated?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evidence does not permit a finding with respect to the date at which any part of the Mathers property first became a contaminated site. The only evidence in that regard was provided by Dr. Sverre. The parties agree that I should accept his evidence regarding the commencement of the contamination. I therefore find as a fact that the site had been contaminated for at least ten years before the contractor which Ms. Aldred retained to remove the tank actually identified contamination in April 2008. I find that the site was contaminated when it was acquired by the Colbecks in September 1998, and when it was acquired by Ms. Aldred in January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There are differences between the Colbecks and Ms. Aldred in so far as the remaining factors enumerated in s. 46(1)(d) are concerned.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858"/>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18"/>
                <w:lang w:val="en-US" w:eastAsia="en-US" w:bidi="ar-SA"/>
              </w:rPr>
              <w:t>(c)</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18"/>
                <w:lang w:val="en-US" w:eastAsia="en-US" w:bidi="ar-SA"/>
              </w:rPr>
              <w:t>Did the Colbecks or Ms. Aldred Know of or Suspect Contamination?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Colbecks claim that they had no knowledge that the site was contaminated, and no reason to know or suspect that it was contaminated. They claim that they undertook all appropriate inquiries into the previous ownership and uses of the site, and undertook other investigations, consistent with good commercial or customary practice at that time, in an effort to minimize potential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I find as a fact that the Colbecks have not discharged the burden arising from s. 46(1)(d)(i)(B) and (C). In making that finding, I have had regard for the provisions of s. 28 of the </w:t>
      </w:r>
      <w:r>
        <w:rPr>
          <w:rFonts w:ascii="arial" w:eastAsia="arial" w:hAnsi="arial" w:cs="arial"/>
          <w:i/>
          <w:color w:val="000000"/>
          <w:sz w:val="20"/>
          <w:lang w:val="en-US" w:eastAsia="en-US" w:bidi="ar-SA"/>
        </w:rPr>
        <w:t>Regulation</w:t>
      </w:r>
      <w:r>
        <w:rPr>
          <w:rFonts w:ascii="arial" w:eastAsia="arial" w:hAnsi="arial" w:cs="arial"/>
          <w:color w:val="000000"/>
          <w:sz w:val="20"/>
          <w:lang w:val="en-US" w:eastAsia="en-US" w:bidi="ar-SA"/>
        </w:rPr>
        <w:t xml:space="preserve"> which provides that when adjudging whether a person has undertaken all appropriate inquiries the court must take into account:</w:t>
      </w:r>
      <w:r>
        <w:rPr>
          <w:rFonts w:ascii="arial" w:eastAsia="arial" w:hAnsi="arial" w:cs="arial"/>
          <w:sz w:val="20"/>
          <w:lang w:val="en-US" w:eastAsia="en-US" w:bidi="ar-SA"/>
        </w:rPr>
        <w:cr/>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personal knowledge or experience of the owner or operator respecting contamination at the time of acquisition;</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relationship of the actual purchase price to the value of the property if it was uncontaminated; and</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commonly known or reasonably ascertainable information about the property at the time of the acquisition.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 have previously described the building inspection report commissioned by the Colbecks at the time of their purchase which identified both a vent and fill pipe, suggesting to the inspector that an underground tank was situated on the property and prompting the recommendation that the Colbecks locate the tank and test for residual oil products and dispose thereof according to applicable requirements of the authority having jurisdiction. They chose not to do so. The report and recommendation that testing be undertaken, the Colbecks' prior experience with an underground tank, and the fact that the tank was no longer in use as the house was heated by natural gas, should have been sufficient to arouse suspicion that contamination was a concern. Contamination was easily identified when the tank was located in 2008. In my opinion, it is no answer to say that "testing" for residual oil products meant only checking to see if oil remained in the tank. "Checking" is more consistent with an inspection and less consistent with "testing" which connotes sampling and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Apart from the fact that the Colbecks had reason to suspect that there may have been contamination on the site, I cannot conclude that they undertook all appropriate inquiries into the previous ownership and uses of the site, or that they undertook other investigations, consistent with good commercial or customary practice at that time, in an effort to minimize potential liability. The introductory words in s. 46(1)(d)(i) indicate that the phrase "at that time" refers to the time of purchase by the party claiming the protection of the exemption. The Colbecks led no evidence of good commercial or customary practice in 1998. What is clear is that they were warned about the possible problems associated with the presence of an oil tank and did nothing to avoid any problems that had arisen from its presence.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Finally, by virtue of their omission to examine the state of the tank over a period of two years, during which I find that the leakage must have continued, the Colbecks contributed to the contamination of the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In sum, by reference to paragraphs (a) and (c) of s. 28 of the </w:t>
      </w:r>
      <w:r>
        <w:rPr>
          <w:rFonts w:ascii="arial" w:eastAsia="arial" w:hAnsi="arial" w:cs="arial"/>
          <w:i/>
          <w:color w:val="000000"/>
          <w:sz w:val="20"/>
          <w:lang w:val="en-US" w:eastAsia="en-US" w:bidi="ar-SA"/>
        </w:rPr>
        <w:t>Regulation</w:t>
      </w:r>
      <w:r>
        <w:rPr>
          <w:rFonts w:ascii="arial" w:eastAsia="arial" w:hAnsi="arial" w:cs="arial"/>
          <w:color w:val="000000"/>
          <w:sz w:val="20"/>
          <w:lang w:val="en-US" w:eastAsia="en-US" w:bidi="ar-SA"/>
        </w:rPr>
        <w:t xml:space="preserve">, and generally, the Colbecks have not proved on the balance of probabilities that they should benefit from the protection afforded an owner by s. 46(1)(d) of the </w:t>
      </w:r>
      <w:r>
        <w:rPr>
          <w:rFonts w:ascii="arial" w:eastAsia="arial" w:hAnsi="arial" w:cs="arial"/>
          <w:i/>
          <w:color w:val="000000"/>
          <w:sz w:val="20"/>
          <w:lang w:val="en-US" w:eastAsia="en-US" w:bidi="ar-SA"/>
        </w:rPr>
        <w:t>EMA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 find as a fact that Ms. Aldred had no knowledge that the site was contaminated. Moreover, because of what she was told by the Colbecks, and the documentation they provided to her, she had no reason to know or suspect that the site was contaminated. It was for that reason that Ms. Aldred was able to answer "No" to the question in the residential property disclosure statement pertaining to a fuel storage tank. Moreover, the representation made by the Colbecks was clearly intended to persuade her that the tank had been decommissioned and did not affect or threaten to affect the environmental integrity of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Contrary to the submissions on behalf of the Colbecks, this is not an instance in which the doctrine of </w:t>
      </w:r>
      <w:r>
        <w:rPr>
          <w:rFonts w:ascii="arial" w:eastAsia="arial" w:hAnsi="arial" w:cs="arial"/>
          <w:i/>
          <w:color w:val="000000"/>
          <w:sz w:val="20"/>
          <w:lang w:val="en-US" w:eastAsia="en-US" w:bidi="ar-SA"/>
        </w:rPr>
        <w:t>caveat emptor</w:t>
      </w:r>
      <w:r>
        <w:rPr>
          <w:rFonts w:ascii="arial" w:eastAsia="arial" w:hAnsi="arial" w:cs="arial"/>
          <w:color w:val="000000"/>
          <w:sz w:val="20"/>
          <w:lang w:val="en-US" w:eastAsia="en-US" w:bidi="ar-SA"/>
        </w:rPr>
        <w:t xml:space="preserve"> can apply. I accept Ms. Aldred's evidence that she had little knowledge or experience regarding oil tanks and contamination when she acquired the Mathers property. She made enquiries of the Colbecks which prompted the representations made to her. There was nothing in the nature of those representations that should have caused her to undertake other investigations with a view to verifying the accuracy of what she had been told by the Colbecks.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There is no evidence that Ms. Aldred acquired the property at any discount from market value because of the likely presence of contamination. The only information available to Ms. Aldred regarding the status of the tank was that which was provided by the Colbecks. The contamination was latent and not patently obvious on the surface of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Ms. Aldred disclosed the fact of contamination in the course of selling the property to Gulston and before any closing of the sale. She did not, by any act or omission on her part, cause or contribute to the contamination of the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In sum, Ms. Aldred has proved on a balance of probabilities that she is entitled to the protection afforded an owner by s. 46(1)(d) of the </w:t>
      </w:r>
      <w:r>
        <w:rPr>
          <w:rFonts w:ascii="arial" w:eastAsia="arial" w:hAnsi="arial" w:cs="arial"/>
          <w:i/>
          <w:color w:val="000000"/>
          <w:sz w:val="20"/>
          <w:lang w:val="en-US" w:eastAsia="en-US" w:bidi="ar-SA"/>
        </w:rPr>
        <w:t>EMA</w:t>
      </w:r>
      <w:r>
        <w:rPr>
          <w:rFonts w:ascii="arial" w:eastAsia="arial" w:hAnsi="arial" w:cs="arial"/>
          <w:color w:val="000000"/>
          <w:sz w:val="20"/>
          <w:lang w:val="en-US" w:eastAsia="en-US" w:bidi="ar-SA"/>
        </w:rPr>
        <w:t>. I find as a fact that she is not a person responsible for the remediation of the Mathers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As between the parties to this action, the Colbecks are solely responsible for the remediation of the Mathers property. The decision whether to pursue prior owners for contribution is theirs to make.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Assessment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As requested by the parties, I will not embark upon a consideration of the amount that Ms. Aldred is entitled to recover from the Colbecks as the cost of remediation. The answer to that question must be determined in the action between Ms. Aldred the contractor she retained to carry out the remediation. The parties will explore the reasonable cost of remediating the contaminated site as I have defined it in the course of that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Ms. Aldred is entitled to recover for the damage she sustained as a result of the negligent misrepresentation made by the Colbecks, subject to the rules pertaining to remoteness. In the usual course, the measure of damages would be the difference between the amount she paid for the property in 2001 and the amount that would reasonably have been paid given the presence and extent of contamination. There is no evidence of the diminution in value associated with contamination in 2001 and I am unable to assess Ms. Aldred's economic loss on that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Ms. Aldred incurred a loss when selling the residential property on 14th Street in West Vancouver which she had acquired in December 2000. She sold the property in order to complete the purchase of the Mathers property in January 2001. I am persuaded that the Colbecks were aware that the sale of that property so soon after its purchase was integrally connected to the purchase and sale of the Mathers property. The loss was caused by the fact that the Colbecks' negligent misrepresentation induced Ms. Aldred to buy their property. Ms. Aldred is entitled to recover the amount of that loss, which I assess at $6,123.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Ms. Aldred claims damages for the loss sustained as a consequence of the delay in selling the Mathers property. She claims that but for the contamination, the property would have been sold in April 2008. She claims damages as compensation for the property taxes, utility costs, and vacant home insurance costs in the period May 2008 through January 2009. She also claims damages as a consequence of the sale price in January 2009 being less than that at which the property was to have been sold under the Gulston contract. With respect, these losses were occasioned by a dispute between Ms. Aldred and Gulston regarding the question of whether Gulston breached the contract of purchase and sale so as to entitle Ms. Aldred to damages, or whether Ms. Aldred breached the contract of purchase and sale by failing to remediate on a timely or satisfactory basis as stipulated in their purchase and sale agreement. In either event, that kind of loss is too remote from the negligent misrepresentation to be compensable.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In the result, I dismiss Ms. Aldred's claim for damages allegedly arising from the delay in selling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Ms. Aldred claims damages as a consequence of having incurred debt financing costs related to the purchase of a home to replace the Mathers property. With respect, such losses could not reasonably have been in contemplation of the parties in 2001 and they are not compensable. I dismiss that claim as a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Ms. Aldred claims general damages for the discomfort, disappointment, anxiety and frustration she and her family have suffered as a result of the negligent misrepresentation. I am not persuaded that those matters were caused by the negligent misrepresentation as opposed to the actions of the contractor and/or Gulston. In addition, the evidence does not support a finding that the level of stress is outside the norm that one should be reasonably expected to endure in the give and take of ordinary life. In my opinion, the assessment of an award of general damages is not warranted in the circumstances even if arguably available in relation to claims of negligent misrepresentation where the primary concern is to compensate for economic loss. No award of general damages is warranted.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Finally, apart from the provisions of the </w:t>
      </w:r>
      <w:r>
        <w:rPr>
          <w:rFonts w:ascii="arial" w:eastAsia="arial" w:hAnsi="arial" w:cs="arial"/>
          <w:i/>
          <w:color w:val="000000"/>
          <w:sz w:val="20"/>
          <w:lang w:val="en-US" w:eastAsia="en-US" w:bidi="ar-SA"/>
        </w:rPr>
        <w:t>EMA</w:t>
      </w:r>
      <w:r>
        <w:rPr>
          <w:rFonts w:ascii="arial" w:eastAsia="arial" w:hAnsi="arial" w:cs="arial"/>
          <w:color w:val="000000"/>
          <w:sz w:val="20"/>
          <w:lang w:val="en-US" w:eastAsia="en-US" w:bidi="ar-SA"/>
        </w:rPr>
        <w:t>, it was reasonably foreseeable from the outset that upon the discovery of contamination in a particular area of the Mathers property, the owner would be required to take steps to remediate the contamination and, in doing so, would rely upon independent contractors to assess what was reasonably required to effect that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In this case, Dr. Sverre was retained as an environmental biologist to assist in the remediation process. I accept his evidence that he regarded the site as fully remediated by the work done to April 28, 2008. I find that the work considered by him to be required for that purpose was reasonable in nature and extent, notwithstanding that some portion of it may have been undertaken and performed in areas where contaminant levels did not exceed limits that were relevant for </w:t>
      </w:r>
      <w:r>
        <w:rPr>
          <w:rFonts w:ascii="arial" w:eastAsia="arial" w:hAnsi="arial" w:cs="arial"/>
          <w:i/>
          <w:color w:val="000000"/>
          <w:sz w:val="20"/>
          <w:lang w:val="en-US" w:eastAsia="en-US" w:bidi="ar-SA"/>
        </w:rPr>
        <w:t>EMA</w:t>
      </w:r>
      <w:r>
        <w:rPr>
          <w:rFonts w:ascii="arial" w:eastAsia="arial" w:hAnsi="arial" w:cs="arial"/>
          <w:color w:val="000000"/>
          <w:sz w:val="20"/>
          <w:lang w:val="en-US" w:eastAsia="en-US" w:bidi="ar-SA"/>
        </w:rPr>
        <w:t xml:space="preserve"> purposes. I find that the contamination was eliminated at April 28,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Ms. Aldred is entitled to damages equal to the reasonable cost of the services rendered to her by contractors concerned directly or indirectly with the removal and replacement of utilities and materials on the Mathers property under the supervision of or with the direction and assistance of Dr. Sverre in the period from March 1 through April 28, 2008. In the absence of agreement on quantification of the amount following disposition of the action to which Ms. Aldred and Digger Dick's are parties, those costs shall be quantified by a registrar.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Interest and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Ms. Aldred is entitled to pre-judgment interests and costs at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I.H. PITFIELD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Appendix A</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Environmental Management Act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Sections 45, 46, and 47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Persons responsible for remediation of contaminated sites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45(1) Subject to section 46 [</w:t>
      </w:r>
      <w:r>
        <w:rPr>
          <w:rFonts w:ascii="arial" w:eastAsia="arial" w:hAnsi="arial" w:cs="arial"/>
          <w:i/>
          <w:color w:val="000000"/>
          <w:sz w:val="20"/>
          <w:lang w:val="en-US" w:eastAsia="en-US" w:bidi="ar-SA"/>
        </w:rPr>
        <w:t>persons not responsible for remediation</w:t>
      </w:r>
      <w:r>
        <w:rPr>
          <w:rFonts w:ascii="arial" w:eastAsia="arial" w:hAnsi="arial" w:cs="arial"/>
          <w:color w:val="000000"/>
          <w:sz w:val="20"/>
          <w:lang w:val="en-US" w:eastAsia="en-US" w:bidi="ar-SA"/>
        </w:rPr>
        <w:t>], the following persons are responsible for remediation of a contaminated site:</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current owner or operator of the site;</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previous owner or operator of the site;</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who</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produced a substance, and</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by contract, agreement or otherwise caused the substance to be disposed of, handled or treated in a manner that, in whole or in part, caused the site to become a contaminated site;</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who</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transported or arranged for transport of a substance, and</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by contract, agreement or otherwise caused the substance to be disposed of, handled or treated in a manner that, in whole or in part, caused the site to become a contaminated site;</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who is in a class designated in the regulations as responsible for remediation.</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addition to the persons referred to in subsection (1), the following persons are responsible for remediation of a contaminated site that was contaminated by migration of a substance to the contaminated site:</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current owner or operator of the site from which the substance migrated;</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previous owner or operator of the site from which the substance migrated;</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who</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produced the substance, and</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by contract, agreement or otherwise caused the substance to be disposed of, handled or treated in a manner that, in whole or in part, caused the substance to migrate to the contaminated site;</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who</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transported or arranged for transport of the substance, and</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by contract, agreement or otherwise caused the substance to be disposed of, handled or treated in a manner that, in whole or in part, caused the substance to migrate to the contaminated site.</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secured creditor is responsible for remediation of a contaminated site if</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secured creditor at any time exercised control over or imposed requirements on any person regarding the manner of treatment, disposal or handling of a substance and the control or requirements, in whole or in part, caused the site to become a contaminated site, or</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secured creditor becomes the registered owner in fee simple of the real property at the contaminated site.</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secured creditor is not responsible for remediation if it acts primarily to protect its security interest, including, without limitation, if the secured creditor</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participates only in purely financial matters related to the site,</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has the capacity or ability to influence any operation at the contaminated site in a manner that would have the effect of causing or increasing contamination, but does not exercise that capacity or ability in such a manner as to cause or increase contamination,</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imposes requirements on any person, if the requirements do not have a reasonable probability of causing or increasing contamination at the site, or</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appoints a person to inspect or investigate a contaminated site to determine future steps or actions that the secured creditor might take.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Persons not responsible for remediation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46(1) The following persons are not responsible for remediation of a contaminated site:</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who would become a responsible person only because of an act of God that occurred before April 1, 1997, if the person exercised due diligence with respect to any substance that, in whole or in part, caused the site to become a contaminated site;</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who would become a responsible person only because of an act of war if the person exercised due diligence with respect to any substance that, in whole or in part, caused the site to become a contaminated site;</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who would become a responsible person only because of an act or omission of a third party, other than</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employee,</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agent, or</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party with whom the person has a contractual relationship,</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if the person exercised due diligence with respect to any substance that, in whole or in part, caused the site to become a contaminated site;</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owner or operator who establishes that</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time the person became an owner or operator of the site,</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site was a contaminated site,</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person had no knowledge or reason to know or suspect that the site was a contaminated site, and</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person undertook all appropriate inquiries into the previous ownership and uses of the site and undertook other investigations, consistent with good commercial or customary practice at that time, in an effort to minimize potential liability,</w:t>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person was an owner of the site, the person did not transfer any interest in the site without first disclosing any known contamination to the transferee, and</w:t>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owner or operator did not, by any act or omission, cause or contribute to the contamination of the site;</w:t>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owner or operator who</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owned or occupied a site that at the time of acquisition was not a contaminated site, and</w:t>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during the ownership or operation, did not dispose of, handle or treat a substance in a manner that, in whole or in part, caused the site to become a contaminated site;</w:t>
      </w:r>
    </w:p>
    <w:p>
      <w:pPr>
        <w:numPr>
          <w:numId w:val="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described in section 45(1)(c) or (d) or (2)(c) or (d) [</w:t>
      </w:r>
      <w:r>
        <w:rPr>
          <w:rFonts w:ascii="arial" w:eastAsia="arial" w:hAnsi="arial" w:cs="arial"/>
          <w:i/>
          <w:color w:val="000000"/>
          <w:sz w:val="20"/>
          <w:lang w:val="en-US" w:eastAsia="en-US" w:bidi="ar-SA"/>
        </w:rPr>
        <w:t>persons responsible for remediation of contaminated sites</w:t>
      </w:r>
      <w:r>
        <w:rPr>
          <w:rFonts w:ascii="arial" w:eastAsia="arial" w:hAnsi="arial" w:cs="arial"/>
          <w:color w:val="000000"/>
          <w:sz w:val="20"/>
          <w:lang w:val="en-US" w:eastAsia="en-US" w:bidi="ar-SA"/>
        </w:rPr>
        <w:t>] who</w:t>
      </w:r>
    </w:p>
    <w:p>
      <w:pPr>
        <w:numPr>
          <w:numId w:val="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transported or arranged to transport the substance to the site, if the owner or operator of the site was authorized under an Act to accept the substance at the time of its deposit, and</w:t>
      </w:r>
    </w:p>
    <w:p>
      <w:pPr>
        <w:numPr>
          <w:numId w:val="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received permission from the owner or operator described in subparagraph (i) to deposit the substance;</w:t>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government body that involuntarily acquires an ownership interest in the contaminated site, other than by government restructuring or expropriation, unless the government body caused or contributed to the contamination of the site;</w:t>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who provides assistance respecting remediation work at a contaminated site, unless the assistance is carried out in a negligent fashion;</w:t>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who provides advice respecting remediation work at a contaminated site unless the advice is negligent;</w:t>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who owns or operates a contaminated site that was contaminated only by the migration of a substance from other real property not owned or operated by the person;</w:t>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owner or operator of a contaminated site containing substances that are present only as natural occurrences not assisted by human activity and if those substances alone caused the site to be a contaminated site;</w:t>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subsection (2), a government body that possesses, owns or operates a roadway, highway or right of way for sewerage or waterworks on a contaminated site, to the extent of the possession, ownership or operation;</w:t>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who was a responsible person for a contaminated site for which a certificate of compliance was issued and for which another person subsequently proposes or undertakes to</w:t>
      </w:r>
    </w:p>
    <w:p>
      <w:pPr>
        <w:numPr>
          <w:numId w:val="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change the use of the contaminated site, and</w:t>
      </w:r>
    </w:p>
    <w:p>
      <w:pPr>
        <w:numPr>
          <w:numId w:val="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provide additional remediation;</w:t>
      </w:r>
    </w:p>
    <w:p>
      <w:pPr>
        <w:numPr>
          <w:numId w:val="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who is in a class designated in the regulations as not responsible for remediation.</w:t>
      </w:r>
    </w:p>
    <w:p>
      <w:pPr>
        <w:numPr>
          <w:numId w:val="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Subsection (1)(l) does not apply with respect to contamination placed or deposited below a roadway, highway or right of way for sewerage or waterworks by the government body that possesses, owns or operates the roadway, highway or right of way for sewerage or waterworks.</w:t>
      </w:r>
    </w:p>
    <w:p>
      <w:pPr>
        <w:numPr>
          <w:numId w:val="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seeking to establish that he or she is not a responsible person under subsection (1) has the burden to prove all elements of the exemption on a balance of probabilities.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General principles of liability for remediation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47(1) A person who is responsible for remediation of a contaminated site is absolutely, retroactively and jointly and separately liable to any person or government body for reasonably incurred costs of remediation of the contaminated site, whether incurred on or off the contaminated site.</w:t>
      </w:r>
    </w:p>
    <w:p>
      <w:pPr>
        <w:numPr>
          <w:numId w:val="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Subsection (1) must not be construed as prohibiting the apportionment of a share of liability to one or more responsible persons by the court in an action or proceeding under subsection (5) or by a director in an order under section 48 [</w:t>
      </w:r>
      <w:r>
        <w:rPr>
          <w:rFonts w:ascii="arial" w:eastAsia="arial" w:hAnsi="arial" w:cs="arial"/>
          <w:i/>
          <w:color w:val="000000"/>
          <w:sz w:val="20"/>
          <w:lang w:val="en-US" w:eastAsia="en-US" w:bidi="ar-SA"/>
        </w:rPr>
        <w:t>remediation orders</w:t>
      </w:r>
      <w:r>
        <w:rPr>
          <w:rFonts w:ascii="arial" w:eastAsia="arial" w:hAnsi="arial" w:cs="arial"/>
          <w:color w:val="000000"/>
          <w:sz w:val="20"/>
          <w:lang w:val="en-US" w:eastAsia="en-US" w:bidi="ar-SA"/>
        </w:rPr>
        <w:t>].</w:t>
      </w:r>
    </w:p>
    <w:p>
      <w:pPr>
        <w:numPr>
          <w:numId w:val="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purpose of this section, "costs of remediation" means all costs of remediation and includes, without limitation,</w:t>
      </w:r>
    </w:p>
    <w:p>
      <w:pPr>
        <w:numPr>
          <w:numId w:val="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costs of preparing a site profile,</w:t>
      </w:r>
    </w:p>
    <w:p>
      <w:pPr>
        <w:numPr>
          <w:numId w:val="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costs of carrying out a site investigation and preparing a report, whether or not there has been a determination under section 44 [</w:t>
      </w:r>
      <w:r>
        <w:rPr>
          <w:rFonts w:ascii="arial" w:eastAsia="arial" w:hAnsi="arial" w:cs="arial"/>
          <w:i/>
          <w:color w:val="000000"/>
          <w:sz w:val="20"/>
          <w:lang w:val="en-US" w:eastAsia="en-US" w:bidi="ar-SA"/>
        </w:rPr>
        <w:t>determination of contaminated sites</w:t>
      </w:r>
      <w:r>
        <w:rPr>
          <w:rFonts w:ascii="arial" w:eastAsia="arial" w:hAnsi="arial" w:cs="arial"/>
          <w:color w:val="000000"/>
          <w:sz w:val="20"/>
          <w:lang w:val="en-US" w:eastAsia="en-US" w:bidi="ar-SA"/>
        </w:rPr>
        <w:t>] as to whether or not the site is a contaminated site,</w:t>
      </w:r>
    </w:p>
    <w:p>
      <w:pPr>
        <w:numPr>
          <w:numId w:val="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legal and consultant costs associated with seeking contributions from other responsible persons, and</w:t>
      </w:r>
    </w:p>
    <w:p>
      <w:pPr>
        <w:numPr>
          <w:numId w:val="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fees imposed by a director, a municipality, an approving officer or the commission under this Part.</w:t>
      </w:r>
    </w:p>
    <w:p>
      <w:pPr>
        <w:numPr>
          <w:numId w:val="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Liability under this Part applies</w:t>
      </w:r>
    </w:p>
    <w:p>
      <w:pPr>
        <w:numPr>
          <w:numId w:val="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even though the introduction of a substance into the environment is or was not prohibited by any legislation if the introduction contributed in whole or in part to the site becoming a contaminated site, and</w:t>
      </w:r>
    </w:p>
    <w:p>
      <w:pPr>
        <w:numPr>
          <w:numId w:val="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despite the terms of any cancelled, expired, abandoned or current permit or approval or waste management plan and its associated operational certificate that authorizes the discharge of waste into the environment.</w:t>
      </w:r>
    </w:p>
    <w:p>
      <w:pPr>
        <w:numPr>
          <w:numId w:val="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section 50(3) [</w:t>
      </w:r>
      <w:r>
        <w:rPr>
          <w:rFonts w:ascii="arial" w:eastAsia="arial" w:hAnsi="arial" w:cs="arial"/>
          <w:i/>
          <w:color w:val="000000"/>
          <w:sz w:val="20"/>
          <w:lang w:val="en-US" w:eastAsia="en-US" w:bidi="ar-SA"/>
        </w:rPr>
        <w:t>minor contributors</w:t>
      </w:r>
      <w:r>
        <w:rPr>
          <w:rFonts w:ascii="arial" w:eastAsia="arial" w:hAnsi="arial" w:cs="arial"/>
          <w:color w:val="000000"/>
          <w:sz w:val="20"/>
          <w:lang w:val="en-US" w:eastAsia="en-US" w:bidi="ar-SA"/>
        </w:rPr>
        <w:t>], any person, including, but not limited to, a responsible person and a director, who incurs costs in carrying out remediation of a contaminated site may commence an action or a proceeding to recover the reasonably incurred costs of remediation from one or more responsible persons in accordance with the principles of liability set out in this Part.</w:t>
      </w:r>
    </w:p>
    <w:p>
      <w:pPr>
        <w:numPr>
          <w:numId w:val="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subsections (7) and (8), a person is not required to obtain, as a condition of an action or proceeding under subsection (5) being heard by a court,</w:t>
      </w:r>
    </w:p>
    <w:p>
      <w:pPr>
        <w:numPr>
          <w:numId w:val="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decision, determination, opinion or apportionment of liability for remediation from a director, or</w:t>
      </w:r>
    </w:p>
    <w:p>
      <w:pPr>
        <w:numPr>
          <w:numId w:val="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opinion respecting liability from an allocation panel.</w:t>
      </w:r>
    </w:p>
    <w:p>
      <w:pPr>
        <w:numPr>
          <w:numId w:val="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all cases, the site that is the subject of an action or proceeding must be determined or considered under section 44 [</w:t>
      </w:r>
      <w:r>
        <w:rPr>
          <w:rFonts w:ascii="arial" w:eastAsia="arial" w:hAnsi="arial" w:cs="arial"/>
          <w:i/>
          <w:color w:val="000000"/>
          <w:sz w:val="20"/>
          <w:lang w:val="en-US" w:eastAsia="en-US" w:bidi="ar-SA"/>
        </w:rPr>
        <w:t>determination of contaminated sites</w:t>
      </w:r>
      <w:r>
        <w:rPr>
          <w:rFonts w:ascii="arial" w:eastAsia="arial" w:hAnsi="arial" w:cs="arial"/>
          <w:color w:val="000000"/>
          <w:sz w:val="20"/>
          <w:lang w:val="en-US" w:eastAsia="en-US" w:bidi="ar-SA"/>
        </w:rPr>
        <w:t>] to be or to have been a contaminated site before the court can hear the matter.</w:t>
      </w:r>
    </w:p>
    <w:p>
      <w:pPr>
        <w:numPr>
          <w:numId w:val="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Despite subsection (7), if independent remediation has been carried out at a site and the site has not been determined or considered under section 44 [</w:t>
      </w:r>
      <w:r>
        <w:rPr>
          <w:rFonts w:ascii="arial" w:eastAsia="arial" w:hAnsi="arial" w:cs="arial"/>
          <w:i/>
          <w:color w:val="000000"/>
          <w:sz w:val="20"/>
          <w:lang w:val="en-US" w:eastAsia="en-US" w:bidi="ar-SA"/>
        </w:rPr>
        <w:t>determination of contaminated sites</w:t>
      </w:r>
      <w:r>
        <w:rPr>
          <w:rFonts w:ascii="arial" w:eastAsia="arial" w:hAnsi="arial" w:cs="arial"/>
          <w:color w:val="000000"/>
          <w:sz w:val="20"/>
          <w:lang w:val="en-US" w:eastAsia="en-US" w:bidi="ar-SA"/>
        </w:rPr>
        <w:t>] to be or to have been a contaminated site, the court must determine whether the site is or was a contaminated site.</w:t>
      </w:r>
    </w:p>
    <w:p>
      <w:pPr>
        <w:numPr>
          <w:numId w:val="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may determine in accordance with the regulations, unless otherwise determined or established under this Part, any of the following:</w:t>
      </w:r>
    </w:p>
    <w:p>
      <w:pPr>
        <w:numPr>
          <w:numId w:val="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a person is responsible for remediation of a contaminated site;</w:t>
      </w:r>
    </w:p>
    <w:p>
      <w:pPr>
        <w:numPr>
          <w:numId w:val="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costs of remediation of a contaminated site have been reasonably incurred and the amount of the reasonably incurred costs of remediation;</w:t>
      </w:r>
    </w:p>
    <w:p>
      <w:pPr>
        <w:numPr>
          <w:numId w:val="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apportionment of the reasonably incurred costs of remediation of a contaminated site among one or more responsible persons in accordance with the principles of liability set out in this Part;</w:t>
      </w:r>
    </w:p>
    <w:p>
      <w:pPr>
        <w:numPr>
          <w:numId w:val="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such other determinations as are necessary to a fair and just disposition of these matters.</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29" style="position:absolute;z-index:25186099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7"/>
          <w:headerReference w:type="default" r:id="rId18"/>
          <w:footerReference w:type="even" r:id="rId19"/>
          <w:footerReference w:type="default" r:id="rId20"/>
          <w:headerReference w:type="first" r:id="rId21"/>
          <w:footerReference w:type="first" r:id="rId2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3" w:history="1">
        <w:r>
          <w:rPr>
            <w:rFonts w:ascii="arial" w:eastAsia="arial" w:hAnsi="arial" w:cs="arial"/>
            <w:b/>
            <w:bCs/>
            <w:i/>
            <w:color w:val="0077CC"/>
            <w:kern w:val="32"/>
            <w:sz w:val="28"/>
            <w:szCs w:val="32"/>
            <w:u w:val="single"/>
            <w:shd w:val="clear" w:color="auto" w:fill="FFFFFF"/>
            <w:lang w:val="en-US" w:eastAsia="en-US" w:bidi="ar-SA"/>
          </w:rPr>
          <w:t>Anmore Development Corp. v. Burnaby (City), [2005] B.C.J. No. 2283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Bennett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13 - 17, 20 - 24, 27 - 28 and 30;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October 1 and November 18 - 19, 2004; and January 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and 7, 2005 (Vancouver).</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19,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New Westminster Registry No. S044381</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[2005] B.C.J. No. 2283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2005 BCSC 1477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14 M.P.L.R. (4th) 34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143 A.C.W.S. (3d) 567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2005 CarswellBC 2491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17 C.E.L.R. (3d) 155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Anmore Development Corp., plaintiff, and The City of Burnaby, Joginder Singh Thandi, Charanjit Kaur Thandi, Avtar Singh Thandi and Thandi Group Holdings Ltd.,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(160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30" style="position:absolute;z-index:2516592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7" w:name="Keywords_0"/>
      <w:bookmarkEnd w:id="7"/>
      <w:r>
        <w:rPr>
          <w:rFonts w:ascii="arial" w:eastAsia="arial" w:hAnsi="arial" w:cs="arial"/>
          <w:b/>
          <w:color w:val="000000"/>
          <w:sz w:val="20"/>
          <w:lang w:val="en-US" w:eastAsia="en-US" w:bidi="ar-SA"/>
        </w:rPr>
        <w:t>Municipal law — Actions by or against municipalities — Action in nuisance and trespass against municipality dismissed — Municipality acted in good faith in permitting non-conforming use of property by plaintiff's neighbour to continue.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Environmental law — Land pollution — Waste disposal — Neighbour ordered to compensate plaintiff for amount assessed by municipality for clean-up of waste, part of which fell onto plaintiff's land from neighbour's land.</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Nuisance — Emissions and contamination — Trespass — To land — Action against neighbour for nuisance allowed where debris from pile on neighbour's property fell onto plaintiff's land — Action in trespass dismissed because falling of debris lacked directness — Action based on rule in Rylands v. Fletcher dismissed where no single disastrous escape occurred.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8" w:name="Case Summary_0"/>
            <w:bookmarkEnd w:id="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Anmore against the Thandis and the City of Burnaby for permitting waste material to fall on its property. Burnaby, the Thandis and Anmmore owned adjacent properties. Thandi rented a portion of his property to Ech-Tech and Echino. Ech-Tech was a company recycling construction waste. The property was not zoned for recycling. Burnaby informed Thandi the recycling would have to cease. Thandi and Ech-Tech entered a business relationship, and made a proposal to the city to bring the business into compliance with zoning regulations. Ech-Tech was allowed to continue business for two years pending the proposal. Thandi undertook to construct a building on the property that would bring the recycling business into zoning compliance. A large pile of construction material accumulated on the land while construction was going on. Some of the material ended up on Anmore's land. Ech-Tech fell behind in rent in 1995, and the pile continued to build without being recycled or hauled away. The Thandis closed down Ech-Tech's operation for failing to comply with its lease. The property was rezoned in 1995, allowing for outside recycling. The Thandis entered into an agreement with WMI to remove the outside waste pile from its property by December 1995. The pile remained. Burnaby gave Thandi until February 1997 to remove all the debris from his land, and the adjacent property. Burnaby hired WMI and another company to remove the debris. Anmore was assessed $63,013 for the costs of clean-up, based on the volume of waste on their land.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9" w:name="Holdings of Court_0"/>
            <w:bookmarkEnd w:id="9"/>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Anmore was awarded $56,713 from the Thandis. The waste that accumulated on the Anmore lands was not directly dumped there, but fell from the Thandis' adjacent land. Anmore did not have a claim in trespass because the debris that fell from the Thandis' land did not have the directness required for the tort. The Thandis were jointly liable with Ech-Tech in nuisance because they participated in Ech-Tech's business, and as Ech-Tech's landlords. Burnaby was not liable to Anmore in nuisance because it acted in good faith in allowing Ech-Tech to continue its business while working with it to bring the business into zoning compliance. Neither the Thandis nor Burnaby were liable to Anmore based on the doctrine of Rylands v. Fletcher, because there as no single disastrous escape. The amount of damages awarded to Anmore was reduced by ten percent to account for waste left on the Anmore property from a prior business there.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0" w:name="Counsel_0"/>
      <w:bookmarkEnd w:id="1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31" style="position:absolute;z-index:2517104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Albert MacKinnon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The City of Burnaby: Alex Sayn-Wittgenstein &amp; Lamour Krebs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Thandis: Andrew Sandilands &amp; Michael D. Carter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1" w:name="Judgment_0"/>
      <w:bookmarkEnd w:id="11"/>
      <w:r>
        <w:pict>
          <v:line id="_x0000_s1032" style="position:absolute;z-index:251761664"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0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2" w:name="BENNETT J."/>
            <w:bookmarkEnd w:id="12"/>
            <w:r>
              <w:rPr>
                <w:rFonts w:ascii="arial" w:eastAsia="arial" w:hAnsi="arial" w:cs="arial"/>
                <w:b/>
                <w:color w:val="000000"/>
                <w:sz w:val="30"/>
                <w:lang w:val="en-US" w:eastAsia="en-US" w:bidi="ar-SA"/>
              </w:rPr>
              <w:t>BENNETT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case involves garbage, an enormous pile of garbage. The issue is who is responsible for the cost of clean-up.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Overview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There are three related causes of action which were heard together: i) Anmore Development Corp. v. The City of Burnaby, Joginder Singh Thandi, Charanjit Kaur Thandi, Avtar Thandi and Thandi Group Holdings Ltd. ["The Thandis"] No. S044381. In this cause of action, Anmore Development Corp. ("Anmore") sued the Thandis for permitting the waste material to fall onto its property and sued the City of Burnaby ("the City") for permitting waste material to fall onto Anmore's property from both City property and the Thandis' property. Anmore was also assessed on its taxes by the City for the cost of removal and it seeks to recover this as well. The Thandis had a counterclaim alleging that garbage from a recycling plant on Anmore lands fell onto the Thandis' lands, however this was abandoned at trial; ii) City of Burnaby v. Joginder Singh Thandi, Charanjit Kaur Thandi, Avtar Singh Thandi, Thandi Group Holdings Ltd., Ech-Tech Recycling Ltd. And James Echino No. C982879, </w:t>
      </w:r>
      <w:hyperlink r:id="rId24" w:history="1">
        <w:r>
          <w:rPr>
            <w:rFonts w:ascii="arial" w:eastAsia="arial" w:hAnsi="arial" w:cs="arial"/>
            <w:i/>
            <w:color w:val="0077CC"/>
            <w:sz w:val="20"/>
            <w:u w:val="single"/>
            <w:shd w:val="clear" w:color="auto" w:fill="FFFFFF"/>
            <w:lang w:val="en-US" w:eastAsia="en-US" w:bidi="ar-SA"/>
          </w:rPr>
          <w:t>[2005] B.C.J. No. 2284</w:t>
        </w:r>
      </w:hyperlink>
      <w:r>
        <w:rPr>
          <w:rFonts w:ascii="arial" w:eastAsia="arial" w:hAnsi="arial" w:cs="arial"/>
          <w:color w:val="000000"/>
          <w:sz w:val="20"/>
          <w:lang w:val="en-US" w:eastAsia="en-US" w:bidi="ar-SA"/>
        </w:rPr>
        <w:t xml:space="preserve">. In this action, the City sued the Thandis, Ech-Tech Recycling Ltd. ("Ech-Tech") and Mr. Echino for damages caused by the encroachment of the waste material onto City lands as well as the nuisance it alleges was created by the failure of the Thandis to remove the waste material from their land and the cost of removal. The Thandis counterclaimed in this action, but the counterclaim was dismissed on a rule 18A application; and iii) Joginder Singh Thandi, Charanjit Kaur Thandi, Avtar Singh Thandi and the Thandi Group Holdings Ltd. v. City of Burnaby No. L032667, </w:t>
      </w:r>
      <w:hyperlink r:id="rId25" w:history="1">
        <w:r>
          <w:rPr>
            <w:rFonts w:ascii="arial" w:eastAsia="arial" w:hAnsi="arial" w:cs="arial"/>
            <w:i/>
            <w:color w:val="0077CC"/>
            <w:sz w:val="20"/>
            <w:u w:val="single"/>
            <w:shd w:val="clear" w:color="auto" w:fill="FFFFFF"/>
            <w:lang w:val="en-US" w:eastAsia="en-US" w:bidi="ar-SA"/>
          </w:rPr>
          <w:t>[2005] B.C.J. No. 2285</w:t>
        </w:r>
      </w:hyperlink>
      <w:r>
        <w:rPr>
          <w:rFonts w:ascii="arial" w:eastAsia="arial" w:hAnsi="arial" w:cs="arial"/>
          <w:color w:val="000000"/>
          <w:sz w:val="20"/>
          <w:lang w:val="en-US" w:eastAsia="en-US" w:bidi="ar-SA"/>
        </w:rPr>
        <w:t>. This action is for a declaration that the amount assessed by the City for the clean-up on the Thandi lands was wrongly calculated. Separate Reasons will issue for each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James Echino and Ech-Tech were served, however neither filed an appearance and thus did not participate in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City eventually cleaned up all of the garbage. They assessed what they considered the Thandis' share of the costs for clean-up on the Thandi land and added it to their taxes. The City also attributed a share of the costs to Anmore and similarly added this to the taxes.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Thandis were assessed $231,182.35, Anmore was assessed $63,013.54 and Burnaby claims $410,364.93 for the clean-up on the City lands.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three parties own adjacent lands in Burnaby, B.C. I will refer to the properties as the "Anmore lands", the "Thandi lands" and the "City lands". The Anmore and Thandi lands are beside each other. The Burnaby lands lie to the east of the other two lands.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 large pile (approximately 200' by 80' high) of construction material, ("the waste") which was intended to be recycled, accumulated on the Thandi lands. Some of the material also ended up on the Anmore Lands and much of it was dumped onto the City lands.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 will refer to Joginder Thandi as Mr. Thandi and I will refer to his son as Avtar Thandi. Mrs. Charanjit Thandi did not actively participate in these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Joginder ("Joe") Thandi came to Canada in 1963. He has worked very hard during his life and, primarily through land investment, achieved considerable financial success. However, his involvement with James Echino of Ech-Tech did not fare as well as his other ventures.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Thandi bought his property in Burnaby in 1989. The property is approximately five acres. When he bought the property there were a number of small businesses operating on it, including a shingle sawmill, a few trucking companies and a small business operated by the previous owner of the 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1990, Mr. Thandi rented a half-acre to James Echino. Mr. Echino wanted to store empty bins. Mr. Echino started a company called Mr. Wiggins Storage which was a recycling operation involving construction waste.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Thandi's property was zoned "M2" which did not permit recycling. An "M3" zoning would permit indoor recycling. An "M3a" zoning would permit outdoor recycling.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July 1990, the City became aware of the operations on the Thandi lands and discussed relocating Mr. Echino's operation to a property zoned M3a. Otherwise, the City told him, he would have to cease operations.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Thandi said that he told Mr. Echino he would have to leave, but Mr. Echino told him he would try to work something out with the 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Craig Collis worked for the City as a property inspector in 1990. In 1992, he became the Chief Licence Inspector for the City. He oversaw the activities on the site with respect to bylaw compliance, licensing requirements and the zoning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Collis testified that when the City discovers someone not in compliance with the zoning or bylaws, it does not necessarily shut down the business immediately. Its policy is to try to work with the business to gain compliance. Later, Mr. Collis agreed that this was not a policy of the City, but a practice of the licensing department and was not approved as a "policy" by the City. However, in March 1995, Council did adopt a monitoring approach to Ech-Tech rather than enforcing the bylaw.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City discovered that several of Mr. Thandi's tenants were carrying on businesses contrary to the zoning. These tenants were on the site when Mr. Thandi bought the 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On October 17, 1990 APAC Services Inc. sent a letter to the City on behalf of Mr. J. Thandi, outlining what Mr. Thandi had done to address the various concerns of the City. APAC is a consulting firm operated by a former City Councilman, Victor Stuziak. Included in this letter the following: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8051"/>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James Echind (sic), Mr Wiggins Storage Depot is to become a recycling depot.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Mr. J. Thandi has had discussions with D. Stenson, Burnaby Planning department, who advised that Burnaby would require that the business being conducted by this tenant would have to be conducted in premises in conformity to conditions set out in the by law.</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Mr. J. Thandi agrees to submit on behalf of Mr. Wiggins Storage Depot a plan for building and site requirements which will conform to the (M2) zone. A proposal is presently being developed and will be submitted before the end of this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Thandi also signed the letter, explicitly affirming its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While the proposal was pending, Mr. Echino was permitted to continue his operation.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 plan was put forward to build a building on the Thandi lands for a recycling depot. An application to rezone the property from M2 to M3 was received on January 3, 1991.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On February 15, 1991, a business plan was submitted indicating their readiness to proceed with what is referred to as the Preliminary Plan Approval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Planning Department did not support the rezoning application. Earlier documents suggest that the Burnaby City Council rejected the application, but a later document, dated from April 3, 1995, suggested that at the time, Council requested that the Planning Department work with the applicant toward developing a suitable plan.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At some point, Mr. Wiggins Storage became Ech-Tech Recycling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General discussions occurred during 1991 in relation to developing a plan for the recycling depot to come within compliance of the zoning.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Thandi testified that he was frequently away from home as he accompanied an elderly holy man around the world. When he was away, his son, Avtar Thandi, had the responsibility and authority to look after the family's business affairs.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On March 6, 1992, a letter was sent from the City to APAC Service, who had been retained by the Thandis, in response to a submission sent to the City by APAC. In the letter, the City pointed out that the recycling operation could not continue to be conducted outdoors as that violated the zoning. The letter stated that the operation would be permitted on the Thandi lands if it was contained within a completely enclosed building which would comply with the M2 zoning.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City confirmed its commitment in general with the principle of recycling, which is why it permitted Mr. Echino to operate since 1990 in a situation of non-compliance with the zoning regulations. However, it was not prepared to agree to the four-year plan which had been submitted by APAC. A number of concerns were raised, including the unsightliness and potential environmental impact of the waste pile. The letter closed by confirming that the operation was not authorized and that if it was not brought within an enclosed space soon, it would have to move.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 meeting occurred on October 29, 1992, between Mr. Collis, Mr. Thandi, Avtar Thandi, Mr. Stuziak (from APAC) and Mr. Carr-Hilton (who is the Thandis' accountant). Mr. Collis followed up the meeting with a letter to Mr. Echino, copied to the others, confirming the meeting. It is not entirely clear from reading the letter whether Mr. Echino was at this meeting. However, Mr. Collis testified that Mr. Echino was at this meeting, and I find that he was there. It would make little sense for him not to be in attendance.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Collis, in his letter of November 6, 1992, confirmed that he was told by them that the Thandis and Mr. Echino had formed a partnership to develop the recycling operation on the Thandi lands. This statement was not contradicted or disputed at the time. Further, a plan was being prepared which included the construction of a building to entirely enclose the recycling operation, in compliance with the bylaw. He stated that if the proposal was not submitted by November 30, 1992, the letter served as final notice to cease operations.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Mr. Thandi testified that he did not see this letter and denied that he ever formed a partnership with Mr. Echino.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the meantime, the waste pile was growing. Dump trucks full of construction waste would arrive on the Thandi lands and dump the waste on a small tipping platform. There the waste would be sorted.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On June 13, 1992, Mr. Echino and Mr. Thandi entered into an agreement whereby Mr. Echino and Ech-Tech agreed that it owed the Thandis $26,019.13 for property taxes. This was to be paid in monthly instalments of $2,385.00, which included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November 30, 1992 date came and went with the City continuing to give Ech-Tech a chance to comply with the bylaws.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December 1992 and January 1993, Mr. Thandi was involved in negotiations with Mr. Echino regarding the business. By way of a letter agreement dated January 21, 1993, the Thandi Group (TTG) agreed with Ech-Tech, that Ech-Tech would purchase recycling equipment in excess value of $250,000, and the Thandi Group would be responsible for constructing a building to the minimum specifications required by the City. There were a number of terms, including that the debris pile was to be reduced to 7,000 cubic yards. Rent initially would be $7000 a month from January 1993 until City approval was granted. That rent would increase to $9000 a month four months after construction started. It was anticipated that a long term lease would be entered into at a later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Part of this agreement was that TTG would purchase 15% of the issued shares of the company for $75,000.00. The voting rights of the shares were assigned to Mr. Echino, on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Both Avtar Thandi and Mr. Thandi were aware at this time that the waste pile was of concern. This was one of the reasons Mr. Thandi wanted the pile reduced to 7,000 cubic yards.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By the fall of 1993, the City had become aware that the waste pile was encroaching on City lands as well as on the adjacent lands (now the Anmore lands), which at that time was owned by Stadco Forest Products ("Stadco"). This property was purchased by Anmore in 1994.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late 1993, Mr. Steer, a principle of Stadco, rented Mr. Echino a part of his property that was next to the Thandi lands. Mr. Echino set up his recycling equipment on this property. There was no room to set the equipment up on the Thandi lands as it would interfere with the construction of the new building. The waste came onto the Thandi lands, was sorted on the tipping platform and added to the growing pile. Some of the waste was processed by the equipment on the property owned by Stadco. No trucks entered from the Stadco side and there was no dumping on the Stadco property. There was waste which accumulated on the Stadco property near the equipment as it had to be in that location to be fed into the machinery.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Stadco site was kept clean, except for what was necessary to be fed into the machine. However, a waste pile of considerable size was on the Stadco site at this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On December 16, 1993, Mr. Collis sent a letter to Mr. Echino, with a copy to Mr. Thandi, ordering him to clean up the City property and the Stadco property by March 1 1994. On February 23, 1994, Ech-Tech's solicitors sent a letter to the City confirming that the clean-up was underway.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Indeed, the City property was cleaned up by mid-March 1994. However, this state of affairs was short-lived.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A building permit was issued on March 17, 1994 and construction was underway.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March 1994, Avtar Thandi wrote a cheque to James Echino for $60,000 to build a larger tipping platform. Mr. Thandi was very unhappy with his son when he learned of this loan.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In April 1994, the Thandis' and their company entered into an agreement with James Echino and Ech-Tech which stated that Mr. Echino and Ech-Tech wished to operate a recycling facility on the Thandi property. As a result, the Thandis agreed to construct a building valued at no more than $2,000,000. Mr. Echino and Ech-Tech agreed that debris piles of no more than </w:t>
      </w:r>
      <w:r>
        <w:rPr>
          <w:rFonts w:ascii="arial" w:eastAsia="arial" w:hAnsi="arial" w:cs="arial"/>
          <w:color w:val="000000"/>
          <w:sz w:val="20"/>
          <w:u w:val="single"/>
          <w:lang w:val="en-US" w:eastAsia="en-US" w:bidi="ar-SA"/>
        </w:rPr>
        <w:t>30,000 cubic yards</w:t>
      </w:r>
      <w:r>
        <w:rPr>
          <w:rFonts w:ascii="arial" w:eastAsia="arial" w:hAnsi="arial" w:cs="arial"/>
          <w:color w:val="000000"/>
          <w:sz w:val="20"/>
          <w:lang w:val="en-US" w:eastAsia="en-US" w:bidi="ar-SA"/>
        </w:rPr>
        <w:t xml:space="preserve"> (emphasis added) were to be stored on the lands, with a provision for security for clean-up of the lands. Both Mr. Thandi and Avtar Thandi were aware that anything beyond 7,000 cubic yards could be a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James Echino and Avtar Thandi were to be paid $2,000.00 a month each as a consulting fee to supervise the construction although Avtar Thandi had no experience in construction.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During his evidence, Mr. Thandi asserted he did not agree to the terms of this agreement. In other proceedings and pleadings, however, he acknowledged that he had agreed to these terms.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Avtar Thandi, who acknowledged that the City did not want waste on its land denied that he agreed to Ech-Tech storing 30,000 cubic yards of debris. He said "debris" in the agreement meant recycled product. This suggestion is absurd in light of the enormous pile of waste that had accrued before the agreement and the huge pile of waste that accrued (encroaching substantially again on the City lands) after the agreement was signed.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A shareholder agreement had also been prepared between the Thandis and Ech-Tech.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waste pile continued to grow in size. Avtar Thandi, when faced with photos of the pile, had to acknowledge that it indeed had grown. However, in an affidavit sworn in a different action, Avtar Thandi denied that the waste pile was "very obvious". This is one of several examples during his testimony in which Avtar Thandi's memory failed him or he simply was untruthful. In any event, his evidence is not reliable.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Anmore Development bought the Stadco lands in June of 1994. Ech-Tech remained on this property until December 1994. Mr. Brian Kask is the owner of Anmore.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Mr. Thandi and Avtar Thandi testified that during construction, trucks would drive through the Anmore lands and dump on the Anmore lands. Mr. Steer of Stadco and Mr. Kask testified that trucks never entered the Anmore property, as did employees of Mr. Kask. They all said that the trucks entered from the Wiggins Road side onto the Thandi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It does not make any sense that the trucks came onto the Anmore lands and dumped directly there. Firstly, there was a check station on the Wiggins Road side of the Thandi property where the trucks generally stopped. The truckers paid Ech-Tech for each load that was dumped. Once inside the property, the waste was dumped on a tipping platform for sorting. No such platform or sorting bins existed on the Anmore side, nor was the sorting area easily (if at all) accessible from the Anmore lands. Secondly, the Thandis had invested (or loaned) a substantial sum of money to Ech-Tech to install a larger tipping platform on their property for the waste to be dumped and sorted.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Photographic evidence supported trucks entering from the Thandi 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On his examination for discovery, Avtar Thandi said he did not know where the trucks entered, while at trial he testified that the trucks entered from the Anmore 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Most telling is a letter sent by counsel for Ech-Tech to Mr. Collis on February 22, 1994. In this letter, counsel states, on p. 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For a period of six months while the construction of the building is occurring on 5350 Byrne Road [the Thandi land], Ech-Tech Recycling Ltd. needs to continue operation of the processing equipment on the Stadco Forest Products Ltd. property at 5450 Byrne Road [now the Anmore land]. The site at 5350 Byrne Road is not sufficiently large to permit the operation of the equipment on the site in addition to constructing the building at the same time. The viability of this business is directly contingent upon the continued processing operation during the time the building is being constructed. Accordingly, our client is requesting that they be permitted to continue the operation of their equipment on 5450 Byrne Road to process </w:t>
      </w:r>
      <w:r>
        <w:rPr>
          <w:rFonts w:ascii="arial" w:eastAsia="arial" w:hAnsi="arial" w:cs="arial"/>
          <w:color w:val="000000"/>
          <w:sz w:val="20"/>
          <w:u w:val="single"/>
          <w:lang w:val="en-US" w:eastAsia="en-US" w:bidi="ar-SA"/>
        </w:rPr>
        <w:t>materials stored on the property at 5350 Byrne Road until the new building is completed or September 1, 1994, whichever is earlier</w:t>
      </w:r>
      <w:r>
        <w:rPr>
          <w:rFonts w:ascii="arial" w:eastAsia="arial" w:hAnsi="arial" w:cs="arial"/>
          <w:color w:val="000000"/>
          <w:sz w:val="20"/>
          <w:lang w:val="en-US" w:eastAsia="en-US" w:bidi="ar-SA"/>
        </w:rPr>
        <w:t>.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This letter was signed as acknowledged by James Echino. When shown this letter during his cross-examination, Avtar Thandi said that he had nothing to do with this letter and said there is no way he would have anything to with that. Avtar Thandi obviously forgot that he had signed the letter (on page 3) and agreed to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Avtar Thandi, owner of the property situate at 5350 Byrne Road acknowledge that I have read the contents of the letter of David H. Goodwin as set out above and confirm our intention to construct a building on our site to house the recycling operations of Ech-Tech Recycling Ltd. in accordance with the terms set out in the above letter.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When shown his signature, Avtar Thandi's response only compounded his misstatements.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 do not accept the evidence that trucks came onto the Anmore lands and dumped waste directly onto the Anmore lands.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Any waste on Anmore at this time was piled next to the recycling equipment which was adjacent to the pile on the Thandi lands.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Avtar Thandi testified that he knew the waste was piling up, but it was not with his agreement. He suggested that the City allowed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 have no doubt that both Avtar and Joe Thandi were well aware of the waste piling up again on the City lands and that they did nothing about it because they had invested an enormous sum of money in constructing the building to recycle the waste. Mr. Thandi was also aware that the City, at this point, was in support of the recycling plant and the City was not likely to take steps to shut it 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operations on the Anmore lands ended in December 2004. Mr. Kask testified that when Ech-Tech left, his property was cleaned up. His blacktop on which they were operating was clear. He agreed that there was a small amount left in a triangle area that the City eventually cleaned up. However, he observed the pile next door continuing to grow both on the Thandi lands and on the City lands.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debris began to accumulate on the Anmore land. There was much debate about how it got there, but the simple answer is that it fell from the Thandi property onto the Anmore property. There were backhoes working on the pile on the Thandi lands and the City lands all the time, moving the debris around. Over a number of months, the pile on the Anmore property grew and was also significant, although nothing compared to the other piles.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Avtar Thandi testified that some of the debris on Anmore's property was dumped there by Anmore employees during the construction of the Curtis Lumber building the Anmore site. Avtar Thandi has demonstrated that he is a very unreliable witness. I do not accept his evidence, contradicted by Mr. Kask and his employees, that Anmore dumped waste on its own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As the construction of the building continued, the waste pile continued to grow. On February 28, 1995, Mr. Collis inspected the site and generated the following memo:</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Walked to the City property where demolition material is spilling over. The pile is 60-80 feet high with very steep banks. Pile extends back to 5300 property at a height equal to that of the building. The pile is immense and certainly more imposing than it was a month ago. An excavator was on top of the pile moving material back towards the City property.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[Then there is a discussion recorded with James Echino's brother regarding the commencement of dumping in the building itself.]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external storage of material and the trespass on to City property appears to be moving away from compliance with City bylaws and Council's requests.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agreement with Ech-Tech required that it pay the Thandis a substantial rent, which the Thandis relied upon to pay the mortgage. Once the building was finished, the rent would work out to approximately $28,000 a month, as it was based on a percentage of the mortgage payment. The Thandis could not shut down Ech-Tech because of their significant investment in the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Mr. Thandi testified, in essence, that since the City did not stop Mr. Echino, then he assumed everything was fine. It is true that the City did not stop Mr. Echino, however, it was the risk of losing their financial investment that stayed the hand of the Thandis.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However, the agreement Mr. Thandi signed with Ech-Tech clearly addressed the issue of nuisance to neighbouring lands. He agreed that he had the authority to cancel the lease given the renewed dumping in 1994-1995.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Mr. Collis also agreed that given Ech-Tech had no business licence and was in non-compliance with the bylaws, the City could have shut down this business at anytime. Such action by the City would have put the Thandis' investment in serious jeopardy as they were relying on the rent from Ech-Tech.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In 1995, Ech-Tech began to fall behind in their in their rent. Mr. Thandi agreed with the following passage from his affidavit: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had no idea how much money they [Ech-Tech] were collecting until I began this action and learned that they had taken in over $2,200,000 between June 1994 and April 1995. During this time they did not pay the land taxes, defaulted in payment of rent, and did not sort or recycle large amounts of waste they had received, and did not haul away waste, so I have grave doubt their finances were in fact tight.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City Manager prepared a report for the City Council meeting held March 20, 1995. He recommended that the City take legal action against Ech-Tech to require them to stop the dumping and to clean up all of the properties. Mr. Echino appeared at this meeting and made representations. The City decided to monitor the activities of Ech-Tech.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Monitoring in March 1995 showed dump trucks with waste coming onto the property and dumping in the new building and on the existing pile.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On March 23, 1995, counsel for the Thandis sent a letter to Ech-Tech pointing out the deficiencies in payment. The letter demanded, amongst other things, that Ech-Tech cease receiving waste beyond their capacity to recycle it and to forthwith begin to remove the debris piles from outside to comply with the directions of the City. This letter was not copied to the 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Mr. Thandi called Mr. Collis on April 25, 1995, asking the City to stop Mr. Echino.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On April 26, 1995, counsel for the Thandis' wrote to Ech-Tech advising that they were closing down their operation for violations of the 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City was notified the next day that Ech-Tech had been closed down by the Thandis.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Shortly after Ech-Tech was shut down, WMI Waste Management of Canada Inc. ("WMI") expressed an interest in renting the Thandi Lands. WMI was looking for a facility with access to rail lines, as well as a recycling facility.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An agreement was entered into by the Thandis and WMI with rents set at $25,000 per month, increasing by $1000 per month per year after the second year of the agreement. WMI was also responsible for paying the taxes on the property. The agreement commenced on the issuance of an occupancy permit by the City. The Thandis were responsible for removing the waste from inside the building, their lands and from the City lands. WMI agreed to do the actual removal, but the Thandis were to pay the costs of removal. WMI took out a mortgage on the property to secure the costs of removing the debris.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On June 6, 1995, Mr. G. Smith of WMI met with employees from the City, including the City Manager, and the City was advised of a conditional agreement WMI had entered into to lease the Thandi lands. A letter of June 16, 1995 from the City, to Mr. Smith, set out the issues regarding zoning, outdoor storage and confirmed that no occupancy permit had been issued for the building. Further, the letter stated that no business licence would issue until the removal of the debris on the Thandi lands and City lands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On June 21, 1995, the City sent a letter to the Thandis advising them that they had to commit to remove the pile on their land and on the City land. Mr. Thandi called Mr. Pegler of the City on June 22, 1995, in response to this letter and said everything will be cleaned up in three weeks.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An application to rezone the property was submitted. Mr. Kask of Anmore and Mr. Stuziak of APAC on behalf of Thandis attended the public hearing. Mr. Kask raised the issue of the waste pile. He testified, that at the public hearing, Mr. Stuziak, the agent for the Thandis, agreed that the Thandis would remove the debris. The subsequent report by the City confirms this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Mr. Thandi testified that all he agreed to do was "arrange" to have the waste pile removed. He said he never agreed to pay for the removal. This statement is unbelievable given his call to Mr. Pegler and his agreement with WMI below. When Ech-Tech was closed down, the Thandis faced losing their property. When WMI arrived seeking to rent the premises, the deal offered financial salvation. Mr. Thandi would have agreed to just about anything the City requested in order for his agreement with WMI to proceed.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On October 23, 1995, the City approved the change in zoning to M3a, which would permit part of the operation to be conducted outside. This was necessary because the tub-grinder, which ground clean wood into hog fuel, had to be operated outside. It caused too much dust when it ran inside the building.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In a final lease agreement made December 1, 1995, the Thandis and WMI agreed that WMI would remove the outside pile within 180 days of December 1, 1995.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In the meantime, Mr. Thandi spent $280,000 getting the building to a point where the occupancy permit would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The occupancy permit issued on January 4, 1996. WMI began clearing the waste that had accumulated inside the building (another enormous pile) and discovered that the floor had collapsed.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WMI paid for the repairs of the floor and charged the repairs to the Thandis account. WMI substantially cleaned up the Thandi lands, but Mr. Thandi told WMI not to clean up the City lands or the Anmore lands. As a result, some waste remained on the Thandi property as it was supporting the pile on the Anmore and Burnaby lands.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On March 26 1996, the City sent a letter to Mr. Thandi confirming that he would arrange to clean up the debris, and referred to the earlier advice to City Council in October 1995.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WMI stopped its operation in October 1996. They planned to resume operations in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The Thandi lands were cleared by September 1996. WMI did not clear the Thandi lands within the 180 days stated in the lease and were sued by the Thandis on this lease. The Thandis settled for $400,000.00, a discharge of the $1,000,000 mortgage WMI had placed on their property as security for the clean-up and WMI withdrew a claim of $650,000 against the Thandis. Part of the law suit was based on the cost of having to clear waste from their land. What is not clear from the evidence is that the Thandis claimed for and were reimbursed by WMI for the $231,182.35 that they were assessed for the clean-up.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In October 1996, the Ministry of the Environment became involved over concerns about the waste pile causing pollution.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On December 5, 1996, Mr. Collis sent a letter to Mr. Thandi setting out a summary of the background, reminding him of his commitment to remove all the debris from his lands and the City lands and the Anmore lands. The City gave Mr. Thandi until February 1, 1997 to remove all of the debris.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On December 10, 1996, Mr. Thandi called Mr. Collis to advise him that he was not paying for the removal of the remaining material. Mr. Thandi stated his position that he agreed to "arrange" for the removal of the debris, not pay for the removal of the debris.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Counsel for the Thandis wrote to the City on January 7, 1997. This letter pointed to the fact that Ech-Tech was responsible for the debris and that the accumulation was done without the permission of the Thandis. Further the letter referred to the Thandis approaching the City in an effort to have the City deal with Ech-Tech, to no avail. Further, the letter stated that the Thandis will not pay for the removal of the debris from the City lands or the Anmore lands.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Mr. Collis responded on February 3, 1997 advising that the Thandis' involvement with Ech-Tech was understated. Further, he stated that the agreement to clean the property was part of the current development proposal. He advised that the City is moving forward with alternative means of resolution and referred all inquiries to the City's Solicitor.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The City then moved forward and ended up hiring WMI, along with another trucking company, to remove the waste. The Thandis and Anmore were taxed a proportionate share of the removal cost, calculated on the volume of the waste on each piece of 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Mr. Kask testified that when Burnaby removed the waste from its property, Anmore discovered the waste had compacted down into the ground and he had to replace the blacktop. However, given the weight of the recycling equipment and the crane operating on the waste pile and the ramp on the Anmore lands before January 1995, it is far more likely that this damage was caused by Ech-Tech when it operated on the rented Anmore lands.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Mr. Thandi has since sold his property for $3,600,000. He testified that this was far less than what it was worth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The City tendered evidence of how it assessed the cost of removal. Firstly, the City acted as a general contractor rather than hire a private contractor primarily because they had had so much involvement with this property it would be cheaper for the City to perform the contracting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Subject to my comments in L032667, I find that the City has established that the volume calculations are correct. Mr. Peterson, the City Surveyor, testified that several surveys of the waste pile had been done over the years. Most recently, the waste pile was surveyed on February 23 and 24, 1997, with confirmation on May 27, 1997. Mr. Peterson was at times confused while giving his evidence. New surveys were produced to him during cross-examination. However, I accept that once he had an opportunity to digest the new material, his evidence regarding the surveys and the volume calculations was accurate.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The calculations were double-checked manually and by computer. They are clearly reliable. The City calculated the volume of the waste on each property. I accept that the volume calculations have been proved. There is room for error based on measurements and on compacting waste, however, those errors have been taken into consideration sufficiently to provide an accurate measurement.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There was no waste removed between February and May 1997, except for hog fuel. Mr. Chohan periodically removed hog fuel during the winter of 1997. When Mr. Smith received the go-ahead from the City to remove the waste, he contacted Mr. Chohan and advised him to remove the hog fuel. The dates are not specifically recorded, however, in all likelihood, Mr. Smith's contract was confirmed on May 13, 1997. Council authorized the clean-up on May 12, 1997. EcoWaste was confirmed as the recipient of the waste on May 13, 1997. Mr. Smith was sent a purchase order May 22,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The hog fuel had to be removed in order for WMI to access the waste pile. Mr. Smith said he contacted Mr. Chohan to remove the hog fuel quickly. Mr. Chohan said he moved about 6,000 yards of hog fuel from the Thandi lands over a 10 to 14 day period. I find that the hog fuel was removed before May 27, 1997 and therefore was not mistakenly calculated into the volume calculation by Mr. Peterson.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The City did not calculate the amount of waste removed per truck load because the trucks were not always full. The calculations were not done on weight because it was the City's view that a volume calculation was easier. Further, calculations by weight would have made it very difficult, if not impossible, to assign the costs between the three locations. For example, it would be impossible to remove and weigh just the waste on the Anmore lands, since other piles fell down onto the Anmore lands as the waste was being removed.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There is no evidence that charging by volume was any more expensive than charging by weight or that charging by volume would result in unreasonable or inflated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The City looked at different dumping sites and settled on EcoWaste. EcoWaste gave the City a very good price for dumping the waste.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In summary, the waste pile was created as a result of the business efforts of Ech-Tech Recycling Ltd. and James Echino. The Thandis and Thandi Group Holdings Ltd. were involved in the business with Ech-Tech Recycling. They invested $75,000 and obtained shares, loaned the company $60,000 and built a building which cost in excess of $2,000,000 to ensure that Ech-Tech could continue carrying on business. James Echino and Avtar Thandi were contracted to jointly supervise the construction and both received a salary. They met together with City officials in order to put forward their development proposal. They were not simply landlords ignorant of their tenant's activities. The Thandis were active participants in Ech-Tech.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The Thandis could have shut down James Echino for violation of his lease as soon as the waste began encroaching on the City lands or the Anmore lands.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The City of Burnaby had a practice of working with businesses that were in violation of their bylaws, including zoning requirements, rather than immediately shutting them down. The City would not enforce the bylaws if they believed that the business was working towards compliance. The City could have shut down Ech-Tech's operation at anytime.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I find that the waste on the Anmore lands was from the pile of debris on the Thandi lands and was not left behind when Ech-Tech vacated the Anmore lands, save for a small amount at the back that the City cleaned up. It has not been established that garbage fell from the City pile onto the Anmore pile. I find that Anmore did not dump on its own property. The damage to Anmore's blacktop was caused by the recycling operation that was set up on the Anmore lands in 1994.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Issues</w:t>
      </w:r>
      <w:r>
        <w:rPr>
          <w:rFonts w:ascii="arial" w:eastAsia="arial" w:hAnsi="arial" w:cs="arial"/>
          <w:sz w:val="20"/>
          <w:lang w:val="en-US" w:eastAsia="en-US" w:bidi="ar-SA"/>
        </w:rPr>
        <w:cr/>
      </w:r>
    </w:p>
    <w:p>
      <w:pPr>
        <w:numPr>
          <w:numId w:val="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either the City of Burnaby or the Thandis liable to Anmore on the basis of:</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trespass</w:t>
      </w:r>
    </w:p>
    <w:p>
      <w:pPr>
        <w:numPr>
          <w:numId w:val="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nuisance</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escape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Trespass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Trespass to land is defined in G.H.L. Fridman, The Law of Torts in Canada, 2nd ed., (Toronto: Carswell, 2002), at p. 37-38: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Trespass to land consists of entering upon the land of another without lawful justification, or placing, throwing or erecting some material object thereon without the legal right to do so. Such interference must be direct rather than consequential. To constitute trespass the defendant must in some direct way interfere with the land possessed by the plaintiff. The requirement of directness differentiates trespass from nuisance, which is committed when the defendant makes a use of his land that indirectly affects the land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Trespass to land is not limited to a single act, but can be a continuous act. Repeated acts of trespass will give rise to a continuing cause of action: See Fridman, supra, at p. 40.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With respect to Anmore, there is no evidence of anyone deliberately placing or throwing waste onto the Anmore land from the Thandi land or the City land. Indeed, no claim was argued against the City in trespass, only nuisance and escape.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The debris from the Thandi land fell or sloughed down from the pile on the Thandi property, which does not have the "directness" required for the tort of trespass.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Therefore, Anmore cannot succeed in trespass.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Nuisance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xml:space="preserve">  The test for nuisance is set out by McIntyre J.A. (as he then was) in Royal Anne Hotel Co. Ltd. v. Ashcroft et al. </w:t>
      </w:r>
      <w:hyperlink r:id="rId26" w:history="1">
        <w:r>
          <w:rPr>
            <w:rFonts w:ascii="arial" w:eastAsia="arial" w:hAnsi="arial" w:cs="arial"/>
            <w:i/>
            <w:color w:val="0077CC"/>
            <w:sz w:val="20"/>
            <w:u w:val="single"/>
            <w:shd w:val="clear" w:color="auto" w:fill="FFFFFF"/>
            <w:lang w:val="en-US" w:eastAsia="en-US" w:bidi="ar-SA"/>
          </w:rPr>
          <w:t>(1979), 8 C.C.L.T. 179</w:t>
        </w:r>
      </w:hyperlink>
      <w:r>
        <w:rPr>
          <w:rFonts w:ascii="arial" w:eastAsia="arial" w:hAnsi="arial" w:cs="arial"/>
          <w:color w:val="000000"/>
          <w:sz w:val="20"/>
          <w:lang w:val="en-US" w:eastAsia="en-US" w:bidi="ar-SA"/>
        </w:rPr>
        <w:t xml:space="preserve"> at 184-186: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cases on this subject are many and often difficult to reconcile. Text writers have striven to bring some order into this field, and I have found assistance in Street on Torts (5th ed., 1972); Fleming on Torts (4th ed., 1971); and in a helpful article by J.P.S. McLaren, Nuisance in Canada, Linden's Studies in Canadian Tort Law (1968), p. 320. From a study of the cases referred to by counsel and cited in the above sources, the following principles emerge: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has been said in Street on Torts, at p. 212: "The essence of the tort of nuisance is interference with the enjoyment of land." That interference need not be accompanied by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nuisance one is concerned with the invasion of the interest in the land;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one must consider the nature of the conduct complained of. Nuisances result frequently from intentional acts undertaken for lawful purposes. The most carefully designed industrial plant operated with the greatest care may well be or cause a nuisance, if, for example effluent, smoke, fumes or noise invade the right of enjoyment of neighbouring land owners to an unreasonable degree: see Manchester v. Farnworth, [1930] A.C. 171, and Walker v. McKinnon Indust. Ltd., </w:t>
      </w:r>
      <w:hyperlink r:id="rId27" w:history="1">
        <w:r>
          <w:rPr>
            <w:rFonts w:ascii="arial" w:eastAsia="arial" w:hAnsi="arial" w:cs="arial"/>
            <w:i/>
            <w:color w:val="0077CC"/>
            <w:sz w:val="20"/>
            <w:u w:val="single"/>
            <w:shd w:val="clear" w:color="auto" w:fill="FFFFFF"/>
            <w:lang w:val="en-US" w:eastAsia="en-US" w:bidi="ar-SA"/>
          </w:rPr>
          <w:t>[1949] 4 D.L.R. 739</w:t>
        </w:r>
      </w:hyperlink>
      <w:r>
        <w:rPr>
          <w:rFonts w:ascii="arial" w:eastAsia="arial" w:hAnsi="arial" w:cs="arial"/>
          <w:color w:val="000000"/>
          <w:sz w:val="20"/>
          <w:lang w:val="en-US" w:eastAsia="en-US" w:bidi="ar-SA"/>
        </w:rPr>
        <w:t>, as examples.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then can it be said that the tort of nuisance has been committed? A helpful proposition is advanced by the learned author of Street on Torts, at p. 215, in these terms: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person, then, may be said to have committed the tort of private nuisance when he is held to be responsible for an act indirectly causing physical injury to land or substantially interfering with the use or enjoyment of land or an interest in land where, in the light of all the surrounding circumstances, this injury or interference is held to be unreasonable.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This proposition stated in a variety of ways has been accepted generally in the authorities.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test then is, has the defendant's use of this land interfered with the use and enjoyment of the plaintiffs' land and is that interference unreasonable? Where, as in the case at bar, actual physical damage occurs it is not difficult to decide that the interference is in fact unreasonable. Greater difficulty will be found where the interference results in lesser or no physical injury but may give offence by reason of smells, noise, vibration or other intangible causes. No finding is required regarding the exercise of care by the defendant and while its conduct may frequently be such that a finding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could be made it is not necessary and the existence of due care will afford no defence if the other ingredients are present. Again this is well rooted in authority.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There is no issue that in fact the waste caused a nuisance. Ech-Tech and James Echino are clearly liable for causing this nuisance. The issue is whether the Thandis are joint tortfeasors. As noted, Anmore has not sued Ech-Tech or James Echino.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The Thandis submit that there was no common design or joint operation between themselves and Ech-Tech which would hold them responsible for joint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In Fridman, supra, at p. 888, joint tortfeasors are defined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For two or more persons to be considered to be joint tortfeasors, the tort in question must be committed by one of them on behalf of or in concert with another. The acts must be performed in the furtherance of a common design.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xml:space="preserve">  In Insurance Corp. of British Columbia v. Vancouver (City), </w:t>
      </w:r>
      <w:hyperlink r:id="rId28" w:history="1">
        <w:r>
          <w:rPr>
            <w:rFonts w:ascii="arial" w:eastAsia="arial" w:hAnsi="arial" w:cs="arial"/>
            <w:i/>
            <w:color w:val="0077CC"/>
            <w:sz w:val="20"/>
            <w:u w:val="single"/>
            <w:shd w:val="clear" w:color="auto" w:fill="FFFFFF"/>
            <w:lang w:val="en-US" w:eastAsia="en-US" w:bidi="ar-SA"/>
          </w:rPr>
          <w:t>(1997), 38 B.C.L.R. (3d) 213</w:t>
        </w:r>
      </w:hyperlink>
      <w:r>
        <w:rPr>
          <w:rFonts w:ascii="arial" w:eastAsia="arial" w:hAnsi="arial" w:cs="arial"/>
          <w:color w:val="000000"/>
          <w:sz w:val="20"/>
          <w:lang w:val="en-US" w:eastAsia="en-US" w:bidi="ar-SA"/>
        </w:rPr>
        <w:t xml:space="preserve"> (B.C.S.C.) (affirmed on appeal on this definition, but reversed on the application of the facts to the law), </w:t>
      </w:r>
      <w:hyperlink r:id="rId29" w:history="1">
        <w:r>
          <w:rPr>
            <w:rFonts w:ascii="arial" w:eastAsia="arial" w:hAnsi="arial" w:cs="arial"/>
            <w:i/>
            <w:color w:val="0077CC"/>
            <w:sz w:val="20"/>
            <w:u w:val="single"/>
            <w:shd w:val="clear" w:color="auto" w:fill="FFFFFF"/>
            <w:lang w:val="en-US" w:eastAsia="en-US" w:bidi="ar-SA"/>
          </w:rPr>
          <w:t>(2000), 73 B.C.L.R. (3d) 1</w:t>
        </w:r>
      </w:hyperlink>
      <w:r>
        <w:rPr>
          <w:rFonts w:ascii="arial" w:eastAsia="arial" w:hAnsi="arial" w:cs="arial"/>
          <w:color w:val="000000"/>
          <w:sz w:val="20"/>
          <w:lang w:val="en-US" w:eastAsia="en-US" w:bidi="ar-SA"/>
        </w:rPr>
        <w:t xml:space="preserve"> (B.C.C.A.); Harvey J. stated the law as this at p. 239: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Where two or more persons agree on a common course of action which is unlawful and tortious in itself, and in furtherance of the agreement one of the parties commits a tort, the tort will be imputed to the others ... However if the common course is not unlawful or tortious in itself, and in furtherance of the agreement one of the parties commits a tort, that tort will not be imputed to the others merely by reason of the agreement ... Where the common course is not unlawful or tortious in itself, the relationship between the parties must be such that they can be said to be joint tortfeasors.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xml:space="preserve">  In Bains v. Hofs </w:t>
      </w:r>
      <w:hyperlink r:id="rId30" w:history="1">
        <w:r>
          <w:rPr>
            <w:rFonts w:ascii="arial" w:eastAsia="arial" w:hAnsi="arial" w:cs="arial"/>
            <w:i/>
            <w:color w:val="0077CC"/>
            <w:sz w:val="20"/>
            <w:u w:val="single"/>
            <w:shd w:val="clear" w:color="auto" w:fill="FFFFFF"/>
            <w:lang w:val="en-US" w:eastAsia="en-US" w:bidi="ar-SA"/>
          </w:rPr>
          <w:t>(1992), 76 B.C.L.R. (2d) 98</w:t>
        </w:r>
      </w:hyperlink>
      <w:r>
        <w:rPr>
          <w:rFonts w:ascii="arial" w:eastAsia="arial" w:hAnsi="arial" w:cs="arial"/>
          <w:color w:val="000000"/>
          <w:sz w:val="20"/>
          <w:lang w:val="en-US" w:eastAsia="en-US" w:bidi="ar-SA"/>
        </w:rPr>
        <w:t xml:space="preserve"> (B.C.S.C.), Boyd J. considered the issue of joint tortfeasors and said the following at p. 103: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issue is whether in these circumstances, Langbroek is, in law, a joint tortfeasor. In The Law of Torts, 7th ed. (The Law Book Company Ltd.) c. 11, p. 229, Fleming discusses the concept of joint tortfeasors: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tort is imputed to several persons as joint tortfeasors in three instances, viz. agency, vicarious liability, and concerted action ... The critical element of the third is that those participating in the commission of the tort must have acted in furtherance of a common design. There must be 'concerted action to a common end', not merely 'a coincidence of separate acts which by their conjoined effect cause damage' (The Koursk </w:t>
      </w:r>
      <w:hyperlink r:id="rId31" w:history="1">
        <w:r>
          <w:rPr>
            <w:rFonts w:ascii="arial" w:eastAsia="arial" w:hAnsi="arial" w:cs="arial"/>
            <w:i/>
            <w:color w:val="0077CC"/>
            <w:sz w:val="20"/>
            <w:u w:val="single"/>
            <w:shd w:val="clear" w:color="auto" w:fill="FFFFFF"/>
            <w:lang w:val="en-US" w:eastAsia="en-US" w:bidi="ar-SA"/>
          </w:rPr>
          <w:t>[1924] P. 140</w:t>
        </w:r>
      </w:hyperlink>
      <w:r>
        <w:rPr>
          <w:rFonts w:ascii="arial" w:eastAsia="arial" w:hAnsi="arial" w:cs="arial"/>
          <w:sz w:val="20"/>
          <w:lang w:val="en-US" w:eastAsia="en-US" w:bidi="ar-SA"/>
        </w:rPr>
        <w:t xml:space="preserve"> </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3" type="#_x0000_t75" style="width:11pt;height:10pt">
            <v:imagedata r:id="rId32" o:title=""/>
          </v:shape>
        </w:pict>
      </w:r>
      <w:r>
        <w:rPr>
          <w:rFonts w:ascii="arial" w:eastAsia="arial" w:hAnsi="arial" w:cs="arial"/>
          <w:color w:val="000000"/>
          <w:sz w:val="20"/>
          <w:lang w:val="en-US" w:eastAsia="en-US" w:bidi="ar-SA"/>
        </w:rPr>
        <w:t xml:space="preserve"> at 156). Broadly speaking, this means a conspiracy with all participants acting in furtherance of the wrong, though it is probably not necessary that they should realize that they are committing a tort. All persons acting in pursuance of a common end, being thus identified with each other, are accordingly responsible for the entire result and so it was laid down in 1612 that 'all coming to do an unlawful act, and of one party, the act is the act of all the same party being present' (Heydon's Case, 77 E.R. 1150 at 1151)."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the question of concerted action that arises in the case at bar. On this issue, the learned author continues on to say at p. 230: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"While the requisite degree of participation has not been precisely defined in modern decisions, there is a cogent support both in principle and ancient authority for the suggestion that it may well correspond with the description attached by the criminal law to principles in the first and second degree. This would include, besides the actual perpetrator, anyone who 'aids and abets', whether or not he actively intervenes. Knowingly assisting, encouraging or merely being present as a conspirator at the commission of the wrong would suffice."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Thus, one who knowingly assists or encourages another to commit a tort, or one who is merely present as a conspirator in the wrong that is done, is, in law, a joint tortfeasor.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xml:space="preserve">  Counsel for the City referred to several cases involving the cutting of trees on the property of others where joint liability for trespass was found. Similar principles were cited for the same proposition noted above: See Barnstead v. Ramsay, </w:t>
      </w:r>
      <w:hyperlink r:id="rId33" w:history="1">
        <w:r>
          <w:rPr>
            <w:rFonts w:ascii="arial" w:eastAsia="arial" w:hAnsi="arial" w:cs="arial"/>
            <w:i/>
            <w:color w:val="0077CC"/>
            <w:sz w:val="20"/>
            <w:u w:val="single"/>
            <w:shd w:val="clear" w:color="auto" w:fill="FFFFFF"/>
            <w:lang w:val="en-US" w:eastAsia="en-US" w:bidi="ar-SA"/>
          </w:rPr>
          <w:t>[1996] B.C.J. No. 970</w:t>
        </w:r>
      </w:hyperlink>
      <w:r>
        <w:rPr>
          <w:rFonts w:ascii="arial" w:eastAsia="arial" w:hAnsi="arial" w:cs="arial"/>
          <w:color w:val="000000"/>
          <w:sz w:val="20"/>
          <w:lang w:val="en-US" w:eastAsia="en-US" w:bidi="ar-SA"/>
        </w:rPr>
        <w:t xml:space="preserve"> (S.C.) and Horseshoe Bay Retirement Society v. S.I.F. Development Corp. et al </w:t>
      </w:r>
      <w:hyperlink r:id="rId34" w:history="1">
        <w:r>
          <w:rPr>
            <w:rFonts w:ascii="arial" w:eastAsia="arial" w:hAnsi="arial" w:cs="arial"/>
            <w:i/>
            <w:color w:val="0077CC"/>
            <w:sz w:val="20"/>
            <w:u w:val="single"/>
            <w:shd w:val="clear" w:color="auto" w:fill="FFFFFF"/>
            <w:lang w:val="en-US" w:eastAsia="en-US" w:bidi="ar-SA"/>
          </w:rPr>
          <w:t>(1990), 66 D.L.R. (4th) 42</w:t>
        </w:r>
      </w:hyperlink>
      <w:r>
        <w:rPr>
          <w:rFonts w:ascii="arial" w:eastAsia="arial" w:hAnsi="arial" w:cs="arial"/>
          <w:color w:val="000000"/>
          <w:sz w:val="20"/>
          <w:lang w:val="en-US" w:eastAsia="en-US" w:bidi="ar-SA"/>
        </w:rPr>
        <w:t xml:space="preserve"> (B.C.S.C.) at 45.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Counsel for the Thandis submitted that the Thandis were simply the landlords and Ech-Tech and Mr. Echino were in charge of the day-to-day operation of the business. As noted above, I do not agree with this characterization. The Thandis had become involved in Ech-Tech as shareholders, investors and by building a $2,000,000 for the operation, as a result of which they would substantially benefit financially if the recycling business was a success.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The Thandis were well aware of the acts committed by Ech-Tech and although they never operated the machines that moved the waste, they were "present as a conspirator". Without the substantial assistance of the Thandis, Ech-Tech would not have continued and would have had to stop operations long before 1994.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The above-mentioned finding is sufficient to conclude that the Thandis are jointly liable. However, there is also considerable authority on the issue of the liability of a landlord when a tenant causes a nuisance, even when the landlord is not involved in a common design with the tenant. I propose to review this law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xml:space="preserve">  The Thandis submit that they are not liable as landlords as the use made by the tenant was not contemplated by the lease, citing O'Leary v. Smith, </w:t>
      </w:r>
      <w:hyperlink r:id="rId35" w:history="1">
        <w:r>
          <w:rPr>
            <w:rFonts w:ascii="arial" w:eastAsia="arial" w:hAnsi="arial" w:cs="arial"/>
            <w:i/>
            <w:color w:val="0077CC"/>
            <w:sz w:val="20"/>
            <w:u w:val="single"/>
            <w:shd w:val="clear" w:color="auto" w:fill="FFFFFF"/>
            <w:lang w:val="en-US" w:eastAsia="en-US" w:bidi="ar-SA"/>
          </w:rPr>
          <w:t>[1925] 2 D.L.R. 1022</w:t>
        </w:r>
      </w:hyperlink>
      <w:r>
        <w:rPr>
          <w:rFonts w:ascii="arial" w:eastAsia="arial" w:hAnsi="arial" w:cs="arial"/>
          <w:color w:val="000000"/>
          <w:sz w:val="20"/>
          <w:lang w:val="en-US" w:eastAsia="en-US" w:bidi="ar-SA"/>
        </w:rPr>
        <w:t xml:space="preserve"> (Man. C.A.). They point to the lease which specifically requires that the tenant not create a nuisance or menace to the public or to occupiers of adjoining properties.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The Thandis submit that in order for them to be liable, the tenant's act of nuisance must have either been expressly authorized or a necessary consequence of the purpose for which the property was let, citing Smith v. Scott et al., [1972] 3 All E.R. 645.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However, the Thandis also agreed to the storage of 30,000 cubic yards of debris, knowing that even 7,000 cubic yards would present a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A landlord will be liable for nuisance caused by a tenant if the nuisance arises from acts which the landlord contemplated that the tenant would engage in: See Fridman, supra, at p. 191.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xml:space="preserve">  Similar principles have been stated in Aldridge and O'Brien v. Van Patter, Martin and Western Fair Association </w:t>
      </w:r>
      <w:hyperlink r:id="rId36" w:history="1">
        <w:r>
          <w:rPr>
            <w:rFonts w:ascii="arial" w:eastAsia="arial" w:hAnsi="arial" w:cs="arial"/>
            <w:i/>
            <w:color w:val="0077CC"/>
            <w:sz w:val="20"/>
            <w:u w:val="single"/>
            <w:shd w:val="clear" w:color="auto" w:fill="FFFFFF"/>
            <w:lang w:val="en-US" w:eastAsia="en-US" w:bidi="ar-SA"/>
          </w:rPr>
          <w:t>[1952] O.R. 595</w:t>
        </w:r>
      </w:hyperlink>
      <w:r>
        <w:rPr>
          <w:rFonts w:ascii="arial" w:eastAsia="arial" w:hAnsi="arial" w:cs="arial"/>
          <w:color w:val="000000"/>
          <w:sz w:val="20"/>
          <w:lang w:val="en-US" w:eastAsia="en-US" w:bidi="ar-SA"/>
        </w:rPr>
        <w:t xml:space="preserve"> at p. 613-4.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xml:space="preserve">  In Kenny v. Schuster Real Estate Co., </w:t>
      </w:r>
      <w:hyperlink r:id="rId37" w:history="1">
        <w:r>
          <w:rPr>
            <w:rFonts w:ascii="arial" w:eastAsia="arial" w:hAnsi="arial" w:cs="arial"/>
            <w:i/>
            <w:color w:val="0077CC"/>
            <w:sz w:val="20"/>
            <w:u w:val="single"/>
            <w:shd w:val="clear" w:color="auto" w:fill="FFFFFF"/>
            <w:lang w:val="en-US" w:eastAsia="en-US" w:bidi="ar-SA"/>
          </w:rPr>
          <w:t>[1990] B.C.J. No. 1420</w:t>
        </w:r>
      </w:hyperlink>
      <w:r>
        <w:rPr>
          <w:rFonts w:ascii="arial" w:eastAsia="arial" w:hAnsi="arial" w:cs="arial"/>
          <w:color w:val="000000"/>
          <w:sz w:val="20"/>
          <w:lang w:val="en-US" w:eastAsia="en-US" w:bidi="ar-SA"/>
        </w:rPr>
        <w:t xml:space="preserve"> (S.C.) at p. 10, Cohen J. adopted the following statement of O'Leary J. in Banfai et al v. Formula Fun Centre Inc. et al </w:t>
      </w:r>
      <w:hyperlink r:id="rId38" w:history="1">
        <w:r>
          <w:rPr>
            <w:rFonts w:ascii="arial" w:eastAsia="arial" w:hAnsi="arial" w:cs="arial"/>
            <w:i/>
            <w:color w:val="0077CC"/>
            <w:sz w:val="20"/>
            <w:u w:val="single"/>
            <w:shd w:val="clear" w:color="auto" w:fill="FFFFFF"/>
            <w:lang w:val="en-US" w:eastAsia="en-US" w:bidi="ar-SA"/>
          </w:rPr>
          <w:t>(1984), 34 C.C.L.T. 171</w:t>
        </w:r>
      </w:hyperlink>
      <w:r>
        <w:rPr>
          <w:rFonts w:ascii="arial" w:eastAsia="arial" w:hAnsi="arial" w:cs="arial"/>
          <w:color w:val="000000"/>
          <w:sz w:val="20"/>
          <w:lang w:val="en-US" w:eastAsia="en-US" w:bidi="ar-SA"/>
        </w:rPr>
        <w:t xml:space="preserve"> (Ont. H.C.) at 188: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Is Hydro, the owner, liable for the nuisance by the tenant, Formula? In general, an owner is not liable for the nuisance committed by his tenant. To this rule there is one exception. Where the nuisance arises 'from the natural and necessary result of what the landlord authorized' the tenant to do, then the owner-landlord is liable: Harris v. James, [1874-80] All E.R. Rep. 1142. This exception to the general rule has been expressed in different terms. In Earl v. Reid </w:t>
      </w:r>
      <w:hyperlink r:id="rId39" w:history="1">
        <w:r>
          <w:rPr>
            <w:rFonts w:ascii="arial" w:eastAsia="arial" w:hAnsi="arial" w:cs="arial"/>
            <w:i/>
            <w:color w:val="0077CC"/>
            <w:sz w:val="20"/>
            <w:u w:val="single"/>
            <w:shd w:val="clear" w:color="auto" w:fill="FFFFFF"/>
            <w:lang w:val="en-US" w:eastAsia="en-US" w:bidi="ar-SA"/>
          </w:rPr>
          <w:t>(1911), 23 O.L.R. 453</w:t>
        </w:r>
      </w:hyperlink>
      <w:r>
        <w:rPr>
          <w:rFonts w:ascii="arial" w:eastAsia="arial" w:hAnsi="arial" w:cs="arial"/>
          <w:color w:val="000000"/>
          <w:sz w:val="20"/>
          <w:lang w:val="en-US" w:eastAsia="en-US" w:bidi="ar-SA"/>
        </w:rPr>
        <w:t xml:space="preserve"> at 466, </w:t>
      </w:r>
      <w:hyperlink r:id="rId39" w:history="1">
        <w:r>
          <w:rPr>
            <w:rFonts w:ascii="arial" w:eastAsia="arial" w:hAnsi="arial" w:cs="arial"/>
            <w:i/>
            <w:color w:val="0077CC"/>
            <w:sz w:val="20"/>
            <w:u w:val="single"/>
            <w:shd w:val="clear" w:color="auto" w:fill="FFFFFF"/>
            <w:lang w:val="en-US" w:eastAsia="en-US" w:bidi="ar-SA"/>
          </w:rPr>
          <w:t>2 O.W.N. 873</w:t>
        </w:r>
      </w:hyperlink>
      <w:r>
        <w:rPr>
          <w:rFonts w:ascii="arial" w:eastAsia="arial" w:hAnsi="arial" w:cs="arial"/>
          <w:color w:val="000000"/>
          <w:sz w:val="20"/>
          <w:lang w:val="en-US" w:eastAsia="en-US" w:bidi="ar-SA"/>
        </w:rPr>
        <w:t xml:space="preserve">, </w:t>
      </w:r>
      <w:hyperlink r:id="rId39" w:history="1">
        <w:r>
          <w:rPr>
            <w:rFonts w:ascii="arial" w:eastAsia="arial" w:hAnsi="arial" w:cs="arial"/>
            <w:i/>
            <w:color w:val="0077CC"/>
            <w:sz w:val="20"/>
            <w:u w:val="single"/>
            <w:shd w:val="clear" w:color="auto" w:fill="FFFFFF"/>
            <w:lang w:val="en-US" w:eastAsia="en-US" w:bidi="ar-SA"/>
          </w:rPr>
          <w:t>18 O.W.R. 562</w:t>
        </w:r>
      </w:hyperlink>
      <w:r>
        <w:rPr>
          <w:rFonts w:ascii="arial" w:eastAsia="arial" w:hAnsi="arial" w:cs="arial"/>
          <w:color w:val="000000"/>
          <w:sz w:val="20"/>
          <w:lang w:val="en-US" w:eastAsia="en-US" w:bidi="ar-SA"/>
        </w:rPr>
        <w:t xml:space="preserve">, Riddell J. said the landlord was not liable unless 'the use from which the damage or nuisance necessarily arises was plainly contemplated by the lease'. In Aldridge v. Van Patter, </w:t>
      </w:r>
      <w:hyperlink r:id="rId36" w:history="1">
        <w:r>
          <w:rPr>
            <w:rFonts w:ascii="arial" w:eastAsia="arial" w:hAnsi="arial" w:cs="arial"/>
            <w:i/>
            <w:color w:val="0077CC"/>
            <w:sz w:val="20"/>
            <w:u w:val="single"/>
            <w:shd w:val="clear" w:color="auto" w:fill="FFFFFF"/>
            <w:lang w:val="en-US" w:eastAsia="en-US" w:bidi="ar-SA"/>
          </w:rPr>
          <w:t>[1952] O.R. 595</w:t>
        </w:r>
      </w:hyperlink>
      <w:r>
        <w:rPr>
          <w:rFonts w:ascii="arial" w:eastAsia="arial" w:hAnsi="arial" w:cs="arial"/>
          <w:color w:val="000000"/>
          <w:sz w:val="20"/>
          <w:lang w:val="en-US" w:eastAsia="en-US" w:bidi="ar-SA"/>
        </w:rPr>
        <w:t xml:space="preserve">, </w:t>
      </w:r>
      <w:hyperlink r:id="rId36" w:history="1">
        <w:r>
          <w:rPr>
            <w:rFonts w:ascii="arial" w:eastAsia="arial" w:hAnsi="arial" w:cs="arial"/>
            <w:i/>
            <w:color w:val="0077CC"/>
            <w:sz w:val="20"/>
            <w:u w:val="single"/>
            <w:shd w:val="clear" w:color="auto" w:fill="FFFFFF"/>
            <w:lang w:val="en-US" w:eastAsia="en-US" w:bidi="ar-SA"/>
          </w:rPr>
          <w:t>[1952] 4 D.L.R. 93</w:t>
        </w:r>
      </w:hyperlink>
      <w:r>
        <w:rPr>
          <w:rFonts w:ascii="arial" w:eastAsia="arial" w:hAnsi="arial" w:cs="arial"/>
          <w:color w:val="000000"/>
          <w:sz w:val="20"/>
          <w:lang w:val="en-US" w:eastAsia="en-US" w:bidi="ar-SA"/>
        </w:rPr>
        <w:t>, Spence J. held the owner liable because the possibility of an automobile, during the course of a race, plunging through the fence around the track and injuring someone in the park (the nuisance that actually occurred) was in the immediate contemplation of the owner when the lease was executed. In Smith v. Scott, [1973] Ch. 314, [1972 3 All E.R. 645, [1972] 3 W.L.R. 783, it was suggested that the owner will be held liable if there is 'a very high degree of probability' that a nuisance will result from the purposes for which the property is let.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The Thandis knew that by June of 1994, the waste was piling up again on the City lands. Avtar Thandi testified to this fact. A landlord may also be liable if, when notified of nuisance by a tenant he does nothing to put an end to it. Further, the waste pile remained on the Thandi lands, periodically falling onto the Anmore lands, until WMI cleaned up the Thandis' property in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xml:space="preserve">  This principle was referred to by Craig J. (as he then was) in Carmel Holdings Ltd. v. Atkins and George H. Birnie Ltd., </w:t>
      </w:r>
      <w:hyperlink r:id="rId40" w:history="1">
        <w:r>
          <w:rPr>
            <w:rFonts w:ascii="arial" w:eastAsia="arial" w:hAnsi="arial" w:cs="arial"/>
            <w:i/>
            <w:color w:val="0077CC"/>
            <w:sz w:val="20"/>
            <w:u w:val="single"/>
            <w:shd w:val="clear" w:color="auto" w:fill="FFFFFF"/>
            <w:lang w:val="en-US" w:eastAsia="en-US" w:bidi="ar-SA"/>
          </w:rPr>
          <w:t>[1977] 4 W.W.R. 655</w:t>
        </w:r>
      </w:hyperlink>
      <w:r>
        <w:rPr>
          <w:rFonts w:ascii="arial" w:eastAsia="arial" w:hAnsi="arial" w:cs="arial"/>
          <w:color w:val="000000"/>
          <w:sz w:val="20"/>
          <w:lang w:val="en-US" w:eastAsia="en-US" w:bidi="ar-SA"/>
        </w:rPr>
        <w:t xml:space="preserve"> at 666, where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defendant Atkins had a potential nuisance on his property. When the fuel oil began seeping onto the plaintiff's property, it became a nuisance when the defendant Atkins permitted the nuisance to continue he became liable for the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There is no question that the Thandis had the power within the lease agreement to stop Ech-Tech once they were aware that the garbage was encroaching on City and Anmore lands.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I conclude that the Thandis are liable to Anmore under the principle stated above as joint tortfeasors in a common design, and as well, are liable as a landlord who not only was well aware of, but condoned, the tort of nuisance committed by Ech-Tech. The Thandis did not move to stop Ech-Tech until Mr. Echino fell behind in his payments to them. Stopping the operations of Ech-Tech and James Echino had nothing to do with the nuisance that was created. If Ech-Tech had been up to date with its rent payments, I am quite certain that the Thandis would not have taken any steps to stop him from dumping waste onto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Liability of the City Under Nuisance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Anmore also claims against the City for nuisance for failing to stop Ech-Tech and the Thandis when it had the ability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Anmore submits that the City adopted the waste pile that was created on its lands by allowing it to continue and by failing to take reasonable steps to bring the nuisance to an 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First, as noted above, it has not been established that waste fell onto Anmore lands from City lands. Given the situation of the properties, it is more likely that the new debris on the Anmore lands came from the Thandi lands.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Anmore states that the City could have stopped Ech-Tech. This is true. However, Anmore also had legal rights that it could enforce against the Thandis and Ech-Tech. Anmore, like the City, reasonably relied on the representations that the waste would be cleaned up. When it was clear that it would not be cleaned up, the City took action to have the waste cleaned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xml:space="preserve">  Further, a municipality cannot be held liable for not enforcing a bylaw violation unless it does so in bad faith: See Dusevic v. Columbia Shuswap (Regional District) </w:t>
      </w:r>
      <w:hyperlink r:id="rId41" w:history="1">
        <w:r>
          <w:rPr>
            <w:rFonts w:ascii="arial" w:eastAsia="arial" w:hAnsi="arial" w:cs="arial"/>
            <w:i/>
            <w:color w:val="0077CC"/>
            <w:sz w:val="20"/>
            <w:u w:val="single"/>
            <w:shd w:val="clear" w:color="auto" w:fill="FFFFFF"/>
            <w:lang w:val="en-US" w:eastAsia="en-US" w:bidi="ar-SA"/>
          </w:rPr>
          <w:t>(1989), 44 M.P.L.R. 160</w:t>
        </w:r>
      </w:hyperlink>
      <w:r>
        <w:rPr>
          <w:rFonts w:ascii="arial" w:eastAsia="arial" w:hAnsi="arial" w:cs="arial"/>
          <w:color w:val="000000"/>
          <w:sz w:val="20"/>
          <w:lang w:val="en-US" w:eastAsia="en-US" w:bidi="ar-SA"/>
        </w:rPr>
        <w:t xml:space="preserve"> (B.C.S.C.) at p. 169.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In this case, the City was continuously working with Ech-Tech and the Thandis to get the business in compliance with the bylaw. Indeed, when Ech-Tech operated on the Anmore lands, it did so in violation of the bylaw. The actions of the City employees were fully documented and reported to Council, who, in 1995, decided not to shut down Ech-Tech but to continue to monitor the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The decision not to shut down permitted Ech-Tech and the Thandis to continue trying to earn a livelihood, and it protected the substantial investment made by the Thandis.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There is no evidence of bad faith on the part of the City - quite the opposite.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Further, the City did not "adopt" the waste pile as submitted by Anmore. It continually tried to get rid of it. It extracted a promise from the Thandis that they would clean the property in order to continue with their development plan with WMI. The only thing they did not do was to enforce the bylaw which would have put Ech-Tech out of business and would have been a significant financial threat to the Thandis. Indeed, if the City had shut Ech-Tech down when it was doing business on the Anmore lands, it would have caused financial grief for Mr. Kask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I conclude that there is no basis of liability for the City to Anmore on the basis of nuisance.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Escape: Rylands v. Fletcher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The doctrine in Rylands v. Fletcher (1866) L.R. 1 Ex. 265 at 279, affirmed (1868), L.R. 3 H.L. 330 is stated by Blackburn J.:</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think that the true rule of law is, that the person who for his own purposes brings on his lands and collects and keeps there anything likely to do mischief if it escapes, must keep it in at his peril, and, if he does not do so, is prima facie answerable for all the damage which is the natural consequences of its escape. He can excuse himself by showing that the escape was ... the consequence of vis major, or the act of God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xml:space="preserve">  The case law and legal writers demonstrate that there is some confusion over the application of this principle. The principle overlaps with the torts of trespass, nuisance and with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Distinctions were noted and relied upon by Meredith J. in Chu v. District of North Vancouver et al </w:t>
      </w:r>
      <w:hyperlink r:id="rId42" w:history="1">
        <w:r>
          <w:rPr>
            <w:rFonts w:ascii="arial" w:eastAsia="arial" w:hAnsi="arial" w:cs="arial"/>
            <w:i/>
            <w:color w:val="0077CC"/>
            <w:sz w:val="20"/>
            <w:u w:val="single"/>
            <w:shd w:val="clear" w:color="auto" w:fill="FFFFFF"/>
            <w:lang w:val="en-US" w:eastAsia="en-US" w:bidi="ar-SA"/>
          </w:rPr>
          <w:t>(1982), 139 D.L.R. (3d) 201</w:t>
        </w:r>
      </w:hyperlink>
      <w:r>
        <w:rPr>
          <w:rFonts w:ascii="arial" w:eastAsia="arial" w:hAnsi="arial" w:cs="arial"/>
          <w:color w:val="000000"/>
          <w:sz w:val="20"/>
          <w:lang w:val="en-US" w:eastAsia="en-US" w:bidi="ar-SA"/>
        </w:rPr>
        <w:t xml:space="preserve"> (B.C.S.C.) at p. 203: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question of what may be considered "natural" or "non-natural" is of special significance in this case. But before referring to that aspect of the matter, I would like to emphasize what I believe to be an important distinction between the tort calling for strict liability on the one hand and nuisance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other.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Strict Liability results from a tort separate and distinct from nuisance and </w:t>
      </w:r>
      <w:r>
        <w:rPr>
          <w:rFonts w:ascii="arial" w:eastAsia="arial" w:hAnsi="arial" w:cs="arial"/>
          <w:b/>
          <w:i/>
          <w:color w:val="000000"/>
          <w:sz w:val="20"/>
          <w:u w:val="single"/>
          <w:lang w:val="en-US" w:eastAsia="en-US" w:bidi="ar-SA"/>
        </w:rPr>
        <w:t>negligence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Salmond on the Law of Torts, 16th ed (1973), at p. 322, contains this comment: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Relationship to other torts</w:t>
      </w:r>
    </w:p>
    <w:p>
      <w:pPr>
        <w:numPr>
          <w:numId w:val="5"/>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Nuisance</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Undoubtedly a great many cases in which the rule in Rylands v. Fletcher is applied involve nuisance situations, but nuisance is not only different in its historical origin, but in its legal character and many of its incidents and applications. First, the plaintiff in a Rylands v. Fletcher case need not be the occupier of adjoining, or indeed any, land, as he must be in nuisance. Secondly, the essence of the Rylands v. Fletcher principle is that compensation is given for a single disastrous escape: in nuisance the plaintiff must usually establish some state of affairs. Thirdly, in Rylands v. Fletcher cases there has to be a "thing" which is "likely to do mischief if it escapes". This is not so in nuisance. Fourthly, many nuisances, e.g. noise and obstruction of light, are outside the rule in Rylands v. Fletcher. Winfield well said that nuisance and the rule in Rylands v. Fletcher "are related to one another as intersecting circles, not as the segment of a circle to the circle itself." In short, the basic difference between nuisance and Rylands v. Fletcher is that the former is a wrong to occupation of land, whereas the latter is a wrong arising from occupation of land.</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(Winfield in "Nuisance as a Tort", 4 Camb. L.J. 189 (1930), 195.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Further, nuisance involves a foreseeable injury. In Overseas Tankship (U.K.) Ltd. and The Miller Steamship Co. Pty et al, [1967], A.C., 617 at 640:</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It could not be right to discriminate between different cases of nuisance so as to make foreseeability a necessary element in determining damages in those cases where it is a necessary element in determining liability, but not in others. So the choice is between it being a necessary element in all cases of nuisance or in none. In their Lordships' judgment the similarities between nuisance and other forms of tort to which The Wagon Mound (No. 1), [1961] A.C.. 388, applies far outweigh any differences, and they must therefore hold that the judgment appealed from is wrong on this branch of the case. It is not sufficient that the injury suffered by the respondents' vessels was the direct result of the nuisance if that injury was in the relevant sense unforeseeable.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"state of affairs" referred to in the foregoing extract from Salmond as explained at page 53 of the same volume is "commonly a continuing wrong -- that is to say, it consists in the establishment or maintenance of some state of affairs which continuously or repeatedly causes the escape of noxious things onto the plaintiffs' land ...". The text further states however that a single wrongful escape may be capable of classification as a nuisance.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It is the second principle above that is relevant to this case and upon which I rely to dispose of the claim based on the doctrine of Rylands v. Fletcher. In this case, there was no single disastrous escape. The waste was piled up over years. While a single escape can be a nuisance, I have seen no authority that suggests that the Rylands v. Fletcher doctrine applies to a continuous nuisance, which is what happened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Therefore, there is no liability by the Thandis to Anmore based on the doctrine of Rylands v. Fletcher.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Similarly, there is no liability by the City to Anmore based on this doctrine.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Therefore the claim against the City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The claim against the Thandis and the Thandi Group is allowed on the basis of nuisance.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Anmore has not argued any other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Factually I have concluded that Anmore has not established that the damage caused to their blacktop was caused by the new pile of debris on its property as opposed to being caused by the actions of Ech-Tech when it operated on the Anmore lands in 1994. This part of the claim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There was an amount of garbage remaining on the Anmore property from the time Ech-Tech operated on its property. Therefore, the Thandis are not responsible for the entire amount. However, it was a small amount compared to what fell from the Thandi pile.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The City charged Anmore $63,013.54. I have not added the interest charged by the City to this amount. A small reduction of this amount is required; although it cannot be said with any precision by what amount the costs should be reduced.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I conclude that the costs should be reduced by ten percent ($6,300.00), assuming, as I best I can from the evidence, that ten percent of the garbage has been left over from 1994.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Therefore the Thandis and TTG are will pay Anmore $56,713.54.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The parties will have an opportunity to address the issue of interest and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BENNETT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34" style="position:absolute;z-index:25181286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3"/>
          <w:headerReference w:type="default" r:id="rId44"/>
          <w:footerReference w:type="even" r:id="rId45"/>
          <w:footerReference w:type="default" r:id="rId46"/>
          <w:headerReference w:type="first" r:id="rId47"/>
          <w:footerReference w:type="first" r:id="rId4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9" w:history="1">
        <w:r>
          <w:rPr>
            <w:rFonts w:ascii="arial" w:eastAsia="arial" w:hAnsi="arial" w:cs="arial"/>
            <w:b/>
            <w:bCs/>
            <w:i/>
            <w:color w:val="0077CC"/>
            <w:kern w:val="32"/>
            <w:sz w:val="28"/>
            <w:szCs w:val="32"/>
            <w:u w:val="single"/>
            <w:shd w:val="clear" w:color="auto" w:fill="FFFFFF"/>
            <w:lang w:val="en-US" w:eastAsia="en-US" w:bidi="ar-SA"/>
          </w:rPr>
          <w:t>Beyer-Brown &amp; Associates Ltd. v. S &amp; R Interiors Ltd., [2007] B.C.J. No. 462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Sinclair Prowse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10 - 12 and December 14 - 15,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and February 14,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7,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S044348</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[2007] B.C.J. No. 462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2007 BCSC 327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155 A.C.W.S. (3d) 855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Beyer-Brown &amp; Associates Ltd., Plaintiff, and S &amp; R Interiors Ltd. and Richard Mason,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(82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35" style="position:absolute;z-index:2516602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3" w:name="Keywords_1"/>
      <w:bookmarkEnd w:id="13"/>
      <w:r>
        <w:rPr>
          <w:rFonts w:ascii="arial" w:eastAsia="arial" w:hAnsi="arial" w:cs="arial"/>
          <w:b/>
          <w:color w:val="000000"/>
          <w:sz w:val="20"/>
          <w:lang w:val="en-US" w:eastAsia="en-US" w:bidi="ar-SA"/>
        </w:rPr>
        <w:t>Damages — General damages — Categories of — Loss of profits — Former employer awarded damages equivalent to employee's profit, and new employer's profit, where employee failed to give former employer adequate notice of his intention not to submit bid for contract on behalf of former employer in time for former employer to submit own bid — Employee did not breach employment contract by submitting bid for other company, where no non-competition provision was included in contract with former employer — Former employer failed to prove its profits would have been higher than new employer's profits.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For torts — Breach of fiduciary duty — Former employer awarded damages equivalent to employee's profit, and new employer's profit, where employee failed to give former employer adequate notice of his intention not to submit bid for contract on behalf of former employer in time for former employer to submit own bid — Employee did not breach employment contract by submitting bid for other company, where no non-competition provision was included in contract with former employer — Former employer failed to prove its profits would have been higher than new employer's profits.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Employment law — Implied duties of employee — Former employer awarded damages equivalent to employee's profit, and new employer's profit, where employee failed to give former employer adequate notice of his intention not to submit bid for contract on behalf of former employer in time for former employer to submit own bid — Employee did not breach employment contract by submitting bid for other company, where no non-competition provision was included in contract with former employer — Former employer failed to prove its profits would have been higher than new employer's profits.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Fiduciary duty — Former employer awarded damages equivalent to employee's profit, and new employer's profit, where employee failed to give former employer adequate notice of his intention not to submit bid for contract on behalf of former employer in time for former employer to submit own bid — Employee did not breach employment contract by submitting bid for other company, where no non-competition provision was included in contract with former employer — Former employer failed to prove its profits would have been higher than new employer's profits.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4" w:name="Case Summary_1"/>
            <w:bookmarkEnd w:id="1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Beyer-Brown against Mason, former employee, and S&amp;R, for damages -- Counterclaim by Mason against Beyer-Brown for unpaid commissions -- For 16 years, Mason, salesperson, worked for Beyer-Brown, furniture supply business, soliciting contracts to provide furniture for Canadian Citizenship and Immigration, among other duties -- Mason received 45 percent of gross profits generated from contract as commission -- No non-competition clause was contained in Mason's contract of employment with Beyer-Brown -- In 2004, government contract was Mason's primary source of income -- Mason claimed Beyer-Brown had stopped providing him with other potential contracts -- In 2004, Mason failed to inform Beyer-Brown he would not be tendering bid for upcoming contract -- Mason instead tendered bid on behalf of S&amp;R, company in which Mason had recently acquired 50 percent interest -- When Beyer-Brown discovered this, it was too late for Beyer-Brown to submit bid -- S&amp;R awarded contract, as it was only bidder -- S&amp;R derived gross profit of $346,738 from contract -- Mason was paid $105,000 for management fees from S&amp;R's profits -- Other payouts meant net profit to S&amp;R from contract was $10,569 -- Beyer-Brown commenced action against Mason and S&amp;R for breach of fiduciary duty or breach of contract -- Beyer-Brown claimed its damages were higher than amount of S&amp;R's profits, as it could have serviced contract with less expenses -- Sought damages equivalent to S&amp;R's gross profits -- S&amp;R subsequently went bankrupt -- Beyer-Brown subsequently donated furniture it would have used to supply government, for tax deduction of $55,144 -- Beyer-Brown admitted Mason was owed commissions, but disputed amount Mason claimed was owing -- Mason claimed $18,572 was owing, based on document provided by Beyer-Brown -- Beyer-Brown claimed this was amount owing to Mason as well as another salesperson, with total owing to Mason of $1,250 -- HELD: Action by Beyer-Brown allowed; counterclaim by Mason allowed -- Mason's failure to provide Beyer-Brown with sufficient notice he was not going to tender bid on its behalf, such that Beyer-Brown could have submitted its own bid, amounted to tortious conduct -- Pattern of reliance by Beyer-Brown was established over 16 years of Mason's employment -- Nothing in Mason's employment contract required Mason to submit bid on Beyer-Brown's behalf -- Nothing prevented Mason from tendering bid on behalf of S&amp;R -- Mason's tortious conduct amounted to breach of fiduciary duty to Beyer-Brown -- Possible breach of employment contract was merely incidental to breach of fiduciary duty -- S&amp;R determined constructive trustee of benefit it derived from Mason's tortuous conduct -- Beyer-Brown did not prove it could have serviced government contract with less expenses than S&amp;R, yielding greater profits -- No reason for 45 percent commission to Mason if Beyer-Brown could have serviced government contracts less expensively -- Even if Mason had provided adequate notice to Beyer-Brown, Beyer-Brown would not likely have been awarded contract -- At most, Beyer-Brown's profits would have been in range of $175,000 to $200,000 -- Of this, Beyer-Brown would have netted 10 percent, or $17,500 to $20,000 -- Profit of S&amp;R set at $244,868 -- Judgment awarded against Mason for $105,000, amount he received from S&amp;R, and $139,868 against S&amp;R, representing profit less amount paid to Mason -- Mason awarded $1,250, as this was amount actually owing by Beyer-Brown.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5" w:name="Legislation Cited_0"/>
      <w:bookmarkEnd w:id="1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36" style="position:absolute;z-index:2517114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18A</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6" w:name="Counsel_1"/>
      <w:bookmarkEnd w:id="16"/>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37" style="position:absolute;z-index:2517626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J.L. Carpick, S.A. Robinson.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No One Appearing For The Defendant S &amp; R Interiors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Richard Mason: S.G. Herman.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7" w:name="Judgment_1"/>
      <w:bookmarkEnd w:id="17"/>
      <w:r>
        <w:pict>
          <v:line id="_x0000_s1038" style="position:absolute;z-index:251813888"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A Corrigendum was released by the Court March 13, 2007. The corrections have been made to the text and the Corrigendum is appended to this document.]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4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8" w:name="SINCLAIR PROWSE J."/>
            <w:bookmarkEnd w:id="18"/>
            <w:r>
              <w:rPr>
                <w:rFonts w:ascii="arial" w:eastAsia="arial" w:hAnsi="arial" w:cs="arial"/>
                <w:b/>
                <w:color w:val="000000"/>
                <w:sz w:val="30"/>
                <w:lang w:val="en-US" w:eastAsia="en-US" w:bidi="ar-SA"/>
              </w:rPr>
              <w:t>SINCLAIR PROWSE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NATURE OF THE PROCEEDING AND THE ISSUES RAISED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For 16 years, the Defendant, Richard Mason, was employed by the Plaintiff as a commission salesman. (The Plaintiff is in the wholesale furniture supply business). Throughout this employment, Mr. Mason secured and serviced (on the Plaintiff's behalf) furniture supply contracts for Canadian Citizenship and Immigration ("CIC").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In 2004, while still in the Plaintiff's employ, Mr. Mason failed to notify the Plaintiff that he would not be tendering a bid on its behalf for the upcoming CIC contract in time for the Plaintiff to tender a bid of its 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Rather, Mr. Mason tendered a bid on behalf of the Defendant, S &amp; R Interiors Ltd. ("S &amp; R"), a company in which he had recently acquired a 50% interest. The Plaintiff did not become aware that Mr. Mason failed to tender a bid for the CIC contract on its behalf until after he had left its employ (to join S &amp; R). At that time, it was too late for the Plaintiff to submit a bid of its 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S &amp; R was subsequently awarded the CIC contract. It was the only bid tendered.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this action, the Plaintiff claims that the Defendants' conduct is tortious and seeks damages arising from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Mason counterclaims for commissions which he alleges the Plaintiff owes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II.</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ISSUES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As far as the Plaintiff's claims are concerned, though liability had been determined prior to trial (Mr. Mason had admitted it and S &amp; R was found liable following a Rule 18A application), several issues pertaining to liability arose during this trial. It is necessary to address these issues in order to identify the appropriate measure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These liability issues pertain to the identification of the specific tortious conduct for which Mr. Mason is liable to the Plaintiff and to the nature of that tortious conduct - that is, whether it constitutes a breach of contract, or a breach of fiduciary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As far the tortious conduct of S &amp; R is concerned, it is intertwined with the tortious conduct of Mr. Mason. In the R. 18A hearing, the Trial Judge held that it was vicariously liable for his tortious conduct and consequently was a constructive trustee of the benefit that it received as a consequence of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Given these circumstances, the issues in this trial are:</w:t>
      </w:r>
      <w:r>
        <w:rPr>
          <w:rFonts w:ascii="arial" w:eastAsia="arial" w:hAnsi="arial" w:cs="arial"/>
          <w:sz w:val="20"/>
          <w:lang w:val="en-US" w:eastAsia="en-US" w:bidi="ar-SA"/>
        </w:rPr>
        <w:cr/>
      </w:r>
    </w:p>
    <w:p>
      <w:pPr>
        <w:numPr>
          <w:numId w:val="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specifically is the tortious conduct of Mr. Mason;</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does that tortious conduct constitute a breach of contract, or a breach of a fiduciary duty; and</w:t>
      </w:r>
    </w:p>
    <w:p>
      <w:pPr>
        <w:numPr>
          <w:numId w:val="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are the damages to be awarded against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With respect to Mr. Mason's counterclaim, the Plaintiff did not dispute that there are commission monies owed to Mr. Mason. Rather, the issue is the quantum of those commissions.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III.</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BACKGROUND CIRCUMSTANCES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For the last 28 years, the Plaintiff has been in the wholesale furniture business. Specifically, it sells large orders of furniture, fixtures, and equipment to various institutions such as hotels, healthcare facilities, offices, government departments, etc.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Usually these contracts are secured through a bidding process. Upon learning that an upcoming contract has been put out for bids, or upon being invited to bid upon an upcoming contract, the Plaintiff will first ascertain the specific needs of the prospective purchaser (for example, to provide furnishings and fixtures for 250 hotel rooms). It then contacts various suppliers and prepares and submits a bid. If it is awarded the contract, the Plaintiff will then arrange with the individual suppliers to have the furnishings and fixtures supplied in the quantity, time, and price agreed upon with the customer. Essentially, the business of the Plaintiff is to act as an intermediary between the manufacturers of furnishings and fixtures and large institutional customers.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Although in some respects CIC was more Mr. Mason's than the Plaintiff's client (Mr. Mason had been tendering bids for and servicing the CIC contract for some years prior to joining the Plaintiff's employ), nevertheless, throughout his 16-year employment with the Plaintiff Mr. Mason bid for and serviced the CIC contracts as the Plaintiff's agent. That is, he tendered the bids in the Plaintiff's name and he serviced the contracts in the Plaintiff's name.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Because the CIC contract differed in some material respects from the usual furniture supply contracts that the Plaintiff had with its other customers, it was neither a straightforward process to tender the bid nor to service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To put the CIC contract in context, the federal department of Citizenship and Immigration has operated a program entitled the Refugee Resettlement Assistance Program for over 20 years. Through this program, refugees are supplied with furnishings upon their arrival in Canada. This is done to help them to resettle.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furnishings are intended to meet the needs of the particular refugee. Because the number and needs of the refugees can vary (for example, from a single individual to a family composed of parents, children and grandparents, etc.), the furnishings required will vary. There are 11 different possible furnishing packages designed to meet these varying needs.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Each CIC contract was for a 2 year period. (Most of the Plaintiff's other contracts were for one-time purchases to be delivered on a particular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Further, the CIC contract was a "standing offer" contract. This meant that for the 2 year period of the contract, the furniture supplier (which had been the Plaintiff) would supply furniture at a particular price. In other words, the agreed-upon price would remain constant throughout the duration of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Lastly, the CIC contract was a number of individual contracts whose number and requirements could not be predicted in advance. That is, because the furnishings were tailored to the needs of the refugees, and because the number and individual circumstances of refugees could not be predicted in advance, CIC's furnishing needs were also unpredictable.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Though it was unclear as to whether the CIC contract was always Mr. Mason's primary source of income, the evidence showed that in the last year or so of his employment with the Plaintiff, it had become his primary, if not his sole, source of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This situation may have arisen because of changes that were occurring within the Plaintiff. Specifically, the Plaintiff was endeavouring to staff itself with salaried salespeople rather than commissioned salespeople. As a consequence, Mr. Mason attests that the Plaintiff had stopped offering him other potential contracts on which to prepare a bid for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Whatever the reason for Mr. Mason's decision to leave the Plaintiff's employ, the evidence proved that in the late fall of 2003, or the early winter of 2004, he had decided to leave. In November 2003, he acquired 50% of the shares in S &amp; R. Originally, the intent was that S &amp; R would manufacture much of the furniture needed to service the CIC contract. (As Mr. Mason explained in his evidence, the marketplace had reached the point wherein a more direct connection was needed with the manufacturer).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Though Mr. Mason had decided to leave the Plaintiff's employ in November 2003 (if not before), he did not actually leave until the beginning of April 2004 (which coincided with the end of the April 1, 2002 to March 31, 2004 CIC contract). As was touched on earlier, he did not tender a bid on behalf of the Plaintiff for the upcoming CIC contract - that is, the contract for the period extending from the beginning of April 2004 until the end of March 2006. The Plaintiff did not learn of this situation until after Mr. Mason had left its employ, and after the opportunity to tender a bid on its own had passed.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the meantime, prior to leaving the Plaintiff's employ, Mr. Mason had tendered a bid for the CIC contract on behalf of S &amp; R. This was the only bid tendered and the contract was awarded to S &amp; 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S &amp; R fulfilled the terms of this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From this CIC contract, S &amp; R derived a gross profit of $346,738 (this being sales/revenue in the amount of $950,110 minus the cost and delivery of goods in the amount of $603,372). From these gross profits, S &amp; R paid $105,000 to Mr. Mason for management fees; $129,299 to Satwant Sehmbey (a principal of S &amp; R and the other 50% shareholder) for management fees; and $101,870 for overhead and operating costs. The remaining $10,569 was designated as profits.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S &amp; R is no longer in business. It has gone bankrupt.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Plaintiff tendered a bid on the CIC contract for April 1, 2006 to March 31, 2008, but it was not awarded to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IV.</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THE PLAINTIFF'S CLAIMS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As was set out earlier in these Reasons for Judgment, the issues pertaining to the Plaintiff's claims are: what specifically is the tortious conduct of Mr. Mason; does that tortious conduct constitute a breach of contract, or a breach of a fiduciary duty; and what are the damages to be awarded against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As was set out earlier, pursuant to the finding of the Trial Judge at the R. 18A hearing, S &amp; R is the constructive trustee of the benefit it received as a consequence of Mr. Mason's tortious conduct.</w:t>
      </w:r>
      <w:r>
        <w:rPr>
          <w:rFonts w:ascii="arial" w:eastAsia="arial" w:hAnsi="arial" w:cs="arial"/>
          <w:sz w:val="20"/>
          <w:lang w:val="en-US" w:eastAsia="en-US" w:bidi="ar-SA"/>
        </w:rPr>
        <w:cr/>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b/>
          <w:color w:val="000000"/>
          <w:sz w:val="20"/>
          <w:lang w:val="en-US" w:eastAsia="en-US" w:bidi="ar-SA"/>
        </w:rPr>
        <w:t>What Specifically Is The Tortious Conduct Of Mr. Mason?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With respect to the specific tortious conduct for which Mr. Mason is liable, the consent order itself is of limited assistance as it describes that conduct as being "in respect of the Plaintiff not obtaining the benefit or the opportunity of the benefit of the 2004-2006 contract offered for tender by Public Works Canada [CIC] in February - March,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Plaintiff contends that the specific tortious conduct of Mr. Mason is that he failed to tender a bid on its behalf and to refrain from tendering a bid on behalf of a company other than the Plaintiff. That is, the Plaintiff submits that Mr. Mason had an obligation to tender a bid for the CIC contract on its behalf and was precluded from tendering a bid on behalf of himself or anyone else.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Defendants, on the other hand, contend that the specific tortious conduct of Mr. Mason was that he failed to leave the Plaintiff's employ before tendering a bid on behalf of a competing company. The Defendants argue that Mr. Mason was not obligated to tender a bid on behalf of the Plaintiff. Rather, his obligation went no further than putting the Plaintiff in the position wherein it had the opportunity to put in its own bid should it choose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For reasons which follow, I am satisfied that Mr. Mason's tortious conduct was his failure to provide the Plaintiff with sufficient notice that he would not be tendering a bid on its behalf in time for the Plaintiff to tender a bid of its 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Throughout the 16 year period in which he was employed by the Plaintiff, Mr. Mason had tendered bids on its behalf for all of the CIC contracts awarded during that period. Mr. Mason did this on his own initiative. As a result of this pattern of behaviour, the Plaintiff came to rely upon Mr. Mason to tender this bid for it. In my view, this pattern of reliance on the Plaintiff's part gave rise to a corresponding obligation on Mr. Mason's part to notify the Plaintiff if he was not going to do the task for which it was relying upon him. That notification had to be made in sufficient time to provide the Plaintiff with the opportunity to tender a bid on its own behalf. Otherwise, it is tantamount to no notification.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Though the evidence proved that Mr. Mason had this obligation, it did not prove that he had an obligation to actually tender a bid on the Plaintiff's behalf. In the R. 18A trial regarding S &amp; R's liability, the Trial Judge commented in passing that Mr. Mason had a duty to obtain the CIC contract for the Plaintiff. However, this comment was </w:t>
      </w:r>
      <w:r>
        <w:rPr>
          <w:rFonts w:ascii="arial" w:eastAsia="arial" w:hAnsi="arial" w:cs="arial"/>
          <w:i/>
          <w:color w:val="000000"/>
          <w:sz w:val="20"/>
          <w:lang w:val="en-US" w:eastAsia="en-US" w:bidi="ar-SA"/>
        </w:rPr>
        <w:t>obiter</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only issue before the Trial Judge in that hearing was the liability of S &amp; R. Because S &amp; R, although served, did not participate in that trial, even the evidence on that issue was limited. It consisted of evidence from the Plaintiff and from the Examination for Discovery of a representative of S &amp; 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any event, the evidence in the present trial (which did pertain to Mr. Mason) did not prove that his liability extended to an obligation to tender a bid on behalf of the Plaintiff. It was not a term of Mr. Mason's employment that "he" had to tender this bid for the Plaintiff. Rather, the evidence went no further than proving that he had an obligation to give the Plaintiff sufficient notice that he would not be tendering a bid on its behalf so that it could make arrangements for another salesperson to perform that task.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There was also nothing precluding Mr. Mason from tendering a competing bid provided that he left the Plaintiff's employ before doing so: </w:t>
      </w:r>
      <w:r>
        <w:rPr>
          <w:rFonts w:ascii="arial" w:eastAsia="arial" w:hAnsi="arial" w:cs="arial"/>
          <w:b/>
          <w:i/>
          <w:color w:val="000000"/>
          <w:sz w:val="20"/>
          <w:lang w:val="en-US" w:eastAsia="en-US" w:bidi="ar-SA"/>
        </w:rPr>
        <w:t>Restauronics Services Ltd. v. Forster</w:t>
      </w:r>
      <w:r>
        <w:rPr>
          <w:rFonts w:ascii="arial" w:eastAsia="arial" w:hAnsi="arial" w:cs="arial"/>
          <w:color w:val="000000"/>
          <w:sz w:val="20"/>
          <w:lang w:val="en-US" w:eastAsia="en-US" w:bidi="ar-SA"/>
        </w:rPr>
        <w:t xml:space="preserve">, </w:t>
      </w:r>
      <w:hyperlink r:id="rId50" w:history="1">
        <w:r>
          <w:rPr>
            <w:rFonts w:ascii="arial" w:eastAsia="arial" w:hAnsi="arial" w:cs="arial"/>
            <w:i/>
            <w:color w:val="0077CC"/>
            <w:sz w:val="20"/>
            <w:u w:val="single"/>
            <w:shd w:val="clear" w:color="auto" w:fill="FFFFFF"/>
            <w:lang w:val="en-US" w:eastAsia="en-US" w:bidi="ar-SA"/>
          </w:rPr>
          <w:t>2004 BCCA 130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Mr. Mason was not restricted by a non-competition clause from competing against the Plaintiff. Moreover, there was nothing preventing him from leaving the Plaintiff's employ at any time. (If he left before the expiration of the existing CIC contract, the servicing of that contract would be done by some other salesperson in the Plaintiff's employ because the contract belonged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Given these circumstances, the evidence fell short of proving that the obligation of Mr. Mason extended to tendering a bid on the Plaintiff's behalf, or that it precluded him from competing with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Rather, the tortious conduct of Mr. Mason was that he failed to provide the Plaintiff with sufficient notice that he would not be tendering a bid on its behalf for the upcoming CIC contract.</w:t>
      </w:r>
      <w:r>
        <w:rPr>
          <w:rFonts w:ascii="arial" w:eastAsia="arial" w:hAnsi="arial" w:cs="arial"/>
          <w:sz w:val="20"/>
          <w:lang w:val="en-US" w:eastAsia="en-US" w:bidi="ar-SA"/>
        </w:rPr>
        <w:cr/>
      </w:r>
    </w:p>
    <w:p>
      <w:pPr>
        <w:numPr>
          <w:numId w:val="5"/>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b/>
          <w:color w:val="000000"/>
          <w:sz w:val="20"/>
          <w:lang w:val="en-US" w:eastAsia="en-US" w:bidi="ar-SA"/>
        </w:rPr>
        <w:t>Does The Tortious Conduct of Mr. Mason Constitute A Breach Of Contract, Or A Breach Of A Fiduciary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Plaintiff contends that Mr. Mason's tortious conduct constitutes a breach of the fiduciary relationship that he had with the Plaintiff. The Defendants, on the other hand, contend that his tortious conduct constitutes a breach of an implied term of his employment with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In the circumstances of this case, there is a considerable difference between the measure of damages resulting from these two causes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As was set out by the Supreme Court of Canada in </w:t>
      </w:r>
      <w:r>
        <w:rPr>
          <w:rFonts w:ascii="arial" w:eastAsia="arial" w:hAnsi="arial" w:cs="arial"/>
          <w:b/>
          <w:i/>
          <w:color w:val="000000"/>
          <w:sz w:val="20"/>
          <w:lang w:val="en-US" w:eastAsia="en-US" w:bidi="ar-SA"/>
        </w:rPr>
        <w:t>Guerin v. The Queen</w:t>
      </w:r>
      <w:r>
        <w:rPr>
          <w:rFonts w:ascii="arial" w:eastAsia="arial" w:hAnsi="arial" w:cs="arial"/>
          <w:color w:val="000000"/>
          <w:sz w:val="20"/>
          <w:lang w:val="en-US" w:eastAsia="en-US" w:bidi="ar-SA"/>
        </w:rPr>
        <w:t xml:space="preserve">, </w:t>
      </w:r>
      <w:hyperlink r:id="rId51" w:history="1">
        <w:r>
          <w:rPr>
            <w:rFonts w:ascii="arial" w:eastAsia="arial" w:hAnsi="arial" w:cs="arial"/>
            <w:i/>
            <w:color w:val="0077CC"/>
            <w:sz w:val="20"/>
            <w:u w:val="single"/>
            <w:shd w:val="clear" w:color="auto" w:fill="FFFFFF"/>
            <w:lang w:val="en-US" w:eastAsia="en-US" w:bidi="ar-SA"/>
          </w:rPr>
          <w:t>[1984] 2 S.C.R. 335</w:t>
        </w:r>
      </w:hyperlink>
      <w:r>
        <w:rPr>
          <w:rFonts w:ascii="arial" w:eastAsia="arial" w:hAnsi="arial" w:cs="arial"/>
          <w:color w:val="000000"/>
          <w:sz w:val="20"/>
          <w:lang w:val="en-US" w:eastAsia="en-US" w:bidi="ar-SA"/>
        </w:rPr>
        <w:t xml:space="preserve">, "[i]t is the nature of the relationship, not the specific category of actor involved that gives raise to the fiduciary duty. The categories of fiduciary, like those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should not be considered closed".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The characteristics of a fiduciary relationship as set out by the Supreme Court of Canada in </w:t>
      </w:r>
      <w:r>
        <w:rPr>
          <w:rFonts w:ascii="arial" w:eastAsia="arial" w:hAnsi="arial" w:cs="arial"/>
          <w:b/>
          <w:i/>
          <w:color w:val="000000"/>
          <w:sz w:val="20"/>
          <w:lang w:val="en-US" w:eastAsia="en-US" w:bidi="ar-SA"/>
        </w:rPr>
        <w:t>Frame v. Smith</w:t>
      </w:r>
      <w:r>
        <w:rPr>
          <w:rFonts w:ascii="arial" w:eastAsia="arial" w:hAnsi="arial" w:cs="arial"/>
          <w:color w:val="000000"/>
          <w:sz w:val="20"/>
          <w:lang w:val="en-US" w:eastAsia="en-US" w:bidi="ar-SA"/>
        </w:rPr>
        <w:t xml:space="preserve">, </w:t>
      </w:r>
      <w:hyperlink r:id="rId52" w:history="1">
        <w:r>
          <w:rPr>
            <w:rFonts w:ascii="arial" w:eastAsia="arial" w:hAnsi="arial" w:cs="arial"/>
            <w:i/>
            <w:color w:val="0077CC"/>
            <w:sz w:val="20"/>
            <w:u w:val="single"/>
            <w:shd w:val="clear" w:color="auto" w:fill="FFFFFF"/>
            <w:lang w:val="en-US" w:eastAsia="en-US" w:bidi="ar-SA"/>
          </w:rPr>
          <w:t>[1987] 2 S.C.R. 99</w:t>
        </w:r>
      </w:hyperlink>
      <w:r>
        <w:rPr>
          <w:rFonts w:ascii="arial" w:eastAsia="arial" w:hAnsi="arial" w:cs="arial"/>
          <w:color w:val="000000"/>
          <w:sz w:val="20"/>
          <w:lang w:val="en-US" w:eastAsia="en-US" w:bidi="ar-SA"/>
        </w:rPr>
        <w:t xml:space="preserve"> are that the fiduciary has scope for the exercise of some discretion or power; that the fiduciary can unilaterally exercise that power or discretion so as to affect the beneficiary's legal or practical interests; and that the beneficiary is peculiarly vulnerable to or at the mercy of the fiduciary holding the discretion or power.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Applying these principles to the circumstances of this case, I am satisfied that a fiduciary relationship existed between Mr. Mason and the Plaintiff with respect to tendering the CIC bid on its behalf.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For the 16 years he was employed by the Plaintiff, Mr. Mason acted as its agent with respect to the CIC contract. That is, he had scope for the exercise of some discretion or power because he had assumed the responsibility of preparing and tendering the Plaintiff's bid for the CIC contract throughout. He could unilaterally exercise that power or discretion so as to affect the Plaintiff's practical interests because the Plaintiff left it up to him to tender its bid. That is, the Plaintiff did not check with Mr. Mason each time to ensure that he was preparing its bid. Lastly, because the Plaintiff relied on Mr. Mason to tender its bid, it was vulnerable to, or at the mercy of, Mr. Mason. If he failed to notify the Plaintiff that he was not tendering a bid on its behalf, the Plaintiff would be unaware of that fact and would lose the opportunity to submit a bid of its 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Though, as was demonstrated in </w:t>
      </w:r>
      <w:r>
        <w:rPr>
          <w:rFonts w:ascii="arial" w:eastAsia="arial" w:hAnsi="arial" w:cs="arial"/>
          <w:b/>
          <w:i/>
          <w:color w:val="000000"/>
          <w:sz w:val="20"/>
          <w:lang w:val="en-US" w:eastAsia="en-US" w:bidi="ar-SA"/>
        </w:rPr>
        <w:t>Restauronics</w:t>
      </w:r>
      <w:r>
        <w:rPr>
          <w:rFonts w:ascii="arial" w:eastAsia="arial" w:hAnsi="arial" w:cs="arial"/>
          <w:color w:val="000000"/>
          <w:sz w:val="20"/>
          <w:lang w:val="en-US" w:eastAsia="en-US" w:bidi="ar-SA"/>
        </w:rPr>
        <w:t>, tendering a competing bid while still employed may be a breach of contract rather than a breach of fiduciary duty, in the circumstances of this case it is appropriate to consider it as being incidental to the breach of the fiduciary duty. That is, the conduct that resulted in the greatest harm to the Plaintiff was the loss of the opportunity to bid on the CIC contract (which arose as a result of Mr. Mason's failure to provide sufficient notice).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failure of Mr. Mason to leave the Plaintiff's employ before tendering his competing bid was part of his failure to provide sufficient notice. That is, if Mr. Mason had left the Plaintiff's employ before tendering his competing bid, that fact alone may well have provided the Plaintiff with sufficient notice as Mr. Mason would have had to have left before the expiration of the bid tendering period.</w:t>
      </w:r>
      <w:r>
        <w:rPr>
          <w:rFonts w:ascii="arial" w:eastAsia="arial" w:hAnsi="arial" w:cs="arial"/>
          <w:sz w:val="20"/>
          <w:lang w:val="en-US" w:eastAsia="en-US" w:bidi="ar-SA"/>
        </w:rPr>
        <w:cr/>
      </w:r>
    </w:p>
    <w:p>
      <w:pPr>
        <w:numPr>
          <w:numId w:val="6"/>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b/>
          <w:color w:val="000000"/>
          <w:sz w:val="20"/>
          <w:lang w:val="en-US" w:eastAsia="en-US" w:bidi="ar-SA"/>
        </w:rPr>
        <w:t>What Are The Damages To Be Awarded Against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As far as the measure of damages is concerned, generally speaking the measure of damages for the breach of a fiduciary obligation are the profits resulting from that breach: </w:t>
      </w:r>
      <w:r>
        <w:rPr>
          <w:rFonts w:ascii="arial" w:eastAsia="arial" w:hAnsi="arial" w:cs="arial"/>
          <w:b/>
          <w:i/>
          <w:color w:val="000000"/>
          <w:sz w:val="20"/>
          <w:lang w:val="en-US" w:eastAsia="en-US" w:bidi="ar-SA"/>
        </w:rPr>
        <w:t>Regal (Hastings) Ltd. v. Gulliver</w:t>
      </w:r>
      <w:r>
        <w:rPr>
          <w:rFonts w:ascii="arial" w:eastAsia="arial" w:hAnsi="arial" w:cs="arial"/>
          <w:color w:val="000000"/>
          <w:sz w:val="20"/>
          <w:lang w:val="en-US" w:eastAsia="en-US" w:bidi="ar-SA"/>
        </w:rPr>
        <w:t xml:space="preserve">, [1942] 1 All E.R. 378 (H.L.). The policy underlying this principle is that the law of fiduciary duty has always contained within it an element of deterrence: </w:t>
      </w:r>
      <w:r>
        <w:rPr>
          <w:rFonts w:ascii="arial" w:eastAsia="arial" w:hAnsi="arial" w:cs="arial"/>
          <w:b/>
          <w:i/>
          <w:color w:val="000000"/>
          <w:sz w:val="20"/>
          <w:lang w:val="en-US" w:eastAsia="en-US" w:bidi="ar-SA"/>
        </w:rPr>
        <w:t>Hodgkinson v. Simms</w:t>
      </w:r>
      <w:r>
        <w:rPr>
          <w:rFonts w:ascii="arial" w:eastAsia="arial" w:hAnsi="arial" w:cs="arial"/>
          <w:color w:val="000000"/>
          <w:sz w:val="20"/>
          <w:lang w:val="en-US" w:eastAsia="en-US" w:bidi="ar-SA"/>
        </w:rPr>
        <w:t xml:space="preserve">, </w:t>
      </w:r>
      <w:hyperlink r:id="rId53" w:history="1">
        <w:r>
          <w:rPr>
            <w:rFonts w:ascii="arial" w:eastAsia="arial" w:hAnsi="arial" w:cs="arial"/>
            <w:i/>
            <w:color w:val="0077CC"/>
            <w:sz w:val="20"/>
            <w:u w:val="single"/>
            <w:shd w:val="clear" w:color="auto" w:fill="FFFFFF"/>
            <w:lang w:val="en-US" w:eastAsia="en-US" w:bidi="ar-SA"/>
          </w:rPr>
          <w:t>[1994] 3 S.C.R. 377</w:t>
        </w:r>
      </w:hyperlink>
      <w:r>
        <w:rPr>
          <w:rFonts w:ascii="arial" w:eastAsia="arial" w:hAnsi="arial" w:cs="arial"/>
          <w:color w:val="000000"/>
          <w:sz w:val="20"/>
          <w:lang w:val="en-US" w:eastAsia="en-US" w:bidi="ar-SA"/>
        </w:rPr>
        <w:t xml:space="preserve">. Accordingly, this remedy does not depend on any proof that the claimant suffered any loss: </w:t>
      </w:r>
      <w:r>
        <w:rPr>
          <w:rFonts w:ascii="arial" w:eastAsia="arial" w:hAnsi="arial" w:cs="arial"/>
          <w:b/>
          <w:i/>
          <w:color w:val="000000"/>
          <w:sz w:val="20"/>
          <w:lang w:val="en-US" w:eastAsia="en-US" w:bidi="ar-SA"/>
        </w:rPr>
        <w:t>MacMillan Bloedel Ltd. v. Binstead</w:t>
      </w:r>
      <w:r>
        <w:rPr>
          <w:rFonts w:ascii="arial" w:eastAsia="arial" w:hAnsi="arial" w:cs="arial"/>
          <w:color w:val="000000"/>
          <w:sz w:val="20"/>
          <w:lang w:val="en-US" w:eastAsia="en-US" w:bidi="ar-SA"/>
        </w:rPr>
        <w:t xml:space="preserve"> </w:t>
      </w:r>
      <w:hyperlink r:id="rId54" w:history="1">
        <w:r>
          <w:rPr>
            <w:rFonts w:ascii="arial" w:eastAsia="arial" w:hAnsi="arial" w:cs="arial"/>
            <w:i/>
            <w:color w:val="0077CC"/>
            <w:sz w:val="20"/>
            <w:u w:val="single"/>
            <w:shd w:val="clear" w:color="auto" w:fill="FFFFFF"/>
            <w:lang w:val="en-US" w:eastAsia="en-US" w:bidi="ar-SA"/>
          </w:rPr>
          <w:t>(1983), 22 B.L.R. 255</w:t>
        </w:r>
      </w:hyperlink>
      <w:r>
        <w:rPr>
          <w:rFonts w:ascii="arial" w:eastAsia="arial" w:hAnsi="arial" w:cs="arial"/>
          <w:color w:val="000000"/>
          <w:sz w:val="20"/>
          <w:lang w:val="en-US" w:eastAsia="en-US" w:bidi="ar-SA"/>
        </w:rPr>
        <w:t xml:space="preserve"> (B.C.S.C.). It is of no consequence that the party seeking redress could not its/her/himself have taken advantage of the benefit "improperly" gained: </w:t>
      </w:r>
      <w:r>
        <w:rPr>
          <w:rFonts w:ascii="arial" w:eastAsia="arial" w:hAnsi="arial" w:cs="arial"/>
          <w:b/>
          <w:i/>
          <w:color w:val="000000"/>
          <w:sz w:val="20"/>
          <w:lang w:val="en-US" w:eastAsia="en-US" w:bidi="ar-SA"/>
        </w:rPr>
        <w:t>Canadian Aero Service Ltd. v. O'Malley</w:t>
      </w:r>
      <w:r>
        <w:rPr>
          <w:rFonts w:ascii="arial" w:eastAsia="arial" w:hAnsi="arial" w:cs="arial"/>
          <w:color w:val="000000"/>
          <w:sz w:val="20"/>
          <w:lang w:val="en-US" w:eastAsia="en-US" w:bidi="ar-SA"/>
        </w:rPr>
        <w:t xml:space="preserve"> </w:t>
      </w:r>
      <w:hyperlink r:id="rId55" w:history="1">
        <w:r>
          <w:rPr>
            <w:rFonts w:ascii="arial" w:eastAsia="arial" w:hAnsi="arial" w:cs="arial"/>
            <w:i/>
            <w:color w:val="0077CC"/>
            <w:sz w:val="20"/>
            <w:u w:val="single"/>
            <w:shd w:val="clear" w:color="auto" w:fill="FFFFFF"/>
            <w:lang w:val="en-US" w:eastAsia="en-US" w:bidi="ar-SA"/>
          </w:rPr>
          <w:t>(1973), 40 D.L.R. (3d) 371</w:t>
        </w:r>
      </w:hyperlink>
      <w:r>
        <w:rPr>
          <w:rFonts w:ascii="arial" w:eastAsia="arial" w:hAnsi="arial" w:cs="arial"/>
          <w:color w:val="000000"/>
          <w:sz w:val="20"/>
          <w:lang w:val="en-US" w:eastAsia="en-US" w:bidi="ar-SA"/>
        </w:rPr>
        <w:t xml:space="preserve"> (S.C.C.). Recently, the British Columbia Court of Appeal confirmed these principles in </w:t>
      </w:r>
      <w:r>
        <w:rPr>
          <w:rFonts w:ascii="arial" w:eastAsia="arial" w:hAnsi="arial" w:cs="arial"/>
          <w:b/>
          <w:i/>
          <w:color w:val="000000"/>
          <w:sz w:val="20"/>
          <w:lang w:val="en-US" w:eastAsia="en-US" w:bidi="ar-SA"/>
        </w:rPr>
        <w:t>3464920 Canada Inc. v. Strother</w:t>
      </w:r>
      <w:r>
        <w:rPr>
          <w:rFonts w:ascii="arial" w:eastAsia="arial" w:hAnsi="arial" w:cs="arial"/>
          <w:color w:val="000000"/>
          <w:sz w:val="20"/>
          <w:lang w:val="en-US" w:eastAsia="en-US" w:bidi="ar-SA"/>
        </w:rPr>
        <w:t xml:space="preserve">, </w:t>
      </w:r>
      <w:hyperlink r:id="rId56" w:history="1">
        <w:r>
          <w:rPr>
            <w:rFonts w:ascii="arial" w:eastAsia="arial" w:hAnsi="arial" w:cs="arial"/>
            <w:i/>
            <w:color w:val="0077CC"/>
            <w:sz w:val="20"/>
            <w:u w:val="single"/>
            <w:shd w:val="clear" w:color="auto" w:fill="FFFFFF"/>
            <w:lang w:val="en-US" w:eastAsia="en-US" w:bidi="ar-SA"/>
          </w:rPr>
          <w:t>2005 BCCA 35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However, if, as was the situation in </w:t>
      </w:r>
      <w:r>
        <w:rPr>
          <w:rFonts w:ascii="arial" w:eastAsia="arial" w:hAnsi="arial" w:cs="arial"/>
          <w:b/>
          <w:i/>
          <w:color w:val="000000"/>
          <w:sz w:val="20"/>
          <w:lang w:val="en-US" w:eastAsia="en-US" w:bidi="ar-SA"/>
        </w:rPr>
        <w:t>Hodgkinson</w:t>
      </w:r>
      <w:r>
        <w:rPr>
          <w:rFonts w:ascii="arial" w:eastAsia="arial" w:hAnsi="arial" w:cs="arial"/>
          <w:color w:val="000000"/>
          <w:sz w:val="20"/>
          <w:lang w:val="en-US" w:eastAsia="en-US" w:bidi="ar-SA"/>
        </w:rPr>
        <w:t>, the profits enjoyed by the defendant are less than the losses proven by the plaintiff, for reasons of fairness (breach of a fiduciary obligation being an equitable remedy) the Court will order restitution rather than a disgorgement of profits. In other words, if the disgorgement of profits is an inadequate remedy (because the plaintiff has proven that their losses are greater than the defendant's ill-gotten profits), the measure of damages is the loss proven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It is only in cases in which the plaintiff's proven losses are greater than the defendant's profits that the Court will adopt a "but for the breach of the fiduciary duty" analysis and award damages commensurate with the plaintiff's proven loss. Otherwise, the measure of damages is the defendant's profits.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In the present case, the Plaintiff contends that the "but for" analysis is appropriate because its loss is greater than the profits enjoyed by the Defendants. However, the Plaintiff failed to prove this contention. On the contrary, I am satisfied that its loss would have been considerably less than the profits enjoyed by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To calculate its damages, the Plaintiff contends that it would have been awarded the CIC contract and that its costs to service that contract would have been considerably less than the costs incurred by S &amp; 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Specifically, the Plaintiff submits that it would not have expended any monies to pay a salesperson to service the contract because its existing staff (after Mr. Mason left) had the capacity to service it. Moreover, the Plaintiff contends that it would have had few, if any, of the other overhead costs incurred by S &amp; R. (That is, the Plaintiff argues that its existing overhead costs would not have increased to service this contract. For example, its rent, utilities, etc. would have remained the same).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Consequently, the Plaintiff submits that its loss is the whole of S &amp; R's gross profit - namely, $346,738 (which is the sale revenues minus the costs of goods sold and delivery) as compared to S &amp; R's net profit - namely, $244,868 (which is its gross profits minus its overhead/operating expenses, which includes the payment of Mr. Mason's salary/commission).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 am not satisfied that these contentions of the Plaintiff regarding its loss were proven.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For example, the evidence did not support the Plaintiff's contention that it would not have had to incur any additional costs to service the CIC contract as its existing sale staff had the capacity to that work. To the contrary, the evidence showed that the Plaintiff grossly underestimated the amount of time and skill required to service that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Moreover, the past conduct of the Plaintiff is inconsistent with that contention. For the 16 years that Mr. Mason serviced this contract for the Plaintiff, the Plaintiff had paid him a commission of 45% of the gross profits generated from that contract. It is unlikely, in my view, that the Plaintiff (which the evidence showed was a well-run business) would have continued to pay Mr. Mason the income it did, for the time it did, had it been convinced that this contract could be less expensively serviced.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Furthermore, the evidence fell short of proving the Plaintiff's contention that its other operating expenses would not have increased had they been awarded the CIC contract. Given the amount of time and effort that the evidence showed was needed to service this contract, the evidence did not support the conclusion that the Plaintiff would not have incurred any additional operating expenses (that is, there would have been no additional expenses incurred for support staff, telephone and fax, etc.).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In my view, the "but for the breach of the fiduciary obligation" analysis results in very modest damages to the Plaintiff. That is, if Mr. Mason had provided the Plaintiff with sufficient notice, it is very unlikely that the Plaintiff would have been awarded the bid.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As this contract was Mr. Mason primary source of income, upon giving the Plaintiff this notice, he would probably have left the Plaintiff's employ and tendered a bid of his own. Given that Mr. Mason had successfully tendered bids for and serviced the CIC contract for a number of years, and given that the evidence indicated that the Plaintiff had a poor grasp of what was needed to service the CIC contract, I am satisfied that the likelihood of the Plaintiff securing the CIC contract was no greater than 10%. This conclusion is somewhat supported by the fact that the 2006-2008 CIC contract was not awarded to the Plaintiff, even though it tendered a bid.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Further, as set out above, the evidence failed to prove that the Plaintiff would not have incurred any additional costs to service the CIC contract. On the contrary, I am satisfied that given the skill and time required to service the CIC contract that some additional overhead operating costs would have been incurred, including additional staffing costs. Rather, I am satisfied that, at most, the Plaintiff's profits would have been in the range of $175,000 to $200,000.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Applying these conclusions to the evidence, I am satisfied that the "but for" analysis results in a loss to the Plaintiff in the range of $17,500 - $20,000 (this being 10% of the profits). Even if I am wrong, with respect to the Plaintiff's contention that it would not have it incurred any additional overhead operating expenses, its loss would only have been $34,673.80 (this being 10% of $346,738).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In addition, the Plaintiff was given a taxable benefit in the amount of $55,144.20 as a result of the donation of furniture that it had purchased but did not use in the 2002-2004 CIC contract. This benefit should be considered when determining the Plaintiff's loss, thereby reducing it further.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profit analysis for the measure of damages, on the other hand, results in a substantially larger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 am satisfied that the profit of the Defendants was $244,868. This is the balance remaining after the deduction of operating/overhead expenses, excluding the $234,299 in management fees paid to Mr. Mason and Mr. Sehmbey.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Given that the measure of damages for breach of a fiduciary obligation is the profit enjoyed by the defendant (unless the plaintiff proves that his/her/its loss is greater than that amount), and given that the Plaintiff failed to prove that its loss was greater than the profit enjoyed by the Defendants, the measure of damages in this case is the Defendants' profits.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Because consideration of the Plaintiff's actual loss is irrelevant to this measure of damages, the Plaintiff's taxable donation is not a consideration.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In the R. 18A hearing, the Trial Judge held that the Defendants are severally, rather than jointly, 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Applying that ruling to the circumstances of this case, judgment is awarded against Mr. Mason in the amount of $105,000 plus interest, which is the amount of the profit he enjoyed. Judgment is awarded against S &amp; R in the amount of $139,868 plus interest, this being the remaining balance of the profit for which it is responsible as a constructive trustee.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V.</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MR. MASON'S COUNTERCLAIM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With respect to the counterclaim, Mr. Mason claims that the Plaintiff owes him outstanding commissions for work performed by him before he left the Plaintiff's employ.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Plaintiff does not dispute that it owed Mr. Mason some commission monies; however, the amount owed is in dispute.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Plaintiff concedes that it owed Mr. Mason $1,250.24 in commission. Mr. Mason, however, claims the Plaintiff owes him an additional $18,572.06.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This dispute arose as the result of a document provided by the Plaintiff. Though initially this document appeared to indicate that Mr. Mason was owed $18,572.06 in commissions, a review of it reveals that this amount is the total of the commissions owed to Mr. Mason and one of his co-workers. Of this total amount, $3,094.65 was owed to Mr. Mason. This document further disclosed that Mr. Mason was paid a portion of this commission, leaving a balance of $1,250.24.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correctness of this interpretation of this document was confirmed through the evidence of the Plaintiff's controller who composed this document. Mr. Mason did not dispute this conclusion. Rather, his evidence was that he was unsure as to the amount owing to him from the Plaintiff and therefore he was relying upon the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 am satisfied that the Plaintiff owes Mr. Mason $1,250.24 in outstanding commissions. He is granted judgment in that amount plus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VI.</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CONCLUSION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In summary, the Plaintiff is granted judgment against Mr. Mason in the amount of $105,000 plus interest. The judgment awarded to Mr. Mason in his counterclaim, namely $1,250.24 plus interest, is to be set-off against this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Further judgment is granted to the Plaintiff against S &amp; R in the amount of $139,299 plus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VII.</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COSTS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If the parties are unable to reach an agreement with respect to costs, they are granted leave to arrange a hearing through the Registry at any mutually convenient time. If they anticipate that the application will take less than 1 hour, they may set it down at 9:00 a.m. If they anticipate that it will take more than 1 hour, it is to be set down during regular sitting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SINCLAIR PROWSE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Released: March 13,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 to the Reasons for Judgment issued advising that the dates of the trial of this matter should be changed to read: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October 10 - 12, 2006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December 14 - 15, 2006 and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February 14, 2007</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39" style="position:absolute;z-index:25186201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7"/>
          <w:headerReference w:type="default" r:id="rId58"/>
          <w:footerReference w:type="even" r:id="rId59"/>
          <w:footerReference w:type="default" r:id="rId60"/>
          <w:headerReference w:type="first" r:id="rId61"/>
          <w:footerReference w:type="first" r:id="rId6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3" w:history="1">
        <w:r>
          <w:rPr>
            <w:rFonts w:ascii="arial" w:eastAsia="arial" w:hAnsi="arial" w:cs="arial"/>
            <w:b/>
            <w:bCs/>
            <w:i/>
            <w:color w:val="0077CC"/>
            <w:kern w:val="32"/>
            <w:sz w:val="28"/>
            <w:szCs w:val="32"/>
            <w:u w:val="single"/>
            <w:shd w:val="clear" w:color="auto" w:fill="FFFFFF"/>
            <w:lang w:val="en-US" w:eastAsia="en-US" w:bidi="ar-SA"/>
          </w:rPr>
          <w:t>Campbell v. Vancouver (City), [2001] B.C.J. No. 416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Sigurdson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15 - 19, 22 - 26, December 6 - 9, 1999,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January 17, 19 - 21 and May 10 - 12,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7,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C951322</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[2001] B.C.J. No. 416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2001 BCSC 350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103 A.C.W.S. (3d) 621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William Campbell, plaintiff, and City of Vancouver and Paul Hughes,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(256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40" style="position:absolute;z-index:2516613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9" w:name="Keywords_2"/>
      <w:bookmarkEnd w:id="19"/>
      <w:r>
        <w:rPr>
          <w:rFonts w:ascii="arial" w:eastAsia="arial" w:hAnsi="arial" w:cs="arial"/>
          <w:b/>
          <w:color w:val="000000"/>
          <w:sz w:val="20"/>
          <w:lang w:val="en-US" w:eastAsia="en-US" w:bidi="ar-SA"/>
        </w:rPr>
        <w:t xml:space="preserve">Torts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Evidence — Occupiers' liability 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for dangerous premises — Invitees, liability of particular occupiers — Recreational and sports arenas or facilities.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0" w:name="Case Summary_2"/>
            <w:bookmarkEnd w:id="2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Campbell for personal injuries allegedly sustained at a public swimming pool run by the city of Vancouver. At trial time Campbell was 48. Although earlier in life he had showed promise as a political and military analyst, his career had been in decline. In 1992 in Hong Kong, he was in an automobile accident and suffered a head injury which caused him to lose consciousness. Subsequently he had serious problems with anger, depression, chronic pain, and dizziness. He was charged with assaulting his adult daughter and his second marriage ended. He took up regular swimming go keep fit, but was a slow swimmer. On the day in issue, to assist a handicapped swimmer, a lifeguard placed a light aluminum ladder in the slow swimmers lane. The lifeguard claimed that, to secure the ladder, he was obliged to ask Campbell to move away, but Campbell denied he was aware of the ladder's presence. He claimed that, while swimming, he struck his head on the ladder, suffering a brain injury which exacerbated all of his pre-existing problems.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1" w:name="Holdings of Court_1"/>
            <w:bookmarkEnd w:id="21"/>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While Campbell did hit his head on the ladder, he failed to prove that he was injured. His chronic physical and psychological problems were no different after the accident than they were immediately preceding it. It was probable that his problems remained attributable to the Hong Kong accident. The pool injuries likely were trifling. Campbell did not lose consciousness or suffer amnesia, which were strong indicators of brain injury.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2" w:name="Legislation Cited_1"/>
      <w:bookmarkEnd w:id="2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41" style="position:absolute;z-index:2517125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Occupiers Liability Act, </w:t>
      </w:r>
      <w:hyperlink r:id="rId64" w:history="1">
        <w:r>
          <w:rPr>
            <w:rFonts w:ascii="arial" w:eastAsia="arial" w:hAnsi="arial" w:cs="arial"/>
            <w:i/>
            <w:color w:val="0077CC"/>
            <w:sz w:val="20"/>
            <w:u w:val="single"/>
            <w:shd w:val="clear" w:color="auto" w:fill="FFFFFF"/>
            <w:lang w:val="en-US" w:eastAsia="en-US" w:bidi="ar-SA"/>
          </w:rPr>
          <w:t>R.S.B.C. 1996, c. 337, s. 3</w:t>
        </w:r>
      </w:hyperlink>
      <w:r>
        <w:rPr>
          <w:rFonts w:ascii="arial" w:eastAsia="arial" w:hAnsi="arial" w:cs="arial"/>
          <w:color w:val="000000"/>
          <w:sz w:val="20"/>
          <w:lang w:val="en-US" w:eastAsia="en-US" w:bidi="ar-SA"/>
        </w:rPr>
        <w:t>(1), 3(2).</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3" w:name="Counsel_2"/>
      <w:bookmarkEnd w:id="23"/>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42" style="position:absolute;z-index:2517637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H.S. Delaney and D.C. Hendricks, for the plaintiff. D.G. Creighton, for the defendants.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4" w:name="Judgment_2"/>
      <w:bookmarkEnd w:id="24"/>
      <w:r>
        <w:pict>
          <v:line id="_x0000_s1043" style="position:absolute;z-index:251814912"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5" w:name="SIGURDSON J."/>
            <w:bookmarkEnd w:id="25"/>
            <w:r>
              <w:rPr>
                <w:rFonts w:ascii="arial" w:eastAsia="arial" w:hAnsi="arial" w:cs="arial"/>
                <w:b/>
                <w:color w:val="000000"/>
                <w:sz w:val="30"/>
                <w:lang w:val="en-US" w:eastAsia="en-US" w:bidi="ar-SA"/>
              </w:rPr>
              <w:t>SIGURDSON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In 1994 the plaintiff, William Campbell, struck his head on a temporary aluminum ladder while he was swimming in the defendant's community pool. The question is whether the defendants were negligent in failing to use reasonable care in placing the ladder for the handicapped swimmers in the pool while the plaintiff was swimming.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other issue is whether the plaintiff suffered any injury as a result of this accident. Two years earlier the plaintiff was involved in a motor vehicle accident in Hong Kong, where he was knocked unconscious. The plaintiff's counsel argues that the plaintiff was more susceptible to a brain injury by reason of this earlier accident and that his poorer condition was caused by the pool accident. The defendants say that the pool accident did not cause or contribute to the plaintiff's current condition. That condition they say is a result of pre-existing depression, pre-existing intractable headaches and the impact of medication, none of which relates to the pool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 will first deal with the issue of liability and then the question of whether there has been any damage suffered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Both sides called a number of experts. One main area of dispute was whether a loss of consciousness or some amnesia is necessary for a diagnosis of mild traumatic brain injury. Before discussing the expert evidence, however, I will outline the facts and identify the areas where there is some controversy.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By the fall of 1994 Mr. Campbell was a regular patron of the Lord Byng pool, a public facility owned and operated by the City of Vancouver. On October 28, 1994, Mr. Campbell struck his head on a ladder that had been placed into the slow swimmers' lane. The ladder allows handicapped people to enter and exit the pool.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had earlier, on March 5, 1992, been involved in a motor vehicle accident in Hong Kong, when he was a passenger in a taxicab. At that time, he struck his head and lost consciousness for some period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At the time of trial Mr. Campbell was 48 years old. He is an intelligent man. He graduated in 1977 from the University of Calgary with a Bachelor of Arts degree. During his undergraduate years he was president of the students council. Always interested in politics, he unsuccessfully ran for provincial office in 1975 and also sought a party's nomination in 1982.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After graduation, he worked as a realtor and, in the early 1980s, represented a substantial developer.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Campbell has had a wide interest in conservative intellectual issues. He helped establish a think tank called "Canadian Conservative Publishers". In the early 1980s he spoke widely on strategic military issues, including appearing before a Senate Committee, and at numerous conferences, including one attended by the United States President. He was a voracious reader, interested in a wide variety of military, political and historical subjects.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Throughout his life he has been athletic. He has done tae kwon do for many years and such sports as running, swimming, volleyball and basketball. He had played guitar since he was 13 years of 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He had two children from his first marriage but in 1983 he separated from his wife. His marriage was marked by incidents of anger and screaming.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1984 he became employed by the Fraser Institute.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Campbell was an adept public speaker who could speak at length extemporaneously and with humour. A videotape of a 1988 speech showed him vibrant and learned, apparently speaking without notes.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1989, with the end of the Cold War, his speaking niche disappeared. He found employment with a company looking for military applications of high technology. His source of funding moved off shore and that business 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1991 he began work with Wellfund Audio-Visual Ltd., a subsidiary of a Hong Kong company, and was responsible for developing marketing, finance and human development plans. He secured a line of credit and obtained an interest-free loan from a government agency. British Columbia's premier attended a function the plaintiff presided over in Hong Kong.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On March 5, 1992, in Hong Kong, Mr. Campbell was in the back seat of a vehicle, without seat belts, when it was struck by another taxi. Mr. Campbell flew over the middle divider and landed against the wheel well area. He struck his head and was knocked unconscious. He was taken to one hospital and then transferred to another. After a few days he went to Taiwan and a few days later returned to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Two weeks later, on March 22, 1992, Mr. Campbell hosted a ground-breaking ceremony for the Wellfund factory on Annacis Island. A videotape of his speech showed him a little different from the videotape taken in 1988; his eyes appeared cloudy and he seemed a little slower.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June 1992, while in Hong Kong on business, Mr. Campbell observed the sexual harassment of a Wellfund employee by a company executive and reported this to his supervisor. According to Mr. Campbell, when the employee sued he supported her and he was terminated in November 1992 when he would not change his 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Campbell began to suffer delusions such as believing a Chinese agent followed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Campbell sued Wellfund for wrongful dismissal. Clancy J. of this Court gave judgment in 1995 in his favour. Although he was dismissed before the pool accident, the trial and the judgment followed it. Mr. Campbell's medical condition was in issue in that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Let me turn back for a moment to the period after his dismissal but before the pool accident. In April 1993 Mr. Campbell moved to a trailer park in Richmond because his money was running out. In February 1994 he moved to B.C. Housing in Jericho. He was living there at the time of the pool accident and has since moved back to Richmond.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1994, prior to the pool accident, Mr. Campbell donated a kidney to his ex-wife. She required the transplant to survive. During this procedure he was hospitalized for an extended period for the removal of a catheter.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late July 1994 Mr. Campbell started swimming regularly at the Lord Byng pool. Generally he swam 20 laps; he routinely swam the last two laps faster than the first 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the fall of 1994 Mr. Campbell suffered from persistent headaches. His general practitioner, Dr. Henry Birnbaum, referred him to Dr. Lorne Kastrukoff, a neurologist specializing in headache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Dr. Jeffrey Claman, a psychiatrist, assessed him at the suggestion of Dr. Kastrukoff. Mr. Campbell was treated with antidepressants, in particular Zoloft. Mr. Campbell testified at trial that before the pool accident he was starting to feel better.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After he left Wellfund he only worked sporadically. In the fall of 1994 he was still unable to work, suffering from headaches and living in B.C. Housing at Jericho Beach.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On October 28, 1994, in the afternoon, while Mr. Campbell was swimming, the lifeguard, Paul Hughes, put an aluminum ladder for use by handicapped swimmers into the last or slow lane. The key issue is whether Mr. Hughes brought to Mr. Campbell's attention that the ladder, which projects about six feet out from the end of the pool, had been placed in the pool.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Campbell swam into the ladder and struck his head. After Mr. Campbell left the pool he had a discussion with the lifeguard, Mr. Hughes.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the first week of November Mr. Campbell wrote to the City of Vancouver and complained that he had suffered physical injury. Mr. Campbell said that after he hit his head he was dazed, approached a handicapped swimmer and stopped, felt nauseous and left the pool. He described speaking to the lifeguard, going to the hot tub and feeling nauseous.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At trial Mr. Campbell said that he has changed since the pool accident. Mr. Campbell testified that in the year following the pool accident his anger problems were qualitatively different and at a higher scale than before, and his thinking skills were compromised in that he was slower and less able to read and write. He described balance problems that affected his ability to play sports and he became socially withdrawn and depressed. He explained that he has had at least twenty incidents of irrational anger where he has caused fear; one incident resulted in an assault on his daughter, to which he pleaded guilty. His migraine headaches, he said, have taken a turn for the worse and steadily increased to the point he went on narcotics. He said that he has only 10 good days a month. He said that he did not suffer from vertigo prior to the accident but now does, the first episode occurring in the pool following the accident, a problem he said is now off and on. He gets some relief from vertigo from neck exercises. Mr. Campbell has difficulty doing the movements with the left hand while playing guitar. Prior to the accident he suffered from nausea but now says he has it more frequently and vomits about half of the time. He explained that his depression has gone into remission and that he has not suffered from it for some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Mr. Campbell described himself before the pool accident as a person who had been injured and had some chronic pain problems. He says that his recovery is now back to square one with the problems, those that I have set out in the last paragraph, being much worse.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 Campbell had not worked much following his dismissal by Wellfund. In 1993 he was employed as a consultant and received $15,000 in unemployment insurance, $4,000 in welfare and a professional income of $1,600. In 1994, the year of the pool incident, his net professional income was $2,000 and $5,300 was from welfare. In 1995 his professional income was $1,500 and he received $6,000 in welfare. In 1996 his professional income was $8,400 with $4,200 from welfare. In 1997 his income of about $23,000 was entirely from total disability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January, February and May 1995 the wrongful dismissal claim against Wellfund went to trial. At that trial Mr. Campbell relied on a number of expert reports including those of Dr. Kastrukoff, a neurologist, Dr. Birnbaum, his family physician and Dr. Claman, a psychiatrist.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On September 29, 1995, Clancy J. handed down his decision. He awarded damages in favour of Mr. Campbell. He concluded that the motor vehicle accident had triggered the onset of migraine headaches to which Mr. Campbell was genetically predisposed and that the stresses imposed on him at the hands of the officers and directors of Wellfund contributed to the exacerbation of his medical difficulties.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December 1995 Mr. Campbell married a woman he met in May 1995. Their son was born in February 1996. They separated in May 1996 and divorced in June 1998. Following a custody dispute in 1996 the custody of the child remained with Mr. Campbell.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December 1995 he got into a fight with Johanna Campbell, his eldest daughter, and was charged with assault.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most serious issue in this case is whether Mr. Campbell's medical condition worsened by him striking his head in the pool. Mr. Campbell continued to be seen by Dr. Kastrukoff, a neurologist, for his headaches. Two other doctors saw him after the pool accident: Dr. Boris Gimbarzevsky, a general practitioner, who first saw Mr. Campbell after taking over Dr. Birnbaum's practice in June 1996, and Dr. Leon Berzen, a psychiatrist, who first saw Mr. Campbell on April 15, 1996, while Dr. Berzen was under the supervision of Dr. Trevor Hurwitz. Mr. Campbell also saw Dr. Neil Longridge, an ear nose and throat specialist, at the suggestion of Dr. Kastrukoff. He was also seen by a speech therapist, Ms. Elizabeth Porteous.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Dr. Kastrukoff thought that Mr. Campbell's symptoms worsened after the pool accident. Dr. Gimbarzevsky felt that Mr. Campbell suffered an injury to his dominant frontal lobe in the pool accident, and Dr. Berzen was of the view that had the pool accident not occurred, Mr. Campbell likely would have been able to return to gainful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defendant also called a number of expert witnesses, including Dr. Rosemary Wilkinson, a neuropsychologist, Dr. Peter Rees, a neurologist, and Dr. Yitzchak Hollander, a psychiatrist.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Dr. Wilkinson was of the opinion that the evidence suggested a minor bump to the plaintiff's head at low speed and brain damage would not be expected. She thought the neuropsychological testing was inconsistent with a brain injury in the pool. Dr. Rees did not examine Mr. Campbell but found it difficult, if not impossible, to envisage that a brain injury occurred in October 1994. He felt that the cumulative effect of stress and depression compounded possible brain injury in 1992 or before, which might prevent Mr. Campbell from working. Dr. Hollander found no characteristics to support a brain injury from the pool accident. He felt that it was unclear whether the genesis of Mr. Campbell's depressive syndrome was as a result of the 1992 accident or the subsequent Wellfund litigation, unemployment, financial challenges, unplanned pregnancy, litigation in 1995 and current family conflict, or ongoing pain from migraines, all of which could perpetuate a depressive condition. He noted that antidepressant medication was being increased prior to the pool incident, which suggested depression was neither in remission nor were his headache difficulties gone. He testified that there is generally an interaction between depressive illness and chronic pain and they can mutually exacerbate each 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First I will discuss the law and evidence concerning the alleged liability of the defendants for failing to warn the plaintiff of the ladder in the pool.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 will then consider the factual and medical evidence concerning the issue of whether Mr. Campbell suffered an injury in the pool accident that made his condition worse and, if so, to what extent.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POOL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Did Mr. Hughes use reasonable care to warn the plaintiff that he had put a ladder in the swimming pool?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On October 28, 1994, around noon hour Mr. Campbell was swimming, as he recently had for exercise. He commonly swam about 20 laps and his normal habit, he said, was to exert as much effort, he said, on the 19th and 20th laps as he could muster. He had never timed himself and had no formal swimming training.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Mr. Campbell wore goggles when he swam. He ordinarily focussed upon the black line at the floor of the swimming pool demarcating the middle of the lane. The black line terminated at each end with a "T" which indicated that the end of the pool was about 6 feet away.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While Mr. Campbell was swimming one of his final laps, the lifeguard, Mr. Hughes, put a portable aluminium staircase into the end lane of the pool. That is the lane handicapped people use. Mr. Campbell swam in this lane because he sometimes felt ill and had to stop.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When he arrived at the "T" on the bottom of the pool, Mr. Campbell felt his hand or arm brush something and then his head struck the ladder. At trial he described the pain as excruciating - like something piercing his skull.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When I discuss the question of whether Mr. Campbell suffered an injury, I will discuss the evidence concerning the immediate effect of the impact on Mr. Campbell, and his discussion in that respect with Mr. Hughes. Those aspects, however, are not directly relevant to the question of liability, which I will discuss first.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Let me first recount the versions given by Mr. Campbell and Mr. Hughes, the only apparent witnesses to the events resulting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Mr. Campbell's Version of the Pool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Mr. Campbell testified that he swam into the ladder because he did not see it being put in, nor was he warned by Mr. Hughes that the ladder was going in. He testified that as he was standing in the water cursing the fact that an obstacle had been put there without warning, Mr. Hughes, the lifeguard, came up to him and said that he was sorry. Mr. Campbell testified that after the accident Mr. Hughes attached a red traffic cone to the immersed aluminium staircase to warn oncoming swimmers of the danger.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Mr. Hughes' Version of the Pool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Mr. Hughes is a 46-year-old recreational programmer employed by the City. He has swum since he was young and was a member of the national team. At the time of Mr. Campbell's accident he was filling in for the regular lifeguard.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He testified that the portable aluminum stairs, which he designed, were placed in this slow or undesignated lane at least 50% of the time. That end of the pool is 42 inches deep. The stairs are dark aluminum, have seven steps and start about 8 inches from the wall. There are handrails on each side. The stairs encroach into the pool a total of 6 feet. The stairs are normally visible to a swimmer before a swimmer touched the upper portion of the stairs. Mr. Hughes agreed that putting in the stairs was a change in the environment.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He also agreed that Mr. Campbell normally swam face down and that the purpose of the T at the bottom of the pool was to alert swimmers that the end of the pool was near. He said he had a clear recollection of Mr. Campbell being an extremely slow swimmer.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On October 28, 1994, when a handicapped swimmer was about to enter the pool, Mr. Hughes wheeled the stairs towards the pool and started to put them 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Mr. Hughes testified that when he was attempting to put the stairs in, Mr. Campbell was standing in the middle of the lane, in the way. Mr. Hughes said that he repeatedly called out to him to move. He testified that he said, "Excuse me, excuse me" before he put the stairs in. He said that Mr. Campbell looked directly at him, moved off to the side and after a delay during which he thought that Mr. Campbell gave him a dirty look, swam off. Mr. Hughes placed the stairs in the water. Mr. Hughes' evidence was that he made eye contact with Mr. Campbell, asked him to move and that Mr. Campbell, he believed, knew that the stairs were being put in. Mr. Hughes however agreed that he did not specifically say that he was putting the stairs in the pool.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Counsel for the plaintiff points out that there was no incident report and there is no reference to the "excuse me, excuse me" discussion in the report to Risk Management that was subsequently prepared by Mr. Hughes. However, Mr. Hughes said that by making the reference in the statement to "eye contact" he meant that Mr. Campbell was aware that the stairs were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Mr. Hughes testified that he thought that Mr. Campbell, whom he had seen in the pool in the past, saw them. The stairs, he said, were readily visible against the white tile at the end of the pool.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The plaintiff advances his claim under both the Occupiers Liability Act, </w:t>
      </w:r>
      <w:r>
        <w:rPr>
          <w:rFonts w:ascii="arial" w:eastAsia="arial" w:hAnsi="arial" w:cs="arial"/>
          <w:i/>
          <w:color w:val="000000"/>
          <w:sz w:val="20"/>
          <w:lang w:val="en-US" w:eastAsia="en-US" w:bidi="ar-SA"/>
        </w:rPr>
        <w:t>R.S.B.C. 1996, c. 337</w:t>
      </w:r>
      <w:r>
        <w:rPr>
          <w:rFonts w:ascii="arial" w:eastAsia="arial" w:hAnsi="arial" w:cs="arial"/>
          <w:color w:val="000000"/>
          <w:sz w:val="20"/>
          <w:lang w:val="en-US" w:eastAsia="en-US" w:bidi="ar-SA"/>
        </w:rPr>
        <w:t xml:space="preserve"> (the "Act") and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Sections 3(1) and (2) state:</w:t>
      </w:r>
      <w:r>
        <w:rPr>
          <w:rFonts w:ascii="arial" w:eastAsia="arial" w:hAnsi="arial" w:cs="arial"/>
          <w:sz w:val="20"/>
          <w:lang w:val="en-US" w:eastAsia="en-US" w:bidi="ar-SA"/>
        </w:rPr>
        <w:cr/>
      </w:r>
    </w:p>
    <w:p>
      <w:pPr>
        <w:numPr>
          <w:numId w:val="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occupier of premises owes a duty to take that care that in all the circumstances of the case is reasonable to see that a person, and the person's property, on the premises, and the property on the premises of a person, whether or not that person personally enters on the premises, will be reasonably safe in using the premises.</w:t>
      </w:r>
    </w:p>
    <w:p>
      <w:pPr>
        <w:numPr>
          <w:numId w:val="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duty of care referred to in subsection (1) applies in relation to the</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condition of the premises,</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activities on the premises, or</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conduct of third parties on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There is no dispute that the City is an occupier under the statute and owed a duty to the plaintiff to take reasonable steps to ensure that the plaintiff was safe in using the premises. It is acknowledged that Mr. Hughes, as a employee of the pool charged with lifeguarding duties, owed Mr. Campbell a duty as someone who might foreseeably be injured by his acts or omissions.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first question is whether the defendants failed to meet the applicable standard of care owed to the plaintiff. Did the defendant fail to use reasonable care in the circumstances by placing the handicapped ladder in what I will refer to as the slow lane of the swimming pool?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Discussion of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specific question I think is whether Mr. Hughes used reasonable care to bring to Mr. Campbell's attention the fact that he was placing a hazard in the pool. Mr. Campbell testified that he did not see Mr. Hughes putting the steps in the pool that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Although I found Mr. Hughes to be a credible witness who intended to bring to Mr. Campbell's attention that he was putting the stairs in the pool and although I think that Mr. Campbell was aware that the portable aluminium stairs had been in the slow lane in the past (they appear to be there about one-half the time), I find that Mr. Hughes did not actually bring to Mr. Campbell's attention that the stairs were going in. I also find that he failed to take reasonable steps to ensure that Mr. Campbell (while he was in the pool) was aware that the stairs were being put 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When Mr. Campbell swam towards the shallow end of the pool on his 19th or 20th lap, whichever in fact it was was, he was not made aware that the stairs had been put in. As a result, his head made contact with the stairs.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portable stairs are a hazard to swimmers who are not aware of their presence in the pool. It is a change in the environment. It is a risk to swimmers already in the pool, particularly those who swam face down as Mr. Campbell does. Mr. Hughes knew that the plaintiff swam with his head down and that the "T" at the bottom of the pool was no warning of the stairs being there. I find that Mr. Hughes did not bring to Mr. Campbell's attention that the stairs were going in and as a result failed to use reasonable care to warn of the new danger.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Whether Mr. Hughes spoke to Mr. Campbell before he put the stairs in, I conclude that he incorrectly assumed that Mr. Campbell was aware that he was putting in the stairs. He did not specifically tell him that he was about to put in the stairs. I conclude that by failing to take reasonable steps to warn the swimmer that he was changing the environment, the defendants were negligent and failed to keep and maintain the premises in a reasonably safe condition, contrary to s. 3 of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Once it is shown that the defendants failed to meet the applicable standard of care owed to the plaintiff, the plaintiff still has the burden of showing that the breach of duty caused or contributed to the damages claimed. I now propose to discuss whether Mr. Campbell suffered an injury in the pool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Nature and Extent of Injury from the Pool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Mr. Campbell's Evidence Concerning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 will start by discussing the collision with the stairs in the pool. I will set out the evidence concerning the severity of that contact and the symptoms that Mr. Campbell faced immediately following the incident. The only witnesses to Mr. Campbell's condition right upon and right after the accident were Mr. Campbell and Mr. Hughes.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Mr. Campbell testified that when he hit the ladder, he pushed off and swam into a handicapped swimmer. He said that it felt like the pool was moving. He left the pool. He described feeling disoriented and nauseous and exited the pool by the stairs he had struck. He said he began feeling strange. He described it as feeling dazed with his surroundings moving. He testified that this was the first time he experienced what he later learned was vertigo; the window in the pool area, he said, was undulating.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Mr. Campbell testified that two events occurred but he could not recall the order. First he went over to the nearby hot tub and looked at the pool. In the hot tub he felt nauseous. He held onto the rails and felt vertigo. He said that he saw Mr. Hughes put a cone on the stairs as a flag to warn swimmers.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Second, he recalled a discussion with Mr. Hughes about the injury to his head. He said that he asked Mr. Hughes to examine the top of his head, that Mr. Hughes did and said that there was no blood. Mr. Campbell said that he took issue with that, ran his fingers through his hair, showed his reddened fingertips to the lifeguard and said, "What is this then?" Mr. Campbell said that he asked Mr. Hughes for Tylenol, but Mr. Hughes said he could not get that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Mr. Campbell said that he then went to the men's changing room. He recalled feeling vertigo and lay down on a bench. He testified that he remembered being woken by the sound of young boys in the room but he did not know how long he had been out of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He testified that he asked people at the front desk of the pool for painkillers for his headache but was told he could get them at the 7-1l at Alma and 10th. He wandered there in a zigzagging way and bought some Tylenol and a slurpee. He said that he felt foolish because he remembered he had his own painkillers in his knapsack. He went home, said he got sick to his stomach, contacted his doctor and advised the nurse what happened. He saw Dr. Birnbaum later that afternoon.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He made notes early on and the two pages in his diary do not indicate a sensation of spinning or make reference to the description of going into the locker room and passing out. In his claim letter of November 7, 1994, he does not mention feeling dizzy, experiencing movement of the pool or that the glass became wavy. Instead he stated that he was dazed but tried to continue swimming. He had indicated this to Mr. Hughes. He did in his letter, however, describe feeling nauseous. His typed headaches diary indicates that on October 28, 1994, after the accident, he was nauseous and very dizzy.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There are references in the diary to dizziness and the room swirling after the pool accident. He said he did not then know that there was a unique name and explanation. He agreed that room swirling - a description that he used on October 13, 1994, in the headache diary - were the same words that he used on discovery to refer to the pool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In his notice letter to the City of November 7, 1994, Mr. Campbell indicated that he had received advice that the accident had likely aggravated his existing medical problems. On or about November 23, 1994, Mr. Campbell obtained some material from the Head Injury Association. He said that he was alarmed to see that he had so many symptoms that were on the list. He saw Dr. Birnbaum about the symptoms and the first reference to vertigo appears in January 1995.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Mr. Hughes' Evidence Concerning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Mr. Hughes recalled that Mr. Campbell came up to him (he could not remember precisely what was said) and indicated that he had swum into the stairs, that they were a hazard and that he had hurt his 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Mr. Hughes described Mr. Campbell after the accident as looking alert with normal sized pupils. He said that Mr. Campbell did not complain of dizziness, loss of consciousness or disorientation.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Mr. Hughes testified that he was asked to examine Mr. Campbell's head, which he indicated was not bleeding.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On discovery Mr. Hughes incorrectly described Mr. Campbell as quite bald, but recalled at trial that there were no cuts, bruises or redness. He said that any need for a bandage or ice would have been noted in the accident log. However, he did not complete an accident or incident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Mr. Hughes testified that although he did not see the contact with the ladder, he said that Mr. Campbell was amongst the slowest swimmers in the pool. Mr. Hughes has swum competitively at world class speeds and testified that in his experience contact with the end of the pool does not result in cuts to the head or concussions because of the relatively slow speeds and water buoyancy.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Mr. Hughes described Mr. Campbell as swimming with his head and his legs low in the water. I think that the medical conditions that Mr. Campbell was suffering from at the time, the antidepressant medication that he was taking and his chronic pain condition probably all contributed to limiting his speed and, to some extent, his endurance. So, by the end of his swim on October 28, 1994, even if Mr. Campbell increased his speed, I conclude he was still swimming slowly.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Mr. Campbell's Physical Condition Prior To and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Mr. Campbell's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plaintiff says he is significantly worse following the October 28, 1994,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Mr. Campbell suffered a head injury in the Hong Kong taxi accident. Dr. Birnbaum's records indicate that Mr. Campbell believed that he was unconscious for at least some minutes after the taxi accident. It may have been longer, Mr. Campbell could not remember. He advised Dr. Kastrukoff that he thought that it could be 15 - 20 minutes. Mr. Campbell had little memory of the Hong Kong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According to Dr. Birnbaum, Mr. Campbell was totally disabled in 1993. After the Hong Kong accident Mr. Campbell was waking up with terrifying nightmares.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Prior to the pool accident, Mr. Campbell had difficulty with depression and had ongoing problems with headaches. He continued to suffer from nightmares. During this period he kept a headaches diary. By March 1994 he had been in emergency for his headaches and according to Dr. Birnbaum, he remained totally disabled from work and was merely surviving. In June 1994 Dr. Claman wrote that he was of the impression that Mr. Campbell had a major depressive disorder in remission and made a diagnosis of classic migraines. Dr. Birnbaum referred Mr. Campbell to Dr. Kastrukoff, a specialist in headaches. When he was re-evaluated by Dr. Kastrukoff on August 26, 1994, he continued to have difficulties with depression and ongoing problems with headaches. Mr. Campbell was on antidepressants. He had discontinued Paxil, an antidepressant medication, and had returned to Zoloft, an antidepressant that carried the possibility of some anti-migraine effects. He had been taking four tablets of Zoloft a day and, according to Dr. Kastrukoff, appeared to be improving on this. However, according to Dr. Kastrukoff he was still quite symptomatic.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Dr. Kastrukoff reviewed Mr. Campbell's headache calendar and noted headaches on August 28 to 31, September 4 to 7, September 10, September 14 to 16, September 21, 25, 26, 27-30, 1994. Mr. Campbell, he thought, suffered from vascular headaches. Dr. Kastrukoff noted that although prior to the loss of his employment with Wellfund he had minor migraineous vascular headaches, these had developed into a severe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Mr. Campbell said that his headaches went up and down corresponding with events. He said that the headaches before the pool accident were improving. In September and October 1994 he said that they were qualitatively different than in the years prior to the pool accident and he was experiencing an improvement in his headache symptomology. He testified that he had nausea primarily with migraine headaches a few times a month.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In late 1992 and early 1993 he was treated by Dr. Claman, a psychiatrist, because he feared individuals associated with his former employer. He was treated with several antidepressants in this period. He testified that apart from his increased swimming regime he began taking longer walks and jogging in the early fall of 1994. He said his headaches were not as bad as they were in 1993, and that he was becoming fit and optimistic about the future. He indicated that panic attacks, which he suffered in 1992 and 1993, had subsided in 1994. He testified that he was a Type A personality and his anger management in the period prior to the accident was similar to what it was before the Hong Kong accident. Mr. Campbell indicated that he was able to write a lengthy fictional novel called "China's Terror" following the Hong Kong motor vehicle accident, but before the pool accident. It largely incorporated three previously written novels but several hundred pages were new.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 plaintiff's counsel says that his panic attacks were being treated by the summer of 1994, the sadness and depression that had plagued him was in partial remission and Dr. Claman thought that his major depressive disorder as well as classic migraines had substantially improved in recent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However, his headache diary indicated he was still having chronic debilitating headaches prior to the pool incident and he was taking antidepressants and Tylenol 3. Mr. Campbell's headaches were described as "intractible" on his last visit on October 3, 1994, when Dr. Kastrukoff reviewed his headache diary.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Mr. Campbell indicated on cross-examination that he was unaware of the reasons for his marriage breakdown although he acknowledged that anger was a factor. The evidence I think indicates that Mr. Campbell had serious anger management problems prior to the pool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Prior to the increased dosage of Zoloft in March 1994, Mr. Campbell came off Paxil because although his symptoms had improved markedly, he noticed some cognitive confusion that he attributed to the side effects of that medication. Mr. Campbell's headache diary indicates in the period October 13 to 16, 1994, that the "room [is] swirling" which the defendants suggest is likely the result of the Zoloft-Doxepin interactions or the use of Tylenol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Dr. Kastrukoff's written review of November 18, 1994, indicates that when he last evaluated Mr. Campbell prior to the pool accident there was an increase in Zoloft to 200 milligrams from 100 milligrams prescribed by Dr. Claman and, despite this, Mr. Campbell continued to be quite symptomatic. The headaches continued. His depression appeared to be improving.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Richard Melchin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Mr. Melchin is a friend of Mr. Campbell and was his partner in Canadian Conservative Publishing from 1986 to 1990. He testified that between 1992 and 1994 he had contact with Mr. Campbell every couple of months. He said that since the pool accident he noticed a change in Mr. Campbell's speech.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He testified at first he was not aware of the pool accident but had noted changes in Mr. Campbell's personality over the telephone and his ability to concentrate. He asked him what happened and Mr. Campbell described the pool accident. He said that Mr. Campbell has become more retiring, reserved and awkward in conversation.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Joannie Campbell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Mr. Campbell's eldest daughter is 21 years of age. She testified that after the car accident her father started getting migraines a couple of times per month and was disoriented and dizzy. She said that the migraines and dizziness remained but his communication skills improved. After his kidney donation in 1994 she said that he was trying to get things back on course. After the pool accident he seemed down in the dumps and unable to control his anger. She said he lost interest in intellectual matters. He could not remember things.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In December 1995 she said that Mr. Campbell became increasingly subject to irrational rage and there were very angry fights over minor things such as whether she took her vitamins. In early December 1995 he held scissors to her throat and told her he would tell people that she committed suicide and that he could get away with killing her. Later there was an argument that escalated and he struck her in the middle of the chest with his right hand and threatened to kill her dog. The police were called.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She testified that prior to the pool accident he had a temper but was always able to stop his anger, but now had a shorter fuse. She says the difference was that prior to the pool accident he would reach a point and stop and apologise, but after the accident he was not able to stop and the rage had to run its course. As a result of the assault on her in December she lost trust in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On cross-examination she testified that in the early 1990s, when living in their Richmond home, Mr. Campbell displayed extreme anger against her, her sister and their dog. She indicated that in the past he had threatened to kill her mother. She said that before his kidney surgery he had threatened her mother and relatives. She testified that he was extremely angry with her for not visiting him in the hospital even though she had great difficulty visiting hospitals.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Pastor Choi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Pastor Paul Choi met Mr. Campbell in 1990. He teaches at the tae kwan do school, has a black belt and is the godfather to Mr. Campbell's 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Pastor Choi indicated that Mr. Campbell was different after the motor vehicle accident and then again a little worse after the pool accident. He described an incident at a Chinese restaurant when a person at the next table would not stop smoking and Mr. Campbell was so angry he took his plate out to the parking lot. On another occasion, when a car was following too closely, Mr. Campbell insisted that Pastor Choi stop the car or he would kick the door out. Pastor Choi testified that since the pool accident Mr. Campbell had changed a lot.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Expert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Dr. Kastrukoff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Dr. Kastrukoff, a neurologist, saw the plaintiff prior to the pool accident. Mr. Campbell was referred by Dr. Birnbaum to Dr. Kastrukoff in March 1994. Dr. Kastrukoff concluded that the plaintiff had migraines, which were probably genetic, that his CT scan was normal and that there was no evidence of a significant head injury. When he saw Mr. Campbell in March 1994 it was to address problems of headaches and depression. At the time Mr. Campbell was also seeing Dr. Claman for depression. Because of the side effect of Paxil, Dr. Kastrukoff prescribed another antidepressant.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On August 26, 1994, Dr. Kastrukoff saw Mr. Campbell, did a neurological examination and it continued to be normal. When he saw Mr. Campbell on October 3, 1994, three weeks before the pool accident, Dr. Kastrukoff thought that Mr. Campbell's headaches were triggered by stresses in his life. He felt that his depression was a reactive depression to a number of factors in his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Clancy J. in his reasons for judgment in the Wellfund action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have accepted Dr. Kastrukoff's conclusion that additional stresses in Mr. Campbell's life led to increasingly severe migraines and mental distress. I am also persuaded that, although Mr. Campbell reacted to added stress in an irrational way, attributing incidents to the defendants when there was little or no basis for doing so, his reaction can be related to the defendants' conduct. He had no history of depression, paranoia and claustrophobia prior to the stresses imposed on him by the defendants. It is likely that his severe migraines, caused in part by the defendants' actions, affected his ability to treat events in a rational way.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conclude that the motor vehicle accident of March 1992 triggered the onset of migraine headaches, to which Mr. Campbell was genetically predisposed. The stresses imposed upon him by the treatment he received at the hands of the officers and directors of Wellfund during the term of his employment and the fact of his dismissal were contributing factors to the exacerbation of his medical difficulties.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On December 9, 1994, following the pool accident, Dr. Kastrukoff saw the plaintiff. The neurological examination he did at that time was also normal. Mr. Campbell reported dizziness and imbalance, the latter being a new symptom. Dr. Kastrukoff heard from Mr. Campbell of cognitive problems and ordered a CT scan. That was normal.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Mr. Campbell indicated to Dr. Kastrukoff in December 1994 that his headaches were worse. These headaches were something that Dr. Kastrukoff thought might be resolved prior to the accident. He said that he had problems with concentration, memory and confusion and difficulty organizing his thoughts.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Dr. Kastrukoff saw him a year later. On December 4, 1995, Dr. Kastrukoff tested for vertigo. He noticed, on the Dix-Hallpike manoeuvre, an observable nystagmus, which is an eye-twitching reaction. He thought that he was developing nystagmus but that it was not delayed, as is normally the case. This was a symptom that Dr. Kastrukoff had not seen before. Because the Dix-Hallpike manoeuvre was not completely consistent with vertigo, Dr. Kastrukoff referred Mr. Campbell to Dr. Longridge.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Dr. Kastrukoff also did a neurological examination on December 4, 1995, which this time he found to be abnormal. After the pool accident one neurological test had been normal and one was abnormal. Dr. Kastrukoff was of the opinion that a MRI taken in January 1996 was abnormal and he felt it was the result of the pool accident. It showed a small bleed in the left frontal lobe. He thought this was consistent with trauma. He also felt that the plaintiff had vertigo but the cause of that was unclear. He observed some of Mr. Campbell's cognitive difficulties in expressing himself.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Even though Mr. Campbell suffered no loss of consciousness in the pool accident and was, according to Mr. Campbell, only dazed, Dr. Kastrukoff thought that he had suffered a traumatic mild brain injury. In his opinion mild brain trauma does not require a loss of consciousness. Despite the fact that there was no amnesia, Dr. Kastrukoff was of the opinion that amnesia is a helpful but not necessary symptom of mild traumatic brain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Dr. Kastrukoff concluded that Mr. Campbell sustained a closed head brain injury in the pool. This opinion was based on the constellation of symptoms from the patient, the findings on the neurological examination and the MRI.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The MRI (whether it was abnormal is in issue) was taken after both accidents, including the Hong Kong accident where the plaintiff admittedly lost consciousness from a severe blow to the head. Dr. Kastrukoff agreed that the MRI result was consistent with the motor vehicle accident. Dr. Kastrukoff agreed that the MRI could not be dated as to when the abnormality arose.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The abnormal neurological examination Dr. Kastrukoff found in 1995 was not noted in 1994 following the pool accident. In 1995 Dr. Kastrukoff had found distinct changes in muscle tone - it had increased in the left arm compared to the right and was spastic in nature. Dr. Rees, a neurologist called by the defendant, described Dr. Kastrukoff's finding as a minor difference in the intensity of the reflexes or what he termed a soft finding.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Dr. Kastrukoff's first neurological examination after the pool incident was normal. Other neurological examinations following the pool accident have also been normal.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Dr. Kastrukoff had seen Mr. Campbell in November 1992 and re-evaluated him on a number of occasions, including twice in 1993, five times in 1994, once in 1995 and 1996 and twice in 1997. Dr. Kastrukof relied on his own interaction with Mr. Campbell to a certain degree and the fact that Mr. Campbell, after the pool accident, was not giving his history very well and was struggling.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It appears to me, from the cross-examination of Dr. Kastrukoff, that he based his opinion that Mr. Campbell suffered a brain injury in the pool in part on a change in headaches, cognitive problems, affective disorder and vertigo or dizziness that were reported to him by Mr. Campbell.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The weight that I attach to Dr. Kastrukoff's opinion is affected by certain factors. Some of the information Dr. Kastrukoff relied upon in reaching his opinion of a brain injury was information from Mr. Campbell. I think Mr. Campbell, following the pool accident, early on believed it exacerbated his medical difficulties and he was influenced by a checklist of symptoms that he received from the Head Injury Association. I believe that Mr. Campbell, when he did not improve following the pool accident, began, to a degree, looking for a physical explanation for some of the symptoms that he continued to have. I also think that some of the facts relied on by Dr. Kastrukoff, such as an abnormal neurological examination, the MRI, and the changed circumstances reported by Mr. Campbell, were very marginal as to whether they indicated a brain injury. The change in circumstances depended significantly on Mr. Campbell's reporting of changes and the accuracy of that reporting. I will discuss later whether Mr. Campbell's symptoms were really much different following the pool accident. The MRI, if abnormal, could have been, and I think more likely was, the result of the Hong Kong accident. Neurological examinations conducted by others were normal after the pool accident. I think Dr. Rees' assessment of the abnormal neurological examination as a soft finding is reasonable. Moreover, the diagnosis of benign postural vertigo is not necessarily the result of a head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I formed the impression from the whole of Dr. Kastrukoff's evidence, in the context of all the evidence in this trial, that he was essentially saying that a brain injury from the pool accident was a possibility. I also felt that Dr. Kastrukoff's conclusion was based on an emerging and developing definition of mild brain injury that might only require an altered state of consciousness when the more conventionally accepted standard for indicating brain injury of concussion or amnesia, were not, apparently, present. Although the definition of mild traumatic brain injury that Dr. Kastrukoff appeared to rely on did not require unconsciousness but only dazing, the doctor also indicated, as I understand his evidence, that the proffered definition required confusion with amnesia, present for less than 24 hours, but usually only for a few minutes to a few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Dr. Gimbarzevsky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Dr. Gimbarzevsky is a general practitioner with a particular interest in Parkinson's Disease. Dr. Gimbarzevsky holds a Masters of Science in Neurophysiology and eight years of research at U.B.C. in Neurophysiology Pharmacology.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Dr. Gimbarzevsky was first introduced to Mr. Campbell when he was working on a locum for Dr. Birnbaum, then Mr. Campbell's family doctor. Dr. Gimbarzevsky took over Dr. Birnbaum's practice in June 1996. Dr. Birnbaum died in February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Dr. Gimbarzevsky provided essentially two sets of expert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The first was March 23, 1998. Dr. Gimbarzevsky stated that following the 1992 car accident Mr. Campbell experienced severe classical migraines with aura, which were accompanied by nausea and vomiting, and he was unable to work. The headaches, he noted, were resistant to medication and became more frequent and intense with stress. His evidence indicated that in 1994, prior to the pool accident, the plaintiff continued to suffer from headaches. Dr. Gimbarzevsky said that Mr. Campbell also suffered depression following his 1992 motor vehicle accident and appeared to do so up to the date of the pool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Dr. Gimbarzevsky in his first report, a report that came after the pool accident, commented on Mr. Campbell's injuries (in connection with both accidents) and described them as a closed head injury with likely loss of consciousness, post traumatic migraine, post traumatic vertigo, depression secondary to the closed head injury and assorted resolved soft injuries.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assessing the severity of a closed head injury, one of the most important pieces of data one requires is whether or not there was any loss of consciousness (LOC), the duration of LOC and the patient's recovery in the immediate post head injury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He noted that Mr. Campbell reported being unconscious for at least one to two minutes and had amnesia about the Hong Kong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Dr. Gimbarzevsky noted that Mr. Campbell suffered a head trauma in the pool accident, which he said has been associated with an increase in all of his neurologic symptoms. He also noted that in his neurological examination of June 1996 Mr. Campbell showed remarkably slowed alternate two-finger tapping in his left hand. Dr. Gimbarzevsky thought that the MRI findings related primarily to the 1992 motor vehicle accident. In discussing Mr. Campbell's brain injury he thought that although on gross tests of neurologic function Mr. Campbell was normal, his exhibited impulsiveness and poor judgment were symptoms of frontal lobe damage which he thought could be corrected through antidepressant 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Dr. Gimbarzevsky felt that Mr. Campbell's loss of verbal skills as a result of his injury was of greater significance. He said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Campbell has suffered permanent brain damage which make him totally unable to pursue his former employment. While it is theoretically possible that medical treatments will restore him to his previous state, for all practical purposes Mr. Campbell is not capable of any employment for the rest of his life as a result of his 1992 MVA. He is capable of other employment which does not require the same intellectual capacity as his former occupation, but his problems with migraine headaches and vertigo would make this virtually impossible in any but a highly artificial setting.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In Dr. Gimbarzevsky's second set of reports (September 12 and October 26, 1999) he was asked by the plaintiff's counsel to focus on problems caused by the 1994 pool accident, but he said that detailed apportionment between head injuries is not a high priority for physicians dealing primarily with neurological problems. He noted that as he was commissioned to prepare the first report on the 1992 motor vehicle accident, it dealt primarily with that issue but he reiterated that he felt that Mr. Campbell suffered a head injury in 1994.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Dr. Gimbarzevsky stated that in Mr. Campbell's opinion he was improving rapidly prior to the pool accident, expected to be able to resume normal life and felt that the injury in the pool had a significant impact. He noted that following the 1994 pool accident, Mr. Campbell's complaints were post traumatic migraine headaches occurring two to three times weekly, post traumatic vertigo (he felt likely related to the 1994 accident), anxiety attacks, severe fatigue, lack of motivation, difficulty with concentration and reading, balance problems, inability to play guitar, word-finding difficulties, memory problems, intellectual impairment, inappropriate social behaviour, social withdrawal, frustration with intellectual impairment, episodes of rage and chronic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In terms of the effects of the 1994 accident particularly, Dr. Gimbarzevsky indicated that they were vertigo, greatly increased headaches, right frontal lobe damage, impulsivity, problems in controlling aggression and considerable cognitive decline.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Dr. Gimbarzevsky was of the view that the plaintiff had suffered right frontal lobe damage in the pool accident and would never operate at the same level again. He noted that Mr. Campbell was under considerable stress and would likely be so for a year or more after settlement of the legal actions. He noted that the MRI findings showed left frontal brain damage, most likely secondary to the 1992 motor vehicle accident, and that Dr. Kastrukoff had a finding of an abnormal neurological examination on December 4, 1995, which noted left frontal lobe damage. He thought that right frontal lobe damage in the pool accident was a possibility. Dr. Gimbarzevsky observed an angry tirade by Mr. Campbell in 1996 and noted that his alternate two-finger tapping with his left hand was abnormal and was, in his opinion, clear evidence of right frontal lobe disjunction. He noted that Mr. Campbell suffered severe emotional lability which dramatically increased after the pool accident. He thought that the apathy that Mr. Campbell suffers from was related to the 1994 accident, but later I understood his evidence to be that it related to both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Dr. Gimbarzevsky indicated that he thought Mr. Campbell was improving slowly following his 1992 Hong Kong injury. Dr. Gimbarzevsky said that Mr. Campbell's condition thereafter might be explained by an additional injury to the right frontal lobe, showing greater problems with impulse control than in a unilateral frontal lobe injury. Dr. Gimbarzevsky also noted that Mr. Campbell felt that he had considerably more difficulty comprehending new material and had slowed thinking since his 1994 accident. Moreover, Mr. Campbell, he thought, had greater apathy and had been able to increase his energy level using the stimulant medication methylphenidate (Ridalin). Dr. Gimbarzevsky noted that Mr. Campbell's energy level prior to the 1994 incident was better than today. Dr. Gimbarzevsky opined about the impact of a previous brain injury: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an individual with a brain that has not sustained any previous injury, the injury that Mr. Campbell sustained in 1994 would likely have been easily recovered from in a few months. Mr. Campbell's brain was uniquely vulnerable in 1994 and thus unable to deal with the damage sustained in his collision with the ladder placed in his lane in the pool.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Dr. Gimbarzevsky said that while Mr. Campbell might, at some future time, have recovered from the damage suffered in 1992 (referring to the left frontal lobe injury in 1992), the 1994 accident ensured that he would never again be capable of working in an executive capacity as the portion of the brain required for this purpose is no longer working correctly.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Dr. Gimbarzevsky described Mr. Campbell as less organized than he was in 1994, prior to the pool accident. He said Mr. Campbell was incapable of being gainfully employed and that had the pool accident not occurred, he could possibly have recovered his former level of functioning following the 1992 motor vehicle accident. However, subsequent to the 1994 pool accident the chances of this occurring were reduced to almost zero.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Dr. Gimbarzevsky has limited neurological experience. Of thirty patients with brain injuries, only four were the result of injuries in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Dr. Gimbarzevsky acknowledged that brain injury is one of the most controversial areas in neurology. Although Dr. Gimbarzevsky noted that Mr. Campbell's alternate finger tapping was slower in his left hand, he agreed there was no base measure for that test taken prior to the pool injury and, to the extent that his report relies on the automatic finger-tapping test, these results are not based on an accepted measure.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Dr. Gimbarzevsky also acknowledged that his observations of Mr. Campbell were the sum total of two brain injuries, given that he did not see Mr. Campbell prior to the pool accident. He noted that in addition to neurological examinations performed by Dr. Hurwitz, a psychiatrist, and Dr. Stephen Clarke, a neurologist, those done by him proved to be normal neurological examinations.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Dr. Gimbarzevsky agreed a general practitioner would normally look for evidence of concussion. He agreed there is no reference in the records of Dr. Birnbaum that Mr. Campbell had a concussion in the pool accident. Like Dr. Kastrukoff and Dr. Rees, he testified that significant forces were required to cause an ondontoid fracture (as shown on the CT scan) and it appears that those forces were apparent in the Hong Kong accident but were not present in the pool accident. He agreed as well that the odontoid fracture on the vertebrae could be consistent with striking his head after being thrown forward in a moving motor vehicle that suddenly stopped.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In Dr. Gimbarzevsky's first medical report, he indicated that post traumatic amnesia was a significant symptom in assessing a brain injury. However, in his final report, he did some Medlink (like Quicklaw) searches and appeared to change his opinion. The studies he found indicated that post-traumatic amnesia and loss of consciousness were not always necessary for a mild traumatic brain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Dr. Gimbarzevsky agreed that Mr. Campbell felt he was getting better prior to the pool accident, but acknowledged that the records shortly before the pool accident indicated Mr. Campbell was still quite symptomatic and receiving increasing Zoloft and Doxepin to deal with depression and insomnia.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Dr. Gimbarzevsky's evidence, to a significant extent, relies on Mr. Campbell's self-reporting or self-assessment of deterioration. He noted that delusional behaviour may indicate a brain injury and he agreed that Mr. Campbell was suffering from delusions following his Hong Kong motor vehicle accident. In his second report he noted that depression was secondary to the head injury but depression in fact predated the pool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Dr. Gimbarzevsky indicated that amnesia is still a strong indicator of brain injury and that even on the emerging definition of mild traumatic brain injury, the diagnosis of a brain injury requires an appreciably altered state in the individual demonstrating that the brain had been altered in some way. He agreed that post traumatic amnesia, at least in his first report, was a significant factor. That factor was not present in the pool accident but certainly existed after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Dr. Gimbarzevsky also noted that delay in the finger-tapping test could possibly be attributed to either the left or right frontal lobe.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Dr. Berzen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The plaintiff called Dr. Berzen, a neuropyschiatrist, as an expert witness. Dr. Berzen first saw Mr. Campbell on April 15,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Dr. Berzen pointed out that Mr. Campbell had responded to antidepressant medication and his depression at the time of trial was largely in remission, but despite this his cognitive functioning remained impaired.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Dr. Berzen indicated in his written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Subsequent to the motor vehicle accident on March 5, 1992, he suffered a post concussion syndrome characterized by fatigue, cognitive impairment, and depressive symptomatology.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The post concussive syndrome he thought probably arose from a closed head injury sustained in the taxi cab accident in March 1992. He felt the post concussion syndrome, major depression and post traumatic headaches were exacerbated by his subsequent wrongful dismissal. He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Prior to the swimming pool accident of October 28, 1994, Mr. Campbell's health was improving. He appeared to be making progress towards recovery following this accident, but he suffered a further setback by the swimming pool accident which occurred in October 1994, as noted in Dr. Kastrukoff's note of February 11, 1995.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Dr. Berzen said that it appeared that following the swimming pool accident, Mr. Campbell had a re-emergence of features of post concussion syndrome, complicated by post traumatic vertigo.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accident (the pool accident) caused a further decline in the patient's functioning. His post traumatic headaches became worse, he suffered with positional vertigo, he became increasingly more depressed, and began to demonstrate increased irritability, poor social judgment and uncontrolled rage attacks. In addition, he suffered with worsening of his cognitive functioning.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This information suggested to Dr. Berzen that Mr. Campbell sustained a second traumatic injury to his brain that further exacerbated his already resolving symptoms induced by the March 1992 head injury. Dr. Berzen was of the opinion that his headaches effectively precluded employment. Dr. Berzen said that the nature of this new injury from hitting the metal staircase is most likely "diffuse axonal shearing as a result of coup and contracoup forces on the brain." He thought however that the CT scan and the MRI that he saw in 1996 were equivocal.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Dr. Berzen thought that the plaintiff's depression was in remission. The plaintiff's counsel argues that removing depression as an alternative cause for Mr. Campbell's condition throws the effect of the brain injury into stark relief; the fact that Mr. Campbell still complains of a cognitive impairment allows the differential diagnosis of brain injury to be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In his report Dr. Berzen indicated that diagnostic considerations for his opinion included a disinhibited frontal lobe syndrome with rage attacks, post traumatic headaches and impaired intellectual functioning as characterized by impaired concentration with impaired recent memory (including non-verbal memory) and post traumatic vertigo.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Dr. Berzen agreed that chronic pain, insomnia, financial problems and depression all reduce an individual's ability to control anger in stressful situations.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Dr. Berzen agreed that it is problematic to provide people with checklists (particularly people with somatization disorders) because people look for non-specific symptoms and attach great significance to them as being part of the head injury profile. Dr. Berzen noted that many patients have somatic disorders and physical symptoms are frequently indicated because they have less stigma associated with their treatment. Dr. Berzen was unaware of Mr. Campbell's delusion about an agent in the back of his car shortly after the Hong Kong head injury, which Dr. Berzen felt was consistent with depression as well as a head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In terms of depression, Dr. Berzen indicated that Mr. Campbell's depression improved and worsened over the period of time he treated him. Dr. Berzen believed incorrectly that Mr. Campbell's first panic attack came after the pool accident when he was having a MRI, whereas Mr. Campbell had numerous panic attacks prior to the pool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Dr. Berzen based his assessment in part on Mr. Campbell's self-reporting of cognitive disturbances. He did not inquire as to his reading comprehension and expressive difficulties prior to the pool accident. Dr. Berzen agreed that Dr. Crockett's neuropsychological testing showed that Mr. Campbell's intellectual function was essentially intact. (Dr. Crockett was called by the defendant and I will refer to his evidence later in these reasons.) He acknowledged that patients with chronic headaches have many of the post concussive syndrome attributes such as poor concentration, fatigue, depression, sleep deprivation or dizziness.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Dr. Berzen also acknowledged that triacylic antidepressants cloud cognitive function and he may not have been aware of the recent studies regarding Zoloft-Doxepin interaction referred to by Dr. Rees and Dr. Hollander in their direct evidence. He acknowledged that three tablets of Doxepin could cause slurred speech, dizziness, fainting and blurred vision.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Dr. Berzen also indicated that benign positional vertigo could be managed with postural exercises.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Dr. Berzen was of the opinion that the most significant feature for his opinion was the worsening symptom onset suffered by Mr. Campbell. He took it from Mr. Campbell's self-assessment that Mr. Campbell was improving prior to the pool accident. This was important to Dr. Berzen because otherwise any post pool accident depression could simply be a continuation of the earlier depression. He agreed that Dr. Kastrukoff's report of Mr. Campbell's subjective improvement coincided with the increase of the dosage of Zoloft taken by Mr. Campbell prior to the pool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Dr. Berzen agreed that it is generally accepted that depression can be induced or triggered by traumatic events. He agreed that a deterioration of cognitive test results from traumatically induced brain injuries is not normally expected after a month or two. Dr. Berzen agreed that by March 1995, Mr. Campbell was facing a moderate deterioration of mood notwithstanding that he was on 150 milligrams of Zoloft, which Dr. Claman upped to 300 milligrams and 50-75 milligrams of Doxepin as needed.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Dr. Berzen agreed that a change in Mr. Campbell's behaviour lead to his diagnosis. Dr. Berzen agreed that if Mr. Campbell previously assaulted people, the fact that he was subsequently assaulting people would be of less diagnostic significance. Dr. Berzen said that he saw no spontaneous rage himself and found Mr. Campbell always to be rational and reasonable. He said that if the evidence was that Mr. Campbell was described as frequently upset, someone who threatened to kill his wife and small children and described himself as not a nice guy, Dr. Berzen said that Mr. Campbell's subsequent conduct would be an improvement rather than demonstrating a frontal lobe injury. He said that if Mr. Campbell had been described by his daughter as a person who frequently got upset about small things, threw things, raged, frightened small children, threatened to kill his wife, he would be "less likely to see what's being reported as evidence of a frontal lobe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He acknowledged that Dr. Claman anticipated that as of March 1995 Mr. Campbell's depression might break through in the future. His conclusion that there is clear evidence of Mr. Campbell's functioning dropping off even more significantly following the pool accident than the motor vehicle accident was based on the history given to him by Mr. Campbell. Dr. Berzen acknowledged that you have to view self-reporting with a great deal of caution. He also agreed that depression can itself effect cognitive functioning. Dr. Berzen agreed that chronic pain can take a significant toll.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Elizabeth Porteous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Ms. Elizabeth Porteous, a speech-language pathologist, saw Mr. Campbell, at Dr. Berzen's suggestion, for six one-hour occasions between April and June 1997. She indicated in her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Mild to moderately impaired word retrieval and significantly reduced verbal fluency on more open-ended tasks. Significantly reduced ability to express himself in a concise and specific manner.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She described his cognitive-language deficits as including several things, such as: a reduced ability to integrate complex verbal information, reduced reading comprehension for complex material, deficits in naming ability, retrieval deficits on divergent naming tasks, and reduced verbal memory.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Dr. Peter Rees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The defendants called Dr. Peter Rees, a practising neurologist. He prepared a report dated October 6, 1999. Dr. Rees was of the opinion that Mr. Campbell did not suffer a brain injury in the pool accident nor did he suffer frontal lobe disinhibition, which he thought comes from more severe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Dr. Rees did not meet or examine Mr. Campbell, but based his conclusion on the documents referred to in Dr. Hollander's September 5, 1999, report and Dr. Kastrukoff's further report of October 4, 1999. His view was that the MRI abnormalities, assuming it was indeed an abnormal MRI result, were non-specific and consistent either with the previous traumatic injury (timing unknown) or a degenerative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Dr. Rees said that if there was head injury in the pool accident in 1994 it did not render Mr. Campbell unconscious nor did it fulfill what he said was the objective diagnosis for brain injury, the sine qua non of concussional brain injury being amnesia. On cross-examination he was asked about the definition of mild traumatic brain injury and he said that he did not subscribe to the need for unconsciousness. He said, however, that it was a very small minority of neurologists who said that amnesia was not a necessary requirement for the diagnosis of a brain injury. He agreed that the period of amnesia could be very short. However, in connection with the pool accident, he said that there was no amnesia and Mr. Campbell remembered the impact, a circumstance he said that would reduce the likelihood of brain injury. He thought that Mr. Campbell's behaviour immediately afterwards was not that of a brain-injured individual. Dr. Rees also indicated that the passing out after a delay as reported by Mr. Campbell, if it occurred, did not indicate concussional loss of consciousness, but was more in keeping with an emotional faint from anger.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Dr. Rees also indicated that full retention of awareness and mental clarity is not generally seen with a deceleration type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Dr. Rees took serious issue with the conclusion of Dr. Kastrukoff that the abnormal neurological examination over a year after the pool accident could support the conclusion that Mr. Campbell had a brain injury in the pool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He also said that it was well recognized that mild jolting could generate inner ear benign positional vertigo. Dr. Rees indicated that it was a treatable condition with head realignment exercises to reposition the disturbed particles. He said that the objective Dix-Hallpike result is signified by positional nystagmus, a type of involuntary eye movement which was not reported by Mr. Campbell's examiners. Dr. Rees also indicated that the plaintiff was not tested for this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Dr. Rees indicated that the psychiatrists, Dr. Berzen, Dr. Claman and Dr. Hollander, all agreed that the plaintiff suffered a major depressive episode before the pool accident and that Dr. Crockett, who did neuropsychological testing that he felt established that Mr. Campbell had essentially intact cognitive skills, proposed a diagnosis of somatization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Dr. Rees also indicated that the conditions relied on by some doctors called by the plaintiff to indicate a brain injury in October 1994 showed the same symptoms earlier and before the accident. He opined that the swimming pool incident was relatively banal and it was unclear to him why Dr. Kastrukoff would choose the pool incident in preference to other traumatic incidents, for example the motor vehicle accident in 1992, as generating the MRI abnormalities.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Dr. Rees was of the opinion that if Mr. Campbell was unable to work it was because of the cumulative stress and depression occurring as a result of events compounding brain injury in 1992 or before. He found no evidence of neurological injury sustained in 1994.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Dr. Rees testified that a definition of mild traumatic brain injury which proposes dazing or disorientation is not currently accepted in the neurological community. He contrasted the dazing or disorientation which results from shock of an accident with the type of altered consciousness one sees in a concussed hockey player.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Dr. Rees was of the view that the most reliable indicator of brain injury was amnesia in combination with altered consciousness or unconsciousness. He said that the majority of neurologists feel that amnesia is probably the single most important criteria where consciousness is not lost. Dr. Rees did not accept the American Congress of Rehabilitation Medicine 1993 definition that amnesia or altered state of consciousness was not necessary but mere dazing was sufficient; he said that the beliefs of that group were not recognized in the neurological community. He thought that situations where someone can walk away and produce complex behaviour in a rational and sensible way after being struck, as Mr. Campbell did after the pool accident, would not indicate a brain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Dr. Rees also opined that it would be very rare for mild brain injuries to produce permanent disabilities. Dr. Rees distinguished between the impulsive stealing of shoplifters as distinguished from frontal lobe syndrome involving an inability to put on the brakes on one's behaviour. He also testified that people who have post-traumatic headaches for five years do not lose them. He was of the opinion that the pool accident could not convert what was already a long-term problem into a longer term problem. He felt that the changes in Mr. Campbell's neurological examination a year later were on the wrong side to relate to the frontal lobe injury identified in the MRI. Dr. Rees testified that neuro-psychological tests do not establish causation and the same impaired results can come from depression, stress and a mood disorder, as could come from brain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On cross-examination, it was pointed out that Dr. Rees never saw Mr. Campbell, whereas Dr. Kastrukoff did. Dr. Rees acknowledged that it would have been better had he seen the patient. Dr. Rees relied on and was influenced by the fact that Dr. Hollander concluded there was a major depressive episode in 1992. The fact that the swimming injury occurred at such slow speed also had a major influence on Dr. Rees'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Although Dr. Rees was of the view that dazing does not necessarily mean brain injury, he admitted that there was not necessarily a need for loss of consciousness for a brain injury. He acknowledged that the fact that Mr. Campbell had a conversation is not necessarily indicative of a lack of brain injury, as this could happen even after momentary amnesia.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The plaintiff says that Dr. Rees was unaware that Dr. Kastrukoff found nystagmus in December 1995. Although Dr. Rees suggests that the positive nystagmus could be triggered by Zoloft and Doxepin, Mr. Campbell was not using those medications at that time. He acknowledged that an individual with brain damage to both the left and right sides may have a MRI showing a left side problem only and that brain injuries can be present with normal MRIs. Dr. Rees also agreed that stealing medication, as Mr. Campbell indicated he did, could be an example of disinhibited behaviour.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Dr. Rees acknowledged that some patients may recover from mild traumatic brain injuries and for accumulated brain injuries the recovery might be prolonged. He acknowledged that about 15 per cent of people with mild traumatic brain injuries do not have their symptoms clear up. He also acknowledged under cross-examination that someone suffering from brain injury can suffer emotional problems, persistent cognitive problems, behavioural problems and physical problems but he thought that Mr. Campbell's cognitive difficulties were related to pain, psychiatric circumstances or 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Dr. Wilkinson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The defendants also called Dr. Wilkinson, a neuro-psychologist who received her Ph.D. in Psychology from the University of Victoria. She is a clinical assistant professor in the Department of Psychiatry at UBC and trains psychology interns in clinical neuro-psychology.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Dr. Wilkinson did not see Mr. Campbell but she reviewed the vast majority of medical and clinical records in this case, and she noted: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general practice clinical records, the patient was seen on 3rd October 1994, still taking anti-depressants, an anti-inflammatory, and he was swimming several times a week to improve his exercise tolerance. Depression was improving, but headaches were on going. This was the last contact before the swimming pool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Dr. Wilkinson agreed on cross-examination that at the time of trial, whatever the cause, Mr. Campbell's symptoms were serious and debilitating and he was not highly functioning. Notwithstanding the absence of an interview, she testified that her experience and research could support expert opinion on relevant issues including the severity of his injuries and the neuro-psychological test results.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Dr. Wilkinson noted that her task was to analyse neuropsychological aspects of the history of the case in order to assess which accident might have caused Mr. Campbell's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In her evidence she summarized the results of the neuropsychological testing done by Dr. Crockett. She was of the opinion that the decline of test scores from one assessment to the next did not suggest a particular pattern of brain injury because (had there been brain injury) the first assessment score should have been considerably lower with respect to tests more sensitive to mild brain injury and then show some improvement by the time of the second assessment. She said that with a mild brain injury you would expect some improvement over time. She testified that there were reasons other than brain injury which are more probable for low test scores, including pain, headaches, depression and 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Dr. Wilkinson testified that given the particulars of the pool trauma, it was, in her opinion, highly unlikely to result in a brain injury. She said she found it difficult to conceive, from the research and from the mechanism of the injury, that any degree of brain injury, which would be sufficient to interfere with normal every day functioning, could have occurred. Dr. Wilkinson based this on her neuropsychology research, her experience in assessing brain injuries and information about the recovery from brain injury over the entire spectrum from severe to mild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In terms of diffuse axonal injuries she noted this type of injury is present more frequently in motor vehicle accidents than in falls. Her conclusion was that diffuse axonal injury must not result from minor impact to the head otherwise people would have diffuse axonal injury all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She referred to a study where persons without previous brain injury or depression were expected to recover from identified mild brain injuries within three months and referred to an Australian study where patients with clear mild brain injury (post-traumatic amnesia between 1 and 24 hours) took double the time to recover.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Dr. Wilkinson discussed Ms. Porteous' assessment of Mr. Campbell and noted that she is not trained to assess language changes that occur in mood disorders and said the test results of Mr. Campbell's intellectual performance were inconsistent with an organic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Dr. Wilkinson said that dizziness was not a new symptom following the pool accident because diary references refer to pre-existing dizziness and "room swirling". Dr. Wilkinson said that Mr. Campbell's cognitive problems were difficulty reading and writing and that these were consistent with the effect of anti-depressants as well as depression and that pain can have an almost 50 per cent effect on neurological scores. In terms of Dr. Crockett's second report, she said the results were inconsistent with a "solely neurogenic account of his difficulties." She indicated that vertigo is not necessarily evidence of brain trauma as it may have many causes including medication or damage to the inner ear as opposed to brain injury. She indicated that mild brain injuries typically heal (it might take six months) but in her opinion the research suggests that if there are persistent problems after sub-concussive injuries, they are likely related to other factors. She agreed that at the upper end of the mild brain injury range it is possible to have permanent problems but they are typically subtle.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Dr. Wilkinson did not agree that Dr. Berzen (who did not think this was somatization) would be in a better position to assess the issue of somatization. Whether dazing was sufficient for brain injury, as proposed by the Association of Rehabilitation Physicians, she noted it was controversial and not included in the conventional criteria because of the difficulty distinguishing between psychological and physical shock. She thought that it was an inadequate criterion for determining whether there was a brain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It should be noted that Dr. Wilkinson is a neuro-psychologist, not a neurologist or psychiatrist and her experience in neurology with brain injury is limited to her input to an unpublished paper. It was pointed out on cross-examination that this is the first time that she assessed a patient without seeing the patient. It was important to Dr. Wilkinson that Mr. Campbell was involved in tae kwon do but she was not aware that he wore head protection or had ever suffered a head blow. The plaintiff submits that her belief (at page 11 of her report) that Mr. Campbell was disabled by chronic headaches since 1989 was inaccurate. Dr. Wilkinson agreed that she is not qualified to comment on a neurologist's report or that of a general practitioner.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Her opinion, the plaintiff argues, as a neuro-psychologist must be given limited weight, given that she did not see the patient, which is unusual. The plaintiff argues that in substance all she is really doing is repeating Dr. Crockett's opinion. The plaintiff argues that many of her observations fall outside her expertise, such as whether a person who falls from a small height is likely to suffer a brain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The plaintiff points out that Dr. Wilkinson acknowledged that it is not without debate in the medical community whether a loss of consciousness is required and that there is a specific group headed by a neuro-psychologist that indicates that brain injury does not necessarily require a loss of consciousness or amnesia, even for mild traumatic brain injuries. Dr. Wilkinson acknowledged that you do not need a loss of consciousness for a concussion and that some say you do not need amnesia. Her view was that most mild brain injuries clear up in three months, although she admitted that for 15 per cent of the population it could take years, if not a lifetime for the problems to resolve. Part of the problem in her report, the plaintiff points out, is her observation that Mr. Campbell may have lacked effort in the testing, which is a difficult area. The fact that she is asked to comment on the test results was subject to the strong qualification that she did not see the patient.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Dr. Wilkinson acknowledged that if there was a brain injury as a result of the pool accident, there was a high probability that Mr. Campbell would not recover. She also agreed that there were no negative neurological assessments after the Hong Kong accident, but there were abnormalities for the first time after the pool accident. She also acknowledged that if Mr. Campbell's depression was being treated successfully and he still had cognitive problems, that one possibility could be a brain injury. She also acknowledged that depression could exacerbate symptoms which in and of themselves result from brain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Dr. Yitzchak Hollander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Dr. Yitzchak Hollander was called as an expert witness for the defendants. He has been a general psychiatrist since 1994. He sees an average of one brain-injured patient each month.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Dr. Hollander interviewed Mr. Campbell for three hours on September 2, 1999, and reviewed the relevant documentation, which is set out on the first four pages of his letter.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Based on the history and Mr. Campbell's narrative, Dr. Hollander testified that he was unable to find any characteristics that would support a brain injury from the pool incident. It was his opinion that there was nothing in Mr. Campbell's behaviour after the pool accident that was not explained by chronic pain, depression or 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He concluded that when he interviewed him, Mr. Campbell might have been attempting to demonstrate symptoms in the formal interview. Dr. Hollander said that what occurred at the end of the interview was beyond lightening up and there were changes in speech, memory and concentration that went beyond relaxing.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Dr. Hollander characterized Dr. Birnbaum's findings as minimal redness and swelling and no associated neurological findings that would suggest inter-cranial bleeding or neurological deficits. He noted that Mr. Hughes also denied seeing any injury. According to Dr. Hollander, there was no loss of consciousness other than that reported in the changing room some time later, which he said was not immediately at the point of impact. He noted that Mr. Campbell was able to keep swimming, converse with the pool attendants and spend time at the whirlpool before going to the changing room.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Dr. Hollander said that there was no evidence of amnesia given that Mr. Campbell recalled brushing his arm on the stairs immediately prior to the impact, swimming after the impact, having a discussion with the pool attendant, finding blood on his head and going to the changing room. In terms of dizziness he testified that these symptoms were pre-existing. He said it was not until January 31, 1996, that Dr. Kastrukoff stated there was evidence of vertigo and referred him to Dr. Longridge. Dr. Hollander indicated that there are many explanations for vertigo and that the explanation was not limited to brain injury. In Dr. Hollander's opinion, head injury and associated vertigo is usually immediate and severe and would be expected to be reported to the treating doctor. In his opinion it was relevant that this was not immediately reported.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Dr. Hollander noted that repeated questioning can destroy evidence. He also noted that symptoms of cognitive dysfunction, faulty concentration, memory, reading, word finding and impaired higher executive function are as consistent with a significant depressed episode as they are with a head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Dr. Hollander concluded that Dr. Crockett's findings indicate there is a great probability that the deficits are part of a depressive picture rather than due to a direct organic basis arising out of a head injury. He noted many of the scores were low were due to slowness or psychomotor retardation which is part of depression, and the scores were brought down on timed rather than open-ended subsets. Dr. Hollander indicated that impulse control associated with head injuries is usually associated with "global discontrol of impulses" where a person may have difficulty with anger control, other emotions or sexual inhibition. Dr. Hollander said that such presentations are often continuous rather than episodic and it is often evident, immediately or in a few minutes with a person, that this phenomenon is affecting his mental state. Dr. Hollander indicated that Mr. Campbell's impulse control problems were limited to rage attacks or anger control. He indicated that Mr. Campbell had anger control problems prior to 1992 and 1994, and Dr. Berzen had seen him every four to six weeks since 1996 and Mr. Campbell's conduct had been appropriate. Dr. Hollander pointed out that Dr. Birnbaum in November 1995 indicated that "the major depression could be the cause of his rage attacks."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Dr. Hollander testified that symptoms typically will be more severe after the time of injury with gradual and progressive improvement. In Mr. Campbell's case, the rage episode occurred in December 1995 and the dizziness and vertigo appeared to worsen toward 1996. Dr. Hollander said that the exacerbation of his symptoms appeared to relate more to the presence of external stress factors in his life and/or medication discontinuance rather than a pattern of gradual improvement post-injury.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Dr. Hollander also noted that nausea, while associated with head injury, was consistent with migraine headaches and pre-existed the pool incident, and that chronic pain, lack of motivation, fatigue, personality change or depressive syndromes are all equally consistent with a depressive episode as with a head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Dr. Hollander indicated that it is unclear whether the genesis of Mr. Campbell's depressive syndrome was the 1992 accident or the subsequent Wellfund litigation, unemployment, financial challenges, unplanned pregnancy, litigation in 1995, current family conflict, or ongoing pain from migraines. These things he said can perpetuate a depressive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He also noted that Zoloft was being increased prior to the pool incident, which he thought suggested that depression was not in remission nor were his headache difficulties lessening. He did not think that Mr. Campbell's assessment that he was improving before the pool accident was accurate.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Dr. Hollander noted that there is generally an interaction between depressive illness and chronic pain and they can mutually exacerbate each 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Dr. Hollander's view as stated in his September 5, 1999 report was that Mr. Campbell's symptomology was the result of clinical depression and/or an opiate or substance-related disorder. Although he was strenuously cross-examined on this point, Dr. Hollander maintained that the multiplicity of medication could contribute to his cognitive difficulties.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On cross-examination Dr. Hollander acknowledged that he saw only a couple of head injury patients in his practice, interviewed Mr. Campbell only on one occasion and agreed that a physician such as Dr. Kastrukoff, seeing Mr. Campbell on numerous occasions, is in an advantageous and unique position as he can form a base line to assess the patient. He stated that access to records is a pivotal part of reaching a psychiatric diagnosis.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The plaintiff's counsel says that Dr. Hollander was not in possession of numerous records including Dr. Kastrukoff's March 27, 1996, letter to Dr. Birnbaum, the clinical records of Mr. Campbell's neuropsychiatrist, Dr. Berzen, the expert report of the vocational and rehabilitation consultant that indicated that on the Beck Depression Inventory, Mr. Campbell had a score of 5 indicating he was not significantly depressed, or Dr. Berzen's report of October 26 that showed he had a Beck Depression Inventory scale score of 2 placing him in the non-depressed range.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The plaintiff points out that Dr. Hollander agreed in cross-examination that absent drug side effects, depression and head trauma can have similar symptomology and a differential treatment between the two could occur if depression was medically treated and removed from the equation. The plaintiff's counsel argues that Dr. Hollander did not have access to Dr. Berzen's monthly clinical report and fails to come to grips with Dr. Berzen's opinion that depression was in remission.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The key letter of Dr. Kastrukoff to Dr. Berzen on March 27, 1996, which Dr. Hollander did not see, indicated the opinion that "the MRI scan however is abnormal in that there are fairly defuse areas of decreased signal intensity within the deep white matter of the left frontal lobe." While Dr. Hollander was aware of the MRI, he was not aware of Dr. Kastrukoff's interpretation and the plaintiff's counsel says that Dr. Hollander's opinion is weakened by the fact that he gave no significance to the MRI finding, contrary to Dr. Kastrukoff, nor any consideration to the abnormal and asymmetrical neurological findings found by Dr. Kastrukoff in December 1995.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Dr. Hollander agreed that Dr. Berzen's report of October 26, 1999, that the Beck Depressive Inventory revealed a score of 2, was contradictory to his diagnosis.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Dr. Hollander admitted in cross-examination that a mild traumatic brain injury did not require a loss of consciousness but merely a change in consciousness. Although he acknowledged that the symptomology might be partly due to the side effects from his medication, he agreed that the medication taken by Mr. Campbell was entirely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Dr. Hollander noted that the combination of an SSRI anti-depressant Zoloft with a tricyclic-class antidepressant Doxepin may have had deleterious side effects in October 1994 but he noted that the Doxepin dose was low, and that the combination of an SSRI with a tricyclic is a perfectly acceptable drug regimen. Dr. Hollander made no mention of the fact that Dr. Gimbarzevsky was making investigations in evaluating the level of tricyclic in Mr. Campbell's blood.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The plaintiff's position is that the opinion of Mr. Campbell's own physicians, that of Dr. Gimbarzevsky and Dr. Berzen, should be preferred to those of Dr. Hollander on the issue of drug side effects because they were administering the drugs and in a position to observe changes. It is also noted that the cognitive difficulty complaints have remained relatively constant since the pool accident in spite of the fact that Mr. Campbell has been on numerous different drug regimens and has been free from all medications for a period of time except for Tylenol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Dr. D.J. Crockett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Dr. Crockett is a neuropsychologist, and presently Professor Emeritus of the Department of Psychiatry, U.B.C. He has a Ph.D in psychology from the University of Victoria in 1972 and has taught for 25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Dr. Crockett administered or participated in the administration of a battery of neuropsychological tests. Mr. Campbell was referred by Dr. Claman, a psychiatrist who had been treating Mr. Campbell since November 1993. Dr. Claman referred Mr. Campbell to Dr. Crockett for an assessment of his neuropsychological status to differentiate major depressive disorder from possible post concussive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Dr. Crockett oversaw the tests on January 26, 1995, and August 20, 1996. Dr. Crockett in his final report said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patient is currently functioning within the High Average range of cognitive efficiency.... Comparing his performance on these tests of cognitive efficiency, I noted a pattern of increases and decreases. His psychomotor skills appear to be intact and fail to reveal any signs of either focal or lateralized difficulties.... In contrast to his intact verbal skills in informal conversation and interview, his ability to produce units of expression in a timed fashion has undergone a marked change (i.e. from the 25th to the 5th percentile rank). Attendant with this shift is his demonstration of significant difficulties with respect to supplying verbal labels and developing concise descriptions of graphic representations.... He shows a variable pattern of performance on our measures of efficiency of problem solving. His performance has deteriorated on one test of problem solving ability that we readministered, but was at an intact level on an equally challenging measure of categorization. Since both tests are felt to measure similar areas, these results were interpreted as being inconsistent with a solely neurogenic account of his difficulties. His ability to engage in new verbal learning remains relatively constant if somewhat lower than one might expect on the basis of his college level of educational achievement. In contrast, his ability to engage in immediate or delayed recall of this information has shown a dramatic decline as has his ability to engage in recognition memory. This would be a very ominous sign in that recognition memory tends to be very sensitive to any changes. In this context, his improved level of functioning on our measure of auditory memory in the face of distraction and his retained ability to engage in cued recall would be inconsistent with solely an organic basis for these changes in his performance levels. His scores for non-verbal memory for complex information have shown a catastrophic change. In fact, the magnitude of the shift in his non-verbal memory for complex information is clearly inconsistent with his preserved and slightly improved ability to engage in non-verbal recollection of simpler information. He shows a substantial increase in his word knowledge and, at the same time, a substantial decrease in his ability to use this knowledge for the purpose of deriving meaning from written work. On measures of non-verbal processing, he fails to benefit from incidental learning, suggesting a level of internal distraction. He reports significantly less depression on the Beck Depression Inventory and fewer cognitive failures as measured by the Affective Rating Scale. His responses to the Personality Assessment Inventory emphasized the somatization nature of his complaint.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The first report of January 26, 1995, was prepared by Ann Pirolli, a student supervised by Dr. Crockett, but the testing was done by Magdelena Martinjak, an experienced psychometric tester, who testified. The written form was reviewed by Dr. Crockett who also reviewed the test results before testifying. The plaintiff objected to the admissibility of the first test results. I think that the fact that some of the tests were administered by others and that the results were reviewed by Dr. Crockett should affect the weight that I apply to the results but not the admissibility of his evidence in this respect.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In connection with the final test, Dr. Crockett noted that expressive language used in the word fluency test previously fell in the lower portion of average and now is significantly reduced. In both reports Mr. Campbell's IQ fell in the intact level.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The plaintiff's counsel argues that a careful reading of the evidence of Dr. Crockett suggests that Mr. Campbell was suffering cognitive difficulties at the time of the testing after the date of the pool accident. All reports he said, show significant deficiencies for Mr. Campbell. In some of the tests he was highly impaired. The plaintiff's counsel argues that Dr. Crockett's evidence at best was that Mr. Campbell's problem might be, not is, related to non-neurogenic factors.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Dr. Crockett interpreted some of the negative scores in the context of incomplete effort. Dr. Crockett was cross-examined extensively by Mr. Delaney on the various tests that were undertaken and whether they might indicate brain damage and the extent to which they were influenced by the assessment of the testers that Mr. Campbell was non-compliant. Mr. Delaney argued that while lack of effort was set out as part of the reason for the difficulties in scores, mental slowing, lack of mental efficiency, fatigue, irritability and anxiety are also common results from a brain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Dr. Crockett administered the Beck depression test in 1996 and found Mr. Campbell not in the depressed range.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Mr. Delaney argued that sigificant problems identified by Dr. Crockett are consistent with the new issues that arose with Mr. Campbell following the pool accident. Dr. Crockett agreed that some of the tests run in 1995 and in 1996 had evidence of cognitive deficiencies. He agreed that problems with memory can result from an injury that is not significant but is nonetheless a brain injury and that some patients with mild traumatic brain injury do not fully recover.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Mr. Delaney pointed out that Mr. Campbell did not get a full battery of tests but received only the subsets that Dr. Crockett found appropriate. He argued that some of the tests, although in the average range, were equally consistent with someone who had been operating at a higher level but suffered a brain injury, and that one report showed neuropsychological dysfunction. Mr. Delaney argued that given the caveats with Dr. Crockett's report (the testing being done by others) the minimal signs could be interpreted as major deficiencies.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Mr. Delaney argued that standing alone the August 20, 1996, test shows significant problems in some areas for Mr. Campbell. He noted that on the WAIS-R test there was a distinct difference between his verbal comprehension and his non-verbal comprehension, and in the word fluency test his rank was highly impaired. His rankings on a verbal labelling test led Dr. Crockett to find that he had a significant level of difficulty on timed and objective tests for verbal functioning. Mr. Delaney said that his ability to engage in verbal learning was inconsistent with his college level of education and could be a cognitive difficulty. Mr. Delaney argued that Dr. Crockett is not excluding neurological factors in his assessment and he said that the best that Dr. Crockett really can say is that Mr. Campbell's performance might be related to non-neurogenic factors. The mere fact of difficulties on the tests, he argued, is evidence of cognitive difficulties from the pool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Mr. Delaney argued that neurological tests have weaknesses and the court should look for evidence less dependent on test results. I agree. Dr. Wilkinson agreed that neuropsychological tests are not completely diagnostic. He pointed out that Dr. Crockett agreed that the tests are much open to interpretation and Dr. Wilkinson agreed that the observation of the neuropsychologist is important. Mr. Delaney pointed out that Dr. Crockett agreed that someone with mild traumatic brain injury could suffer from dizziness, vertigo, nausea, concentration problems and memory problems, all of which he says were suffered by Mr. Campbell.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It is obvious from Dr. Crockett's cross-examination that neuropsychological testing is complex, subject to interpretation by a neuropsychologist and an imperfect diagnostic tool. However, although Dr. Crockett's evidence was seriously attacked, he appeared to be independent and objective and notwithstanding the attack by Mr. Delaney his evidence, it is I think, still entitled to some weight even if the initial tests were delivered and interpreted by other technicians.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Dr. Gabriel Hirsch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Dr. Hirsch works at GF Strong. He is a specialist in physical and rehab medicine. Mr. Campbell was referred to GF Strong by Dr. Berzen. Dr. Hirsch met with Mr. Campbell on October 6, 1997. Dr. Hirsch gave him a physical examination, including a neurological examination, which was apparently unremarkable. However, he conducted no reflex tests, nor did he conduct a Dix-Hallpike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Dr. Trevor Hurwitz</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Dr. Hurwitz is at the Department of Psychiatry at UBC. He first saw Mr. Campbell for a joint assessment with Dr. Berzen. The assessment was done on April 16, 1996. The neurological examination was normal with the exception of the Dix-Hallpike Manoeuvre. He indicated that there were lots of causes of dizziness and he referred Mr. Campbell to the clinic at VGH to address that. The abnormal result could be caused by a blow to the head. He agreed that a normal neurological exam does not preclude an injury to the frontal lobes.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Did the Plaintiff Suffer an Injury in the Pool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xml:space="preserve">  There is no dispute that Athey v. Leonati, </w:t>
      </w:r>
      <w:hyperlink r:id="rId65"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(S.C.C.) is the governing authority. That case provided at page 473: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"crumbling skull" doctrine is an awkward label for a fairly simple idea. It is named after the well-known "thin skull" rule, which makes the tortfeasor liable for the plaintiff's injuries even if the injuries are unexpectedly severe owing to a pre-existing condition. The tortfeasor must take his or her victim as the tortfeasor finds the victim, and is therefore liable even though the plaintiff's losses are more dramatic than they would be for the average person.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so-called "crumbling skull" rule simply recognizes that the pre-existing condition was inherent in the plaintiff's "original position". The defendant need not put the plaintiff in a position </w:t>
      </w:r>
      <w:r>
        <w:rPr>
          <w:rFonts w:ascii="arial" w:eastAsia="arial" w:hAnsi="arial" w:cs="arial"/>
          <w:color w:val="000000"/>
          <w:sz w:val="20"/>
          <w:u w:val="single"/>
          <w:lang w:val="en-US" w:eastAsia="en-US" w:bidi="ar-SA"/>
        </w:rPr>
        <w:t>better</w:t>
      </w:r>
      <w:r>
        <w:rPr>
          <w:rFonts w:ascii="arial" w:eastAsia="arial" w:hAnsi="arial" w:cs="arial"/>
          <w:color w:val="000000"/>
          <w:sz w:val="20"/>
          <w:lang w:val="en-US" w:eastAsia="en-US" w:bidi="ar-SA"/>
        </w:rPr>
        <w:t xml:space="preserve"> than his or her original position. The defendant is liable for the injuries caused, even if they are extreme, but need not compensate the plaintiff for any debilitating effects of the pre-existing condition which the plaintiff would have experienced anyway. The defendant is liable for the additional damage but not the pre-existing damage .... Likewise, if there is a measurable risk that the pre-existing condition would have detrimentally affected the plaintiff in the future, regardless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then this can be taken into account in reducing the overall award.... This is consistent with the general rule the plaintiff must be returned to the position he would have been in, with all of its attendant risks and shortcomings, and not in a better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in original]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The question, therefore, is whether the plaintiff has proven on a balance of probabilities that he is worse off because of the pool accident than he would have been had the pool accident not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Has the plaintiff demonstrated on a balance of probabilities that he suffered an injury in the pool accident? Has the plaintiff demonstrated that his condition is poorer than it would have been had the pool accident not occurred? Did Mr. Campbell suffer a brain injury in the pool accident? These I think are some ways of stating the issue. I have concluded that these questions must be answered in the negative.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Before I turn to a consideration of the expert evidence, I think that it is unlikely that any injury that was other than a trifling injury occurred in the pool accident. I base that on my conclusion that the contact that Mr. Campbell made with the ladder was quite light. I find as a fact that Mr. Campbell was a slow swimmer considering Mr. Hughes' description of his speed, which I accept, the manner in which Mr. Campbell swam and the fact that his physical and psychological problems at the time would likely restrict his ability to swim at other that a modest pace. I also think that the contact that Mr. Campbell made with the ladder was relatively commonplace and would be very surprising to result in the problems that Mr. Campbell describes, even given his pre-existing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I also find a consideration of all the expert evidence, which I have set out, suggests that Mr. Campbell was not injured in the pool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Mr. Campbell's counsel argues that his pre-existing problems made him more susceptible to injury and that his symptoms are worse or exaggerated by the injury that he suffered in the pool.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I find that the symptoms of which Mr. Campbell complains were all present prior to the pool accident. Prior to the pool incident he suffered from headaches, depression, chronic pain, dizziness, and nausea. Mr. Campbell says that they are greater in degree and more significant. I am not satisfied on a balance of probabilities that such a characterization is accurate. I find that Mr. Campbell looked for an explanation for his continuing difficulties and found an explanation in the pool accident. However, I find that the headaches and depression were very serious prior to the pool accident. Mr. Campbell's feeling that he was improving was inaccurate and likely was the result of an increased dosage of Zoloft that he was taking shortly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However, Mr. Campbell may to be deteriorating rather than improving. Why is that? I find there are a number of explanations that I think are substantially more probable than the effect of the pool accident. They include a progression of symptoms from his car accident, the impact of depression, the effect of the medication he was taking, or the power of suggestion influencing Mr. Campbell. I find that on the evidence it is unlikely that he suffered a brain injury in the pool. There are other much more likely causes of his continuing problem. They include headaches, which were a chronic problem before, depression, the effect of chronic pain or a combination of these things exacerbated by the stresses of life that were significant and continue to be significant in the years following the pool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238</w:t>
      </w:r>
      <w:r>
        <w:rPr>
          <w:rFonts w:ascii="arial" w:eastAsia="arial" w:hAnsi="arial" w:cs="arial"/>
          <w:color w:val="000000"/>
          <w:sz w:val="20"/>
          <w:lang w:val="en-US" w:eastAsia="en-US" w:bidi="ar-SA"/>
        </w:rPr>
        <w:t>  The question, according to the experts, seems to be whether the plaintiff suffered a mild traumatic brain injury of some sort in the pool. There was serious dispute among the experts about the accepted criteria upon which to make such a diagnosis. On a consideration of all of the expert evidence I am simply not persuaded on a balance of probabilities that the plaintiff incurred a brain injury. I find the sum of the plaintiff's expert evidence to be that it is a possibility that the plaintiff suffered a brain injury in the pool. Although the criteria for the diagnosis of a mild traumatic brain injury is to some degree developing and perhaps changing, the weight of the expert evidence is to the effect that indicia that are strong indicators of a brain injury and required by most experts were absent. All the experts who testified on this point indicated that loss of consciousness was at least a strong indicator of brain injury, but the evidence does not indicate that this occurred here. Some experts suggest that dazing is all that is required, but I do not find that in the evidence. Some experts, such as Dr. Rees, felt that post-traumatic amnesia was the sine que non for a brain injury. It was also described by Dr. Gimbarzevsky in his first medical report that post traumatic amnesia was an essential criterion. The weight of the expert evidence I think indicates that a period, even a brief period of amnesia, is at least required, but that was clearly absent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239</w:t>
      </w:r>
      <w:r>
        <w:rPr>
          <w:rFonts w:ascii="arial" w:eastAsia="arial" w:hAnsi="arial" w:cs="arial"/>
          <w:color w:val="000000"/>
          <w:sz w:val="20"/>
          <w:lang w:val="en-US" w:eastAsia="en-US" w:bidi="ar-SA"/>
        </w:rPr>
        <w:t>  I am unable to conclude that the plaintiff suffered any period that can be described as unconsciousness or altered brain state. The evidence does not disclose any amnesia from the pool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240</w:t>
      </w:r>
      <w:r>
        <w:rPr>
          <w:rFonts w:ascii="arial" w:eastAsia="arial" w:hAnsi="arial" w:cs="arial"/>
          <w:color w:val="000000"/>
          <w:sz w:val="20"/>
          <w:lang w:val="en-US" w:eastAsia="en-US" w:bidi="ar-SA"/>
        </w:rPr>
        <w:t>  I understood Dr. Kastrukoff to hold the view that it was helpful if there was amnesia, but is not necessary for a diagnosis of brain injury. In support of his proposition that loss of consciousness is not necessary, he referred to a study in which patients had no loss of consciousness yet positive MRI or CT scan results, but he acknowledged that the mechanism of the injury was not identified in the study. Dr. Kastrukoff indicated in cross-examination that the current definition of a mild traumatic brain injury was encapsulated in an article written by Dr. Michael Alexander in the 1995 edition of Neurology. That definition indicated that mild traumatic brain injury was characterized by, among other things, a brief duration of unconsciousness, usually seconds to minutes and, in some cases, no loss of consciousness at all but simply a brief period of dazed consciousness. That definition also indicates that whether the patient is unconscious or not, confusion with amnesia is present for less than 24 hours but usually only for a few minutes to a few hours. He said that this was as of 1995.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241</w:t>
      </w:r>
      <w:r>
        <w:rPr>
          <w:rFonts w:ascii="arial" w:eastAsia="arial" w:hAnsi="arial" w:cs="arial"/>
          <w:color w:val="000000"/>
          <w:sz w:val="20"/>
          <w:lang w:val="en-US" w:eastAsia="en-US" w:bidi="ar-SA"/>
        </w:rPr>
        <w:t>  I also think that the definition suggested by Dr. Kastrukoff in his evidence for a mild traumatic brain injury is to some degree problematic when it uses the terms "dazing" or "disorientation". Some of the experts indicated, and I agree, that it is difficult to differentiate between dazing and a shocking experience due to surprise or emotional arousal as opposed to physical contact.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242</w:t>
      </w:r>
      <w:r>
        <w:rPr>
          <w:rFonts w:ascii="arial" w:eastAsia="arial" w:hAnsi="arial" w:cs="arial"/>
          <w:color w:val="000000"/>
          <w:sz w:val="20"/>
          <w:lang w:val="en-US" w:eastAsia="en-US" w:bidi="ar-SA"/>
        </w:rPr>
        <w:t>  I do not think in this case that I have to conclude precisely what are the diagnostic requirements for the finding of a mild traumatic brain injury. They appear to be controversial and unsettled. I conclude on the evidence that if they require a brief period of unconsciousness, that did not occur. If only a very brief period of amnesia is necessary, that was not in existence in this case. Moreover, I did not find that Mr. Campbell was "dazed"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243</w:t>
      </w:r>
      <w:r>
        <w:rPr>
          <w:rFonts w:ascii="arial" w:eastAsia="arial" w:hAnsi="arial" w:cs="arial"/>
          <w:color w:val="000000"/>
          <w:sz w:val="20"/>
          <w:lang w:val="en-US" w:eastAsia="en-US" w:bidi="ar-SA"/>
        </w:rPr>
        <w:t>  I find that to the extent that the plaintiff's expert evidence suggests that amnesia or unconsciousness are both not necessary, just helpful, it was not persuasive. In the case of Dr. Kastrukoff and Dr. Gimbarzevsky, it was in an area in which those experts did not have wide expertise.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244</w:t>
      </w:r>
      <w:r>
        <w:rPr>
          <w:rFonts w:ascii="arial" w:eastAsia="arial" w:hAnsi="arial" w:cs="arial"/>
          <w:color w:val="000000"/>
          <w:sz w:val="20"/>
          <w:lang w:val="en-US" w:eastAsia="en-US" w:bidi="ar-SA"/>
        </w:rPr>
        <w:t>  To a certain degree the plaintiff's expert evidence that the plaintiff suffered a brain injury in the pool was based on Mr. Campbell's self-reports of his changed symptoms following the pool accident. I had described that in my reasons. I think that I have to be careful with his evidence for a number of reasons. The evidence that I have heard, independent of Mr. Campbell's interpretation of symptoms, does not persuade me on a balance of probabilities that his condition is really different than before the pool accident. For example, the evidence of his ability to control his anger is not really different after the pool accident than it was before. The same can be said about his headaches or his depression. I think that the evidence indicates that Mr. Campbell has allowed himself, probably unwittingly, to be influenced by an early conclusion that his condition was worse or by literature describing the symptoms of a head injury and placed the blame for his condition there rather than in other causes such as depression or intractable headaches. I agree with Dr. Hollander that the effect of providing lists of symptoms creates the same problems as asking leading questions. I think that Mr. Campbell looked for reasons to find the pool accident to be the explanation for his continuing problems. I expect that this explains why he later described a period of unconsciousness, or passing out, that was not mentioned initially because he later learned that it was an important indicator of a brain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245</w:t>
      </w:r>
      <w:r>
        <w:rPr>
          <w:rFonts w:ascii="arial" w:eastAsia="arial" w:hAnsi="arial" w:cs="arial"/>
          <w:color w:val="000000"/>
          <w:sz w:val="20"/>
          <w:lang w:val="en-US" w:eastAsia="en-US" w:bidi="ar-SA"/>
        </w:rPr>
        <w:t>  Overall I find the logic of the defendants' experts to be more compelling and less dependent on the subjective reports of Mr Campbell.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246</w:t>
      </w:r>
      <w:r>
        <w:rPr>
          <w:rFonts w:ascii="arial" w:eastAsia="arial" w:hAnsi="arial" w:cs="arial"/>
          <w:color w:val="000000"/>
          <w:sz w:val="20"/>
          <w:lang w:val="en-US" w:eastAsia="en-US" w:bidi="ar-SA"/>
        </w:rPr>
        <w:t>  As I indicated in the body of this judgment, I found that some of the facts relied upon by Dr. Kastrukoff in support of his opinion do not strongly support it. I think that the MRI result, if abnormal, more likely related to the Hong Kong accident. I think that the abnormal neurological test in 1995 is of very limited significance given that it was only mildly abnormal and that another neurological examination was normal after the pool accident. I do not think that his reliance on the plaintiff's description of changing symptoms can be given much weight because I do not think that Mr. Campbell was an accurate reporter on the subtleties of the changes that he may have faced following the accident. I think that the results of the Dix-Hallpike test support the plaintiff's theory, but only to a limited degree, given that the involuntary eye movement was not seen and the results of that test do not necessarily indicate a brain or head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247</w:t>
      </w:r>
      <w:r>
        <w:rPr>
          <w:rFonts w:ascii="arial" w:eastAsia="arial" w:hAnsi="arial" w:cs="arial"/>
          <w:color w:val="000000"/>
          <w:sz w:val="20"/>
          <w:lang w:val="en-US" w:eastAsia="en-US" w:bidi="ar-SA"/>
        </w:rPr>
        <w:t>  I did not find the evidence of Dr. Gimbarzevsky of significant weight in considering whether the plaintiff suffered from a brain injury in the pool accident. I think that his evidence typified the thrust of the plaintiff's case, which was whether it was a possibility that the plaintiff suffered a brain injury in the pool accident. I do not intend to be critical of Dr. Kastrukoff or Dr. Gimbarzevsky in that respect, but that is how I assess the effect of their evidence. Dr. Gimbarzevsky's first report, although supporting an injury in both 1992 and 1994, was focused on an injury from the car accident. The reference to the criteria for a brain injury there suggests a brain injury when there was unconsciousness and amnesia, as there clearly was in the Hong Kong accident. I found that Dr. Gimbarzevsky, in connection with his second reports, in referring to studies where there was a possible brain injury in the absence of unconsciousness or amnesia, was dealing with a matter largely outside his expertise and was attempting to support the conclusion of brain damage from the pool accident as a possible diagnosis.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248</w:t>
      </w:r>
      <w:r>
        <w:rPr>
          <w:rFonts w:ascii="arial" w:eastAsia="arial" w:hAnsi="arial" w:cs="arial"/>
          <w:color w:val="000000"/>
          <w:sz w:val="20"/>
          <w:lang w:val="en-US" w:eastAsia="en-US" w:bidi="ar-SA"/>
        </w:rPr>
        <w:t>  Although the evidence of Dr. Berzen, at first blush, supports the plaintiff's case, I find it to be significantly dependent on the reporting of the plaintiff, which he took at face value. I think in treating Mr. Campbell it was appropriate for him to accept Mr. Campbell's description. The changes however were at best subjective. If you take into consideration the fact that Mr. Campbell had significant rage attacks before the pool accident, that there were intractable headaches prior to the pool accident, the feeling of well-being was likely associated with an increased dose of Zoloft before the pool accident, then it appears as though the conditions of which Mr. Campbell complained to Dr. Berzen as changing and getting worse largely pre-dated the pool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249</w:t>
      </w:r>
      <w:r>
        <w:rPr>
          <w:rFonts w:ascii="arial" w:eastAsia="arial" w:hAnsi="arial" w:cs="arial"/>
          <w:color w:val="000000"/>
          <w:sz w:val="20"/>
          <w:lang w:val="en-US" w:eastAsia="en-US" w:bidi="ar-SA"/>
        </w:rPr>
        <w:t>  Is Mr. Campbell really worse off in terms of the symptoms that he displayed? There were anger outbursts before the pool accident and that is acknowledged by Mr. Campbell. There were enormous stresses in Mr. Campbell's life after the pool incident. He was off Zoloft for a period of time when the assault on his daughter occurred. I think that Mr. Campbell's anger management abilities are not really different following the pool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250</w:t>
      </w:r>
      <w:r>
        <w:rPr>
          <w:rFonts w:ascii="arial" w:eastAsia="arial" w:hAnsi="arial" w:cs="arial"/>
          <w:color w:val="000000"/>
          <w:sz w:val="20"/>
          <w:lang w:val="en-US" w:eastAsia="en-US" w:bidi="ar-SA"/>
        </w:rPr>
        <w:t>  I found Dr. Rees to be a reasonable witness. I found his opinion that Mr. Campbell did not suffer a brain injury in the pool to be much more probable. His opinion was more consistent with accepted medical opinion. His opinion concerning the absence of amnesia, Mr. Campbell's retention of awareness and alertness following the accident, and his opinion that the MRI if abnormal was more likely the result of the Hong Kong accident, was persuasive.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251</w:t>
      </w:r>
      <w:r>
        <w:rPr>
          <w:rFonts w:ascii="arial" w:eastAsia="arial" w:hAnsi="arial" w:cs="arial"/>
          <w:color w:val="000000"/>
          <w:sz w:val="20"/>
          <w:lang w:val="en-US" w:eastAsia="en-US" w:bidi="ar-SA"/>
        </w:rPr>
        <w:t>  Dr. Hollander appeared to accept points on cross-examination that did not support his conclusion. He seemed to accept that mild traumatic brain injury could result if you have a change in consciousness rather than a complete loss of consciousness but seemed to indicate that you need some deficit. However, I found his opinion that there was nothing in Mr. Campbell's behaviour following the pool accident that was not explained by chronic pain, depression or medication to be sound. Notwithstanding that some tests following the pool accident showed Mr. Campbell not to be depressed, I found Dr. Hollander's opinion, on balance, provided a far more likely explanation for Mr. Campbell's continuing troubles.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252</w:t>
      </w:r>
      <w:r>
        <w:rPr>
          <w:rFonts w:ascii="arial" w:eastAsia="arial" w:hAnsi="arial" w:cs="arial"/>
          <w:color w:val="000000"/>
          <w:sz w:val="20"/>
          <w:lang w:val="en-US" w:eastAsia="en-US" w:bidi="ar-SA"/>
        </w:rPr>
        <w:t>  I also found Dr. Wilkinson to be a good witness. She responded fairly under cross-examination. Although there were certain qualifications to her opinion, I nevertheless found it to be generally persuasive. I recognize that there are limits to the reliance that can be placed on neuropsychological evidence in determining if there has been a subtle brain injury. I also recognize that she did not see Mr. Campbell and relied largely on Dr. Crockett's results. I have also considered the fact that Dr. Crockett did not personally administer all of the tests that Mr. Campbell took and that is a matter that affects the weight that I can give to his observations. Nevertheless I think that Dr. Crockett was neutral and appeared to have sound expertise in interpreting the test results. I find that there was ample information upon which Dr. Wilkinson formed her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253</w:t>
      </w:r>
      <w:r>
        <w:rPr>
          <w:rFonts w:ascii="arial" w:eastAsia="arial" w:hAnsi="arial" w:cs="arial"/>
          <w:color w:val="000000"/>
          <w:sz w:val="20"/>
          <w:lang w:val="en-US" w:eastAsia="en-US" w:bidi="ar-SA"/>
        </w:rPr>
        <w:t>  Dr. Wilkinson's evidence that the decreasing test scores indicated that there was something other than a mild brain injury at work and the alternate diagnoses that she suggested had merit. This was supported by Dr. Hollander's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254</w:t>
      </w:r>
      <w:r>
        <w:rPr>
          <w:rFonts w:ascii="arial" w:eastAsia="arial" w:hAnsi="arial" w:cs="arial"/>
          <w:color w:val="000000"/>
          <w:sz w:val="20"/>
          <w:lang w:val="en-US" w:eastAsia="en-US" w:bidi="ar-SA"/>
        </w:rPr>
        <w:t>  I also accept Dr. Wilkinson's assessment that the tests of Ms. Porteous represented further deterioration of cognitive functioning than one would expect if you were dealing with an organic brain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255</w:t>
      </w:r>
      <w:r>
        <w:rPr>
          <w:rFonts w:ascii="arial" w:eastAsia="arial" w:hAnsi="arial" w:cs="arial"/>
          <w:color w:val="000000"/>
          <w:sz w:val="20"/>
          <w:lang w:val="en-US" w:eastAsia="en-US" w:bidi="ar-SA"/>
        </w:rPr>
        <w:t>  I have concluded that on a consideration of all of the evidence, the plaintiff has not proven that he was injured in the pool accident when he hit his head on the aluminium stairs while swimming.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256</w:t>
      </w:r>
      <w:r>
        <w:rPr>
          <w:rFonts w:ascii="arial" w:eastAsia="arial" w:hAnsi="arial" w:cs="arial"/>
          <w:color w:val="000000"/>
          <w:sz w:val="20"/>
          <w:lang w:val="en-US" w:eastAsia="en-US" w:bidi="ar-SA"/>
        </w:rPr>
        <w:t>  The plaintiff's claim must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SIGURDSON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44" style="position:absolute;z-index:25186304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6"/>
          <w:headerReference w:type="default" r:id="rId67"/>
          <w:footerReference w:type="even" r:id="rId68"/>
          <w:footerReference w:type="default" r:id="rId69"/>
          <w:headerReference w:type="first" r:id="rId70"/>
          <w:footerReference w:type="first" r:id="rId7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2" w:history="1">
        <w:r>
          <w:rPr>
            <w:rFonts w:ascii="arial" w:eastAsia="arial" w:hAnsi="arial" w:cs="arial"/>
            <w:b/>
            <w:bCs/>
            <w:i/>
            <w:color w:val="0077CC"/>
            <w:kern w:val="32"/>
            <w:sz w:val="28"/>
            <w:szCs w:val="32"/>
            <w:u w:val="single"/>
            <w:shd w:val="clear" w:color="auto" w:fill="FFFFFF"/>
            <w:lang w:val="en-US" w:eastAsia="en-US" w:bidi="ar-SA"/>
          </w:rPr>
          <w:t>Cam v. Hood, [2006] B.C.J. No. 2766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Vernon,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Brooke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27-28, and March 1-3, 6-10,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13-17 and 20-24, 2006 (Kelowna).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23,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Vernon Registry Nos. 26386, 17757 and 16026</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[2006] B.C.J. No. 2766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2006 BCSC 1561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152 A.C.W.S. (3d) 1060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Denise Cam, Plaintiff, and George Hood and Marilynne Ruth Calver, Defendants (Registry No. 26386) And between Denise Christine Cam, Plaintiff, and Alfred Fowler, Defendant (Registry No. 17757) And between Denise Christine Cam, Plaintiff, and Jamie Lee Hague and Gunn Venke Hague, Defendants (Registry No. 16026)</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45" style="position:absolute;z-index:2516623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6" w:name="Keywords_3"/>
      <w:bookmarkEnd w:id="26"/>
      <w:r>
        <w:rPr>
          <w:rFonts w:ascii="arial" w:eastAsia="arial" w:hAnsi="arial" w:cs="arial"/>
          <w:b/>
          <w:color w:val="000000"/>
          <w:sz w:val="20"/>
          <w:lang w:val="en-US" w:eastAsia="en-US" w:bidi="ar-SA"/>
        </w:rPr>
        <w:t>Damages — General damages — For personal injuries — Considerations — Aggravation of pre-existing injury — Extent of incapacity — Pre-existing medical conditions — Cost of future care — Loss of earning capacity — Non-pecuniary damages, including pain and suffering — Action for damages arising from three motor vehicle accidents allowed in part — Plaintiff, now 37, injured neck, back and shoulders and was unable to work as auto mechanic due to injuries — Plaintiff had pre-existing spondylolisthesis that was asymptomatic prior to first accident — Non-pecuniary damages of $75,000 awarded — Plaintiff's ability to play competitive volleyball limited after accidents — Plaintiff's damages for impairment of her earning capacity fixed at $75,000 --Cost of future care assessed at $30,000 for housekeeping services and gym pass.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7" w:name="Case Summary_3"/>
            <w:bookmarkEnd w:id="2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for damages arising from three motor vehicle accidents -- Liability admitted -- Plaintiff, now 37, injured neck, back and shoulders and was unable to work as auto mechanic due to injuries -- Plaintiff diagnosed with chronic pain, stiffness and cervical osteoarthritis -- Prospect for further recovery was limited -- At time of second accident, plaintiff had not fully recovered from first accident -- Effects of second accident persisted after normal recovery period -- Third accident occurred five years later when plaintiff's car was rear-ended on driver's side -- Plaintiff also played competitive volleyball but ability to play was limited after accidents -- Plaintiff worked in family business at time of accidents -- Medical evidence indicated plaintiff had pre-existing spondylolisthesis that was asymptomatic prior to first accident -- Following second accident, plaintiff's recovery was slow and pain symptoms in her neck, left shoulder and low back continued -- Plaintiff suffered herniated disc in third accident -- HELD: Action allowed in part -- Non-pecuniary damages of $75,000 awarded -- Third accident caused herniated disc -- Painful low back resulted from pre-accident spondylosis that became symptomatic after first two accidents -- Constellation of these injuries caused chronic pain -- In awarding non-pecuniary damages, court especially considered plaintiff's limited ability to play volleyball after accident -- As a result of injuries sustained, plaintiff unable to fulfill her reasonable expectations of self-employment or employment in family business -- Plaintiff suffered no proven wage loss -- Plaintiff content with modest income and living at home without paying room and board -- Plaintiff's damages for impairment of her earning capacity fixed at $75,000 --Cost of future care assessed at $30,000 for housekeeping services and gym pass.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8" w:name="Counsel_3"/>
      <w:bookmarkEnd w:id="2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46" style="position:absolute;z-index:2517135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D.J. Daley, R.P. Barton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J.A. Hemmerling, M.P. Geekie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9" w:name="Judgment_3"/>
      <w:bookmarkEnd w:id="29"/>
      <w:r>
        <w:pict>
          <v:line id="_x0000_s1047" style="position:absolute;z-index:251764736"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0" w:name="BROOKE J."/>
            <w:bookmarkEnd w:id="30"/>
            <w:r>
              <w:rPr>
                <w:rFonts w:ascii="arial" w:eastAsia="arial" w:hAnsi="arial" w:cs="arial"/>
                <w:b/>
                <w:color w:val="000000"/>
                <w:sz w:val="30"/>
                <w:lang w:val="en-US" w:eastAsia="en-US" w:bidi="ar-SA"/>
              </w:rPr>
              <w:t>BROOKE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seeks damages arising from three motor vehicle accidents which occurred on March 12, 1994; September 10, 1994; and January 5, 2000. The three actions were ordered to be tried together. Liability has been admitted and it is the task of this court to assess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Position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says that as a result of the injuries she sustained to her neck, shoulder and back in these accidents, she is unable to work as an auto mechanic and auto body repair person or similar physically demanding work. Nor can she play the class of competitive volleyball that she performed prior to these accidents. Moreover, she has been diagnosed with chronic pain and stiffness and cervical osteoarthritis, and her prospect for further recovery is limited. She is now 37 years old. In support of her claim, the plaintiff has offered the evidence of medical doctors and medical caregivers, as well as relatives and friends who knew her before the accidents. Expert evidence has been received with respect to the need for future care and future employment prospects, as well as for the present value of the cost of future care and the loss of future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It is submitted that fair and proper compensation for the injuries and losses she has sustained as a result of these accidents taken globally is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660"/>
        <w:gridCol w:w="1046"/>
        <w:gridCol w:w="1568"/>
        <w:gridCol w:w="355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58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Non-pecuniary Damages</w:t>
            </w:r>
          </w:p>
        </w:tc>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$100,000</w:t>
            </w:r>
          </w:p>
        </w:tc>
        <w:tc>
          <w:tcPr>
            <w:tcW w:w="348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4482"/>
        <w:gridCol w:w="240"/>
        <w:gridCol w:w="521"/>
        <w:gridCol w:w="3545"/>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40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Past Income Loss</w:t>
            </w:r>
          </w:p>
        </w:tc>
        <w:tc>
          <w:tcPr>
            <w:tcW w:w="20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51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$86,000 to $197,000 (rounded)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450"/>
        <w:gridCol w:w="1255"/>
        <w:gridCol w:w="2928"/>
        <w:gridCol w:w="219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37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Future Income Loss</w:t>
            </w:r>
          </w:p>
        </w:tc>
        <w:tc>
          <w:tcPr>
            <w:tcW w:w="122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286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$272,000 (rounded)</w:t>
            </w:r>
          </w:p>
        </w:tc>
        <w:tc>
          <w:tcPr>
            <w:tcW w:w="215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392"/>
        <w:gridCol w:w="313"/>
        <w:gridCol w:w="523"/>
        <w:gridCol w:w="355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30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Cost of Future Care and Loss of</w:t>
            </w:r>
          </w:p>
        </w:tc>
        <w:tc>
          <w:tcPr>
            <w:tcW w:w="307"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30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Housekeeping Capacity</w:t>
            </w:r>
          </w:p>
        </w:tc>
        <w:tc>
          <w:tcPr>
            <w:tcW w:w="30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$117,000 to $174,000 (rounded)</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8"/>
        <w:gridCol w:w="3346"/>
        <w:gridCol w:w="1359"/>
        <w:gridCol w:w="1882"/>
        <w:gridCol w:w="324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Special Damages</w:t>
            </w:r>
          </w:p>
        </w:tc>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$11,365.18</w:t>
            </w:r>
          </w:p>
        </w:tc>
        <w:tc>
          <w:tcPr>
            <w:tcW w:w="317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addition, the plaintiff seeks interest and costs to be spoken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defendants take a different view. First of all, they say that the plaintiff's injuries largely rely upon her self-report and that the plaintiff is neither a credible witness nor a reliable historian. They submit that the plaintiff's low back pain complaints, as well as the condition of spondylolisthesis, predate the first accident and that the plaintiff has not established causation. The defendants rely upon a series of videos received in evidence showing the plaintiff playing volleyball both on the beach and indoors. These videos were taken in August 1994, five months after the first accident in November 1994 and two months after the second accident, and in 2004 and 2005, more than four years after the third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defendants submit that damages should properly be assessed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2195"/>
        <w:gridCol w:w="523"/>
        <w:gridCol w:w="1255"/>
        <w:gridCol w:w="512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15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First Accident</w:t>
            </w:r>
          </w:p>
        </w:tc>
        <w:tc>
          <w:tcPr>
            <w:tcW w:w="51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122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$5,000</w:t>
            </w:r>
          </w:p>
        </w:tc>
        <w:tc>
          <w:tcPr>
            <w:tcW w:w="501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2195"/>
        <w:gridCol w:w="523"/>
        <w:gridCol w:w="732"/>
        <w:gridCol w:w="564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15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Second Accident</w:t>
            </w:r>
          </w:p>
        </w:tc>
        <w:tc>
          <w:tcPr>
            <w:tcW w:w="51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71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$0</w:t>
            </w:r>
          </w:p>
        </w:tc>
        <w:tc>
          <w:tcPr>
            <w:tcW w:w="553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2195"/>
        <w:gridCol w:w="523"/>
        <w:gridCol w:w="1255"/>
        <w:gridCol w:w="512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15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Third Accident</w:t>
            </w:r>
          </w:p>
        </w:tc>
        <w:tc>
          <w:tcPr>
            <w:tcW w:w="51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122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$5,000</w:t>
            </w:r>
          </w:p>
        </w:tc>
        <w:tc>
          <w:tcPr>
            <w:tcW w:w="501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2880"/>
        <w:rPr>
          <w:rFonts w:ascii="arial" w:eastAsia="arial" w:hAnsi="arial" w:cs="arial"/>
          <w:sz w:val="20"/>
          <w:lang w:val="en-US" w:eastAsia="en-US" w:bidi="ar-SA"/>
        </w:rPr>
      </w:pPr>
      <w:r>
        <w:rPr>
          <w:rFonts w:ascii="arial" w:eastAsia="arial" w:hAnsi="arial" w:cs="arial"/>
          <w:color w:val="000000"/>
          <w:sz w:val="20"/>
          <w:lang w:val="en-US" w:eastAsia="en-US" w:bidi="ar-SA"/>
        </w:rPr>
        <w:t>Or</w:t>
      </w:r>
    </w:p>
    <w:p>
      <w:pPr>
        <w:numPr>
          <w:numId w:val="1"/>
        </w:numPr>
        <w:tabs>
          <w:tab w:val="clear" w:pos="1480"/>
          <w:tab w:val="num" w:pos="3280"/>
        </w:tabs>
        <w:spacing w:before="120" w:line="260" w:lineRule="atLeast"/>
        <w:ind w:left="3280"/>
        <w:jc w:val="both"/>
        <w:rPr>
          <w:rFonts w:ascii="arial" w:eastAsia="arial" w:hAnsi="arial" w:cs="arial"/>
          <w:sz w:val="20"/>
          <w:lang w:val="en-US" w:eastAsia="en-US" w:bidi="ar-SA"/>
        </w:rPr>
      </w:pPr>
      <w:r>
        <w:rPr>
          <w:rFonts w:ascii="arial" w:eastAsia="arial" w:hAnsi="arial" w:cs="arial"/>
          <w:color w:val="000000"/>
          <w:sz w:val="20"/>
          <w:lang w:val="en-US" w:eastAsia="en-US" w:bidi="ar-SA"/>
        </w:rPr>
        <w:t>$35,000 to $45,000 (globally) if the court finds that the plaintiff suffers from chronic pain or myofascial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614"/>
        <w:gridCol w:w="836"/>
        <w:gridCol w:w="732"/>
        <w:gridCol w:w="564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Past Income Loss</w:t>
            </w:r>
          </w:p>
        </w:tc>
        <w:tc>
          <w:tcPr>
            <w:tcW w:w="81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71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$0</w:t>
            </w:r>
          </w:p>
        </w:tc>
        <w:tc>
          <w:tcPr>
            <w:tcW w:w="553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823"/>
        <w:gridCol w:w="627"/>
        <w:gridCol w:w="732"/>
        <w:gridCol w:w="564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76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Future Income Loss</w:t>
            </w:r>
          </w:p>
        </w:tc>
        <w:tc>
          <w:tcPr>
            <w:tcW w:w="61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71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$0</w:t>
            </w:r>
          </w:p>
        </w:tc>
        <w:tc>
          <w:tcPr>
            <w:tcW w:w="553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2880"/>
        <w:rPr>
          <w:rFonts w:ascii="arial" w:eastAsia="arial" w:hAnsi="arial" w:cs="arial"/>
          <w:sz w:val="20"/>
          <w:lang w:val="en-US" w:eastAsia="en-US" w:bidi="ar-SA"/>
        </w:rPr>
      </w:pPr>
      <w:r>
        <w:rPr>
          <w:rFonts w:ascii="arial" w:eastAsia="arial" w:hAnsi="arial" w:cs="arial"/>
          <w:color w:val="000000"/>
          <w:sz w:val="20"/>
          <w:lang w:val="en-US" w:eastAsia="en-US" w:bidi="ar-SA"/>
        </w:rPr>
        <w:t>Or</w:t>
      </w:r>
    </w:p>
    <w:p>
      <w:pPr>
        <w:numPr>
          <w:numId w:val="2"/>
        </w:numPr>
        <w:tabs>
          <w:tab w:val="clear" w:pos="1840"/>
          <w:tab w:val="num" w:pos="3280"/>
        </w:tabs>
        <w:spacing w:before="120" w:line="260" w:lineRule="atLeast"/>
        <w:ind w:left="3280"/>
        <w:jc w:val="both"/>
        <w:rPr>
          <w:rFonts w:ascii="arial" w:eastAsia="arial" w:hAnsi="arial" w:cs="arial"/>
          <w:sz w:val="20"/>
          <w:lang w:val="en-US" w:eastAsia="en-US" w:bidi="ar-SA"/>
        </w:rPr>
      </w:pPr>
      <w:r>
        <w:rPr>
          <w:rFonts w:ascii="arial" w:eastAsia="arial" w:hAnsi="arial" w:cs="arial"/>
          <w:color w:val="000000"/>
          <w:sz w:val="20"/>
          <w:lang w:val="en-US" w:eastAsia="en-US" w:bidi="ar-SA"/>
        </w:rPr>
        <w:t>$20,000 to $30,000 (one year's earnings) if the plaintiff is found less capable of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3033"/>
        <w:gridCol w:w="419"/>
        <w:gridCol w:w="523"/>
        <w:gridCol w:w="480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9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Cost of Future Care</w:t>
            </w:r>
          </w:p>
        </w:tc>
        <w:tc>
          <w:tcPr>
            <w:tcW w:w="41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7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9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and Loss of</w:t>
            </w:r>
          </w:p>
        </w:tc>
        <w:tc>
          <w:tcPr>
            <w:tcW w:w="41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7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9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Housekeeping Capacity</w:t>
            </w:r>
          </w:p>
        </w:tc>
        <w:tc>
          <w:tcPr>
            <w:tcW w:w="41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7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$0 (None of the items of</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9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1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7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future care have been</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9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1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7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recommended by doctors)</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614"/>
        <w:gridCol w:w="836"/>
        <w:gridCol w:w="523"/>
        <w:gridCol w:w="48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Special Damages</w:t>
            </w:r>
          </w:p>
        </w:tc>
        <w:tc>
          <w:tcPr>
            <w:tcW w:w="81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7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$0 (Items claimed being</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81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7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unconnected with the</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81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7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accidents)</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At the date of the first accident, the plaintiff was 25 years old when the car which she was driving was struck broadside on her door. In the second accident six months later, her car was struck sideways on the right front fender and she was thrown from left to right. At the time of the second accident, she had made some recovery from the first accident but not a complete recovery. The effects of the second accident persisted after the normal recovery period. The third accident occurred five years later when the plaintiff's car was rear-ended on the driver's 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 has a brother and a sister, and she was the first of her siblings to graduate high school in 1987. Her father is or was a self-employed auto body mechanic and tow truck operator. Her mother looked after the books for the business. The plaintiff grew up in and around cars, and cars became a major interest to her. At school she was active in gym, volleyball, soccer, basketball, track and baseball. Her major athletic interest at the time of the first accident was volleyball. From 1987 to 1991, the plaintiff was employed in the family business, Alley Auto. She did not take formal training in auto body work or auto mechanics but learned on the job. She did the bookkeeping, as well as helping with mechanical and bodywork. She described the work as rewarding and challenging with twisting, bending, leaning and the application of pressure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She also played competitive volleyball, and prior to the first accident, she was invited to try out for the British Columbia women's team. In 1988 and 1989, she worked full-time.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Ms. Cam lived at home in Vernon until 1989, when she moved in with her aunt. She continued to work at Alley Auto until 1990, when she was laid off as a result of a slowdown in business. In 1991, she left Vernon and went to Fort Nelson where an interest in joining the Air Force was expressed. She remained in Fort Nelson for less than two months and returned to Vernon. She claimed employment insurance for about a year and then worked as a hotel chambermaid until January 1993, when she moved in with her grandmother in Sicamous who was then terminally ill. Her grandmother died in September 1993, and the plaintiff returned to Vernon and her parents'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March 1994, she was working at Alley Auto where her responsibilities included oil changes, brake jobs, engine changes, transmission changes, tire changes, rear end repairs, and auto bodywork, including stripping, sanding, filling, blocking and taping. She described the work as hard physical labour that gave her satisfaction. In addition, Ms. Cam did parts delivery and looked after the mail and the banking. She described her health as very good and without injury, except for a baseball injury to her knee in 1992. She did see a chiropractor from time to time in 1991 for preventative treatment and her family physician for unrelated issues. With regard to her earnings, the plaintiff's tax returns show a modest earning record: 1988 - $8,495; 1989 - $10,720; 1990 - $11,768; 1991 - $7,310, including $3163 from Alley Auto; 1992 - $5,366; 1993 - $764; 1994 - $1350; 1995 - $1948; 1996 - $5,490; 1997 - $6,169; 1998 - $6,110; 1999 - $6,799; 2000 - $4500; 2001 - $6,000; 2002 - $6,000; 2003 - $7,200; and 2004 - $7,538.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With the exception of the years 1995, 2004 and 2005, the plaintiff's income included room and board provided by her parents in return for her work at Alley Auto. That arrangement came to an end in 2005 when the plaintiff's mother died, and she later became estranged from her father.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plaintiff gave evidence that she and her mother discussed a wage of $10 per hour in substitution for the loose barter arrangement, but that hourly rate was not reflected in the documents or in her tax returns. I find that the terms of her employment with Alley Auto were flexible both in terms of her hours of work and her pay, where the primary measure of pay was the amount of money that came in each month and the amount left after the bills were paid. However, the plaintiff's needs were modest, and she had the benefit of the use of the car and servicing for the car, as well as room and board and spending money. On the evidence, it is not possible to find either a significant income stream or the prospect of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Describing the first accident on March 12, 1994, Ms. Cam said that she initially felt fine and carried on with her plan of going to the bar with her friend, Tracy Kowalski, who was a passenger in her car. She describes being struck on the driver's door and her head hitting Ms. Kowalski's hip. She was home by 10 p.m. and described her head as feeling swollen. She awoke with pain in her neck, and she was stiff and sore and went to a walk-in clinic. She described pain symptoms between her shoulder blades, and her lower back and neck. The doctor prescribed rest and Ibuprofen. She then saw her family doctor, Dr. Mandrak, who recommended physiotherapy two or three times a week, which was begun in April. She told her physiotherapist of her interest in volleyball and said that she was given exercises to strengthen the areas used in volleyball.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August 1994, the plaintiff began working out at the gym where she worked with weights and leg presses on a strengthening program. It was at this time that Ms. Cam made a claim and met with Karen Rockwell, an adjuster for the Insurance Corporation of British Columbia ("ICBC"). In the early summer, the plaintiff travelled with friends to the Bahamas, where she snorkelled and danced and enjoyed her holiday. While she had some pain off and on, she felt she was improving. On her return to Vernon, she continued with physiotherapy and her gym program and continued to see her family doctor. She played beach volleyball, but she did not play baseball because she found swinging a bat too painful. She continued to experience pain in her lower back and between her shoulder blades and in her neck. Ms. Cam said that in playing volleyball she was more guarded and that she avoided diving and overhead spikes. She described feeling seized up an hour or so after the end of playing when her muscles in her lower back and between her shoulder blades tightened. Five months after the first motor vehicle accident she felt she had improved but not to her pre-accident status.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Second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On September 10, 1994, the plaintiff's car was struck in the left front end, and she describes herself as being thrown back and suffering a headache shortly thereafter. Ms. Cam suspended playing volleyball for several weeks and felt a sharp pain down her arm to her neck when serving the volleyball. Dr. Mandrak recommended that she stop playing for a while but she did not take that advice, preferring to be guided by the physiotherapist who was working with her, Sally Bassett. On November 21, 1994, while playing volleyball, another player fell on her ankle and this took her out of play for three months. She continued to do work at Alley Auto - doing masking, oil changes and similar activities. She describes experiencing pain most days on starting work but said the pain then plateaued until the end of the day. She also described "seizing up" an hour or two after the end of the day. From late 1994 to the summer of 1995, the plaintiff described continuing pain, and she had the sense that her doctor was not helping in her recovery. She does say that various medications were prescribed, and x-rays and a CT scan were taken in August 1995. She was also sent on referral from Dr. Mandrak to Dr. Coghlan, a specialist in physical medicine, who she saw three times. The x-rays and CT scan showed spondylolisthesis at L5 that appeared congenital and unrelated to the accident. In the fall of 1995, the plaintiff describes her frustration that she had not made a better recovery, and in November, she left her old volleyball team to play in a less competitive league. She describes feeling emotionally and physically useless and she became depressed. In 1996, she continued to feel stuck - she worked intermittently at Alley Auto and drove a beer cart in the summer at the golf course where her father was president. She was seen by a psychotherapist for depression and was prescribed Paxil, which she continued for about three years. She changed doctors and began seeing Dr. Smart, a physician with a special interest in sports medicine. Ms. Cam continued with physiotherapy and massage therapy when she could and she saw a chiropractor as well between 1996 and 1997. The plaintiff saw Dr. Vallentyne, an expert in physical medicine and rehabilitation, in 1997, and on the referral from her lawyer, she saw Dr. Van Rijn and Dr. Shuckett, a rheumatologist. In October 1999, she also saw Mark Petrone, a rehabilitation advisor. By 1999, the plaintiff thought she was doing much better - she still had some pain but it was less frequent. She describes being able to work longer hours at Alley Auto.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Third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Then in January 2000, the plaintiff was in a third motor vehicle accident, where she was rear-ended while stopped and waiting to turn left. She describes herself as being thrown forward then back. She saw Dr. Smart and complained of an upper back, shoulder, neck and head injury that was different from the consequences of the first and second accidents. She described working less at Alley Auto but still doing the books and assisting in mechanical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She was referred by Dr. Smart to Dr. Salhus, an expert in the management of chronic pain. She continued to live at home and was given room and board in return for the work she did. She described an episode of excruciating pain in the right side of her neck while brushing her hair. This occurred in December 2003 and she saw Dr. Smart who referred her to Dr. McCann, a neurologist, who she saw in the spring of 2004. A second CT scan was done and a protruding disc was seen in her neck.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Ms. Cam describes avoiding heavy work and primarily doing the bookkeeping and light work at Alley Auto. She continued to play volleyball but she could not serve overhand without pain. In December 2004, Ms. Cam's mother died. She continued to stay in her parents' home, but in September, she had a falling out with her father and was told to leave. She then moved in with her aunt, where she remained at the date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plaintiff described difficulty in the normal housekeeping activities of sweeping and vacuuming and washing floors. She described difficulties clipping her nails and in personal hygiene. She has difficulties folding laundry and cleaning. Her aunt, Ingrid Baron, confirmed these limitations and difficulties. Ms. Cam recognizes that these limitations all oblige her to consider less physically demanding employment and recreation. She says that she wishes to pursue studies leading to qualifying in business administration.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Ms. Cam was vigorously and extensively cross-examined. She said that she and her father discussed a wage rate of $10 per hour but admitted that she never was paid that prior to March 1994. She admitted that she told Ms. Rockwell that, at the time of the first accident, she was not working but that she had applied for a job at Overwaitea in 1994 at the same time as Tracy Kowalski. She admitted that in May 2000, she slipped on wet grass and fell onto her left side and that she fell on a wet patio in June 2000. She admitted that these falls could have aggravated her low and mid back pain. She acknowledged being referred to Dr. Nielsen a sports psychologist who prescribed Paxil in July 2002, which led to a dramatic improvement in her mood. She accepted the fact that, in March 2003, she told Dr. Smart that she was much better in terms of pain with Paxil. She also admitted to the "moss basket" injury in the summer of 1994, which occurred while she was standing and bending.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defence submits that much of the plaintiff's claim depends upon her credibility and that the most telling test of her credibility is with regard to her employment at Alley Auto. Despite the absence of any payroll records, the plaintiff maintained - say the defendants - that she believed her rate of pay to be $10 per hour, and she claims past wage loss based on that hourly rate. Moreover, the defendants say that the plaintiff told the adjusters, Karen Rockwell and Doug McKay, that she was not working at the time of the first accident and that she was working off room and board at the time of the second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 find that while there may have been some discussion of the wages to be paid to the plaintiff, there was never any agreement. She received room and board, spending money and enjoyed flexible hours, which left her with time to pursue her recreational and social interests. I find that the business itself was conducted on a casual basis and that maximizing profit was not the major concern. However, I do not accept that the plaintiff lied in the sense of knowingly deceiving the court. Rather, in describing what, at best, was a discussion or series of discussions more than 10 years before trial, the plaintiff gave them more importance than was given to them at the time, and they were never implemented.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defendants also say that the plaintiff cannot be believed because of the contradiction between what she told Ms. Rockwell on August 4, 1994 - that she could not lift her arms over her head or even fold laundry - when later that day she was video-recorded playing volleyball and lifting her arms over her head without any apparent difficulty. The defendants say that there is no rational explanation other than an attempt to deceive Ms. Rockwell as to the nature and extent of the injuries she sustained. I do not agree. First of all, the plaintiff never adopted what Ms. Rockwell recorded as what she said. Secondly, there is a difference between a physical limitation (such that a movement is physically impossible) and one that is possible but painful or uncomfortable. The evidence of Ms. Cam goes to limitations imposed by pain rather than physical limitations.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defendants then say that she was selective in what she told her doctors and other caregivers. They point to a report the plaintiff made to the physiotherapist, Sally Bassett, on June 29, 1994, of a fall on her left elbow, which left her unable to raise her arm for a few moments. However, when she saw her family doctor, Dr. Mandrak, on July 5, 1994, complaining of pain to her left shoulder, she did not tell him of this fall. Once again, in the overall evidence of the plaintiff, I do not find that she has knowingly withheld information or endeavoured to deceive the court or her physicians. If her intent was to suppress information detrimental to her claim, she would not have told Ms. Bassett. The defendants also make much of the incident in the summer of 1994, where the plaintiff assisted a friend in making moss baskets (the so-called "moss basket incident") when she had such acute pain that she told Dr. Van Rijn about it but did not tell her other caregivers. In cross-examination, Ms. Cam said that the painful spasm was a result of standing and bending, and it was different than the pain she experienced as a result of the motor vehicle accidents. I do not consider this incident is any different from the others. Ms. Cam has been much examined and much questioned by both her caregivers and on independent medical examination. The fact that she has remarked of this incident to one but not all of her doctors signifies little. If her intent was to suppress evidence and to deceive her physicians and this court then she would not have told Dr. Van Rijn at all. It is, however, of some importance that doctors Van Rijn, McCann and Shuckett agreed that the fall while playing volleyball could account for some or all of her left shoulder complaints, and similarly that her low back complaints could be connected with the incident involving the moss baskets.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Dr. Coghlan saw Ms. Cam on referral from her family doctor on three occasions in 1995. On July 24, 1995, he noted that she had accentuated lordosis in the lumbar spine and that on palpation, there was a prominence of one of the lower spinous processes, and he suspected L5. He found in x-rays of the cervical spine that there was no evidence of a significant break in the pars interarticularis. He noted significant postural collapse in the neck and lower back, and he suspected some degree of facet impingement. He recommended lumbar stretching and further x-rays for oblique views of her lumbar spine.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Dr. Coghlan saw Ms. Cam again on September 7, 1995. He felt there was a break in the pars interarticularis bilaterally and that this accounted for the spondylolisthesis. He did not consider her symptoms significant. Anti-inflammatories were suggested.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Dr. Coghlan saw Ms. Cam again on November 3, 1995. He thought that despite her complaints, she was doing fine. He noted that the CT scan does confirm significant spondylolisthesis associated with a break in the pars interarticularis but thought that these changes had nothing to do with the accident. Dr. Coghlan recommended that Ms. Cam look at furthering her education because she would have difficulty coping with heavy physical manual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Ms. Cam was seen by Dr. Vallentyne on independent medical examination. On January 29, 1997, he noted tenderness of the quadratus lumborum muscle bilaterally. His impression was that Ms. Cam had a pre-existing abnormality which included a mild L5 anterior vertebral slippage with spondylolisthesis. He concluded that she sustained a cervical muscular strain, as well as a lumbar muscular strain with possible temporary aggravation of her lumbar spondylolisthesis as a result of the March 1994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His prognosis was that the cervical sprain would heal without permanent impairment or residual disability and that while the lumbar spondylolisthesis is permanent, the probability of progression is low and the motor vehicle accidents will not have accelerated the slippage nor increased the risk of later slippage.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Dr. Vallentyne viewed the videotapes of Ms. Cam playing volleyball. He commented in his letter of June 7, 1997, that the videotaped behaviour is inconsistent with any significant injury of the neck, back or shoulders.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his letter of May 4, 2000, Dr. Vallentyne noted on examination tenderness of the posterior and superior trapezius muscles bilaterally. He found tenderness of the L3 - S1 interspaces and spinous processes, and tenderness of the left quadratus lumborum muscle with left-sided low back pain. He also found tenderness of the anterior subacromial space of the right shoulder and tenderness of the pectoral muscles bilaterally, as well as tenderness at eight of the 18 fibromyalgia sites, less than required to support a diagnosis of fibromyalgia. In cross-examination, Dr. Vallentyne acknowledged that he missed the step deformity in his 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Dr. Vallentyne concluded that as a result of a January 5, 2000 motor vehicle accident, Ms. Cam sustained a temporary exacerbation of the right shoulder rotator cuff tendinitis without impingement and a temporary exacerbation of the lumbar spondylolisthesis. He also noted that prior to the first accident on March 12, 1994, Ms. Cam had a mild anterior vertebral slippage at L5 - S1 (spondylolisthesis). As a result of the March 12, 1994 motor vehicle accident, he thought she sustained a left-sided cervical muscular strain, as well as a lumbar muscular strain with temporary exacerbation of the lumbar spondylolisthesis. As a result of the September 10, 1994 motor vehicle accident, she sustained a flare-up of the cervical muscular strain and a flare-up of the lumbar muscular strain. In terms of his evaluation of impairment and disability, he opined that Ms. Cam had pre-existing spondylolisthesis and a disability equal to a 10 percent whole person permanent impairment rating, but he found no additional objective orthopedic or neurological impairment related to the motor vehicle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his letter of June 2, 2000, he sees a diagnosis of spondylolisthesis on the basis of the radiographic images. Dr. Vallentyne states that the spondylolisthesis pre-existed the accidents and that spondylolisthesis is a developmental abnormality with a probable congenital predisposition precipitated by postural and environmental stressors in the age range of 10 to 15 years. He says that spondylolisthesis is suggested by a clinical finding of low back pain provoked by extension and lateral bending, and the diagnosis is confirmed as a source of the back pain by a "hot" bone scan. He recommended a program of reconditioning, education and proper body movement patterns. He opined that there were no work restrictions.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Ms. Cam was seen by Dr. Van Rijn, and in his report of June 2, 1999, he noted that she had sustained a left shoulder blade soft tissue related injury, as well as a soft tissue injury to her neck in the first accident and that she developed low back pain with more severe though transient symptoms towards the summer of 1994. He opined that Ms. Cam's lower back symptoms relate to the 1994 accidents with worsening over time, which he considers not unusual with spondylolisthesis. He notes no previous history of symptoms involving this area, and while the condition was quiescent, it was susceptible to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He notes that the left shoulder complaints are difficult to sort out because of the complex interplay of the muscles which maintain shoulder blade position. Nevertheless, he opines that the first accident caused the left shoulder blade and shoulder area pain symptoms. Dr. Van Rijn notes right shoulder discomfort following the second accident originating from the area around the rotator cuff. He concludes that Ms. Cam continues to have restriction in her ability to manage prolonged sitting, standing, stooping and lifting and residual ongoing disability which is activity related. He opines that with the complaints having persisted for many years, a full recovery is unlikely. He opines that the first accident changed her work capacity and that work as an auto body technician could exceed her "safe" and more comfortable capacity. Dr. Van Rijn opines that Ms. Cam can manage her general homemaking activities without assistance, but were she to have children, with their deliveries, pregnancy and childhood, there could be an increase in spinal axis pain resulting in a need for assistance.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Dr. Shuckett, a specialist in rheumatology, diagnosed myofascial pain in the right side of the neck and the right shoulder girdle, as well as the left trapezius and medial scapular region. She found muscular ligamentous pain in the lumbosacral region and the sacroiliac joints. She also found evidence of rotator cuff tendinitis. Dr. Shuckett recommended a personal trainer and a one-year fitness program. As a result, Ms. Cam was seen by Mark Petrone who developed a rehabilitation program for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Dr. Smart saw Ms. Cam in December 1995, more than a year after the second accident. He found that she sustained a mild to moderate lumbar strain and a bilateral shoulder strain - mild right, moderate left.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Ms. Cam was reassessed by Dr. Van Rijn on referral by Dr. Smart, and in his report of October 22, 2000, he diagnosed mechanical back pain and recommended continuation of the gym program and referral to a pain clinic.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Dr. Smart referred Ms. Cam to Dr. Salhus, an anaesthesiologist, for chronic pain. He saw her on April 3, 2002, and thought she was working well at becoming more functional and considered but decided against facet joint injections.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On December 4, 2003, Ms. Cam had excruciating pain in her neck radiating down her arm while braiding her hair (the "hair-braiding incident"), and she was seen by Dr. Smart and by Dr. McCann, a specialist in physical medicine and rehabilitation. Dr. McCann reviewed the x-rays and CT scan, which showed a disc protrusion pinching on the right side of her neck. Dr. McCann concluded that this was a result of the third motor vehicle accident. Dr. McCann told Ms. Cam that her treatment options included physiotherapy, a stretching and strengthening program, and perhaps surgery with its associated risks.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Dr. Van Rijn and Dr. Shuckett formed the opinion that Ms. Cam would not likely have a full recovery, having regard to the years that have passed since the last accident. Dr. McCann concluded that Ms. Cam will have ongoing neck stiffness indefinitely and that the disc narrowing at C5- 6 will most likely lead to chronic problems with stiffness in her neck. He had noted that symptoms down the arm have improved significantly and that surgery on her neck is unlikely. However, he noted that she is at high risk of recurring neck pain with pain down her arm and that the chances of surgery being required in the form of a discectomy and possible fusion at C5 and C6 are markedly elevated (Dr. McCann's report October 20,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his report of October 11, 2005, Dr. Smart said, "I anticipate she will continue to have cervical bilateral shoulder, thoracic and lumbar back pain in definitely. I anticipate (greater than 50 percent probability) that she will have continued exacerbation of her neck pain and right arm pain and numbness related to her cervical osteoarthritis."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Dr. Van Rijn noted that Ms. Cam's spondylolisthesis predated the accident of March 12, 1994, but was asymptomatic given that she had no previous history of symptoms in her lower back. The absence of symptomatology is confirmed by Dr. Mandrak's pre-accident reports and clinical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Dr. McCann said in October 2004 that Ms. Cam's symptoms changed on December 4, 2003, with the "hair-braiding incident". There had been no symptoms of numbness down the right arm prior to this. Because this reaction was abnormal, Dr. McCann considered that Ms. Cam probably had significant disc degeneration or weakness prior to the "hair-braiding incident". He says it is probable that the complaints that she had in her left posterior neck and scapular area were related to some disc degeneration that occurred as a result of the motor vehicle accident of January 5, 2000, and possibly due to the prior accidents in 1994. Dr. McCann also considered that the significant disc degeneration that she has is more likely the result of trauma than aging and that she most probably did suffer injuries as a result of the January 2000 accident that led to the disc space narrowing at C5-6, and that went on to develop a prolapse of this with the trivial event of braiding her hair.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defence takes quite a different view. Upon examination on March 15, 1994, Dr. Mandrak found a normal range of motion with a slightly tight trapezius. Dr. Van Rijn conceded that this would indicate an absence of any serious underlying pathology following the accident. By March 22, 1994, she no longer had headaches, and she continued to demonstrate normal shoulder range of motion and normal cervical spine range of motion. On July 5, 1994, she complained of back and left shoulder pain and headaches. Here the defence points out the fall that Ms. Cam reported to the physiotherapist, Sally Bassett, occurred on June 29, 1994.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Dr. Mandrak saw the plaintiff six days after the September 10, 1994 accident. He noted a slight reduction in lumbar flexion but otherwise good range of motion in her spine and left shoulder. He concluded that Ms. Cam had suffered a minor setback but that she would improve fairly quickly. This is the first notation of lumbar restriction, and it is emphasized by the defendants that this report followed the moss basket incident. Dr. Mandrak noted on October 14, 1994, right shoulder complaints following volleyball and he diagnosed a rotator cuff strain. A gradual return to work was recommended in November 1994 with a full return by the end of January 1995.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defendants place some emphasis on the fact that the plaintiff did not put in evidence the reports of Dr. Mandrak or Dr. Coghlan and that these doctors were called by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defendants say that the plaintiff had made a good recovery from the first 1994 accident by August of that year and that the second accident was of little consequence. It is then submitted that the third accident is a soft tissue injury that resolved within four months. The defendants submit that the spondylolisthesis is congenital and that the only issue is whether it only became symptomatic as a result of the accidents on March 12th or September 10th or both of them in 1994. Dr. Coghlan said that the changes are the result of the recurrent low back pain. Dr. Coghlan also said that he would have expected a break, as distinct from a fracture. He did admit that a fracture as a result of a motor vehicle accident was possible but he thought it unlikely. Similarly, Dr. Vallentyne admitted that a fracture is possible but that it would be more likely if the person were ejected with considerable force applied to the head downward.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The defendants also take issue with the suggestion that the disc degeneration of the cervical spine is a result of the accident of January 2000. The defendants rely upon the evidence of Dr. Vallentyne who said that the disc degeneration is a result of wear and tear over time and that while it </w:t>
      </w:r>
      <w:r>
        <w:rPr>
          <w:rFonts w:ascii="arial" w:eastAsia="arial" w:hAnsi="arial" w:cs="arial"/>
          <w:color w:val="000000"/>
          <w:sz w:val="20"/>
          <w:u w:val="single"/>
          <w:lang w:val="en-US" w:eastAsia="en-US" w:bidi="ar-SA"/>
        </w:rPr>
        <w:t>can</w:t>
      </w:r>
      <w:r>
        <w:rPr>
          <w:rFonts w:ascii="arial" w:eastAsia="arial" w:hAnsi="arial" w:cs="arial"/>
          <w:color w:val="000000"/>
          <w:sz w:val="20"/>
          <w:lang w:val="en-US" w:eastAsia="en-US" w:bidi="ar-SA"/>
        </w:rPr>
        <w:t xml:space="preserve"> be found where there is acute damage to the disc or vertebral body, that was not the situation here, while Dr. McCann said that degenerative changes would likely have begun to show on x-rays in 2001 to 2003 and that the changes seen in the x-ray of December 2003 occurred after the x-ray of May 8, 2000. Moreover, in cross-examination, Dr. McCann conceded that heredity could account for the degenerative change, as well as the heavy work the plaintiff did at Alley Auto. At the end of the day, Dr. McCann relied upon what the plaintiff told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The leading case on causation is </w:t>
      </w:r>
      <w:r>
        <w:rPr>
          <w:rFonts w:ascii="arial" w:eastAsia="arial" w:hAnsi="arial" w:cs="arial"/>
          <w:b/>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65" w:history="1">
        <w:r>
          <w:rPr>
            <w:rFonts w:ascii="arial" w:eastAsia="arial" w:hAnsi="arial" w:cs="arial"/>
            <w:i/>
            <w:color w:val="0077CC"/>
            <w:sz w:val="20"/>
            <w:u w:val="single"/>
            <w:shd w:val="clear" w:color="auto" w:fill="FFFFFF"/>
            <w:lang w:val="en-US" w:eastAsia="en-US" w:bidi="ar-SA"/>
          </w:rPr>
          <w:t>[1997] 1 W.W.R. 97</w:t>
        </w:r>
      </w:hyperlink>
      <w:r>
        <w:rPr>
          <w:rFonts w:ascii="arial" w:eastAsia="arial" w:hAnsi="arial" w:cs="arial"/>
          <w:color w:val="000000"/>
          <w:sz w:val="20"/>
          <w:lang w:val="en-US" w:eastAsia="en-US" w:bidi="ar-SA"/>
        </w:rPr>
        <w:t xml:space="preserve"> (S.C.C.). There Justice Major said that in general the test for causation is the "but for" test, which requires the plaintiff to show that the injury of which he now complains would not have occurred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Causation is established where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materially contributes to the occurrence of the injury and a contributing factor is material if it falls outside the </w:t>
      </w:r>
      <w:r>
        <w:rPr>
          <w:rFonts w:ascii="arial" w:eastAsia="arial" w:hAnsi="arial" w:cs="arial"/>
          <w:i/>
          <w:color w:val="000000"/>
          <w:sz w:val="20"/>
          <w:lang w:val="en-US" w:eastAsia="en-US" w:bidi="ar-SA"/>
        </w:rPr>
        <w:t>de minimis</w:t>
      </w:r>
      <w:r>
        <w:rPr>
          <w:rFonts w:ascii="arial" w:eastAsia="arial" w:hAnsi="arial" w:cs="arial"/>
          <w:color w:val="000000"/>
          <w:sz w:val="20"/>
          <w:lang w:val="en-US" w:eastAsia="en-US" w:bidi="ar-SA"/>
        </w:rPr>
        <w:t xml:space="preserve"> range (para. 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Justice Major, at para. 17, says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not now necessary, nor has it ever been, for the plaintiff to establish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the </w:t>
      </w:r>
      <w:r>
        <w:rPr>
          <w:rFonts w:ascii="arial" w:eastAsia="arial" w:hAnsi="arial" w:cs="arial"/>
          <w:i/>
          <w:color w:val="000000"/>
          <w:sz w:val="20"/>
          <w:lang w:val="en-US" w:eastAsia="en-US" w:bidi="ar-SA"/>
        </w:rPr>
        <w:t>sole cause</w:t>
      </w:r>
      <w:r>
        <w:rPr>
          <w:rFonts w:ascii="arial" w:eastAsia="arial" w:hAnsi="arial" w:cs="arial"/>
          <w:color w:val="000000"/>
          <w:sz w:val="20"/>
          <w:lang w:val="en-US" w:eastAsia="en-US" w:bidi="ar-SA"/>
        </w:rPr>
        <w:t xml:space="preserve"> of the injury. There will frequently be a myriad of other background events which were necessary preconditions to the injury occurring...As long as a defendant is </w:t>
      </w:r>
      <w:r>
        <w:rPr>
          <w:rFonts w:ascii="arial" w:eastAsia="arial" w:hAnsi="arial" w:cs="arial"/>
          <w:i/>
          <w:color w:val="000000"/>
          <w:sz w:val="20"/>
          <w:lang w:val="en-US" w:eastAsia="en-US" w:bidi="ar-SA"/>
        </w:rPr>
        <w:t>part</w:t>
      </w:r>
      <w:r>
        <w:rPr>
          <w:rFonts w:ascii="arial" w:eastAsia="arial" w:hAnsi="arial" w:cs="arial"/>
          <w:color w:val="000000"/>
          <w:sz w:val="20"/>
          <w:lang w:val="en-US" w:eastAsia="en-US" w:bidi="ar-SA"/>
        </w:rPr>
        <w:t xml:space="preserve"> of the cause of an injury, he is liable, even though his act alone was not enough to create the injury. There is no basis for a reduction of liability because of the existence of other preconditions: defendants remain liable for all injuries caused or contributed to by their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At para. 17 Justice Major says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the law permitted apportionment between tortious and non-tortious causes, a plaintiff could recover 100 per cent of his or her loss only when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the </w:t>
      </w:r>
      <w:r>
        <w:rPr>
          <w:rFonts w:ascii="arial" w:eastAsia="arial" w:hAnsi="arial" w:cs="arial"/>
          <w:i/>
          <w:color w:val="000000"/>
          <w:sz w:val="20"/>
          <w:lang w:val="en-US" w:eastAsia="en-US" w:bidi="ar-SA"/>
        </w:rPr>
        <w:t>sole</w:t>
      </w:r>
      <w:r>
        <w:rPr>
          <w:rFonts w:ascii="arial" w:eastAsia="arial" w:hAnsi="arial" w:cs="arial"/>
          <w:color w:val="000000"/>
          <w:sz w:val="20"/>
          <w:lang w:val="en-US" w:eastAsia="en-US" w:bidi="ar-SA"/>
        </w:rPr>
        <w:t xml:space="preserve"> cause of the injuries. Since most events are the result of a complex set of causes, there will frequently be non-tortious causes contributing to the injury. Defendants could frequently and easily identified non-tortious contributing causes, so plaintiffs would rarely receive full compensation even after proving that the defendant caused the injury. This would be contrary to established principles and the essential purpose of tort law, which is to restore the plaintiff to the position he or she would have enjoyed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Athey</w:t>
      </w:r>
      <w:r>
        <w:rPr>
          <w:rFonts w:ascii="arial" w:eastAsia="arial" w:hAnsi="arial" w:cs="arial"/>
          <w:color w:val="000000"/>
          <w:sz w:val="20"/>
          <w:lang w:val="en-US" w:eastAsia="en-US" w:bidi="ar-SA"/>
        </w:rPr>
        <w:t xml:space="preserve">, as in the case before me, the plaintiff suffered a disc herniation seemingly associated with an innocuous event - in this case, braiding her hair, a task she had performed countless times in the past. In </w:t>
      </w:r>
      <w:r>
        <w:rPr>
          <w:rFonts w:ascii="arial" w:eastAsia="arial" w:hAnsi="arial" w:cs="arial"/>
          <w:b/>
          <w:i/>
          <w:color w:val="000000"/>
          <w:sz w:val="20"/>
          <w:lang w:val="en-US" w:eastAsia="en-US" w:bidi="ar-SA"/>
        </w:rPr>
        <w:t>Athey</w:t>
      </w:r>
      <w:r>
        <w:rPr>
          <w:rFonts w:ascii="arial" w:eastAsia="arial" w:hAnsi="arial" w:cs="arial"/>
          <w:color w:val="000000"/>
          <w:sz w:val="20"/>
          <w:lang w:val="en-US" w:eastAsia="en-US" w:bidi="ar-SA"/>
        </w:rPr>
        <w:t>, the plaintiff suffered a disc herniation during a mild exercise, which he had frequently performed prior to the accidents without difficulty or distress. Similarly, while it is likely on the weight of all of the evidence that Ms. Cam suffered from spondylolisthesis of her lower back prior to the accidents, the condition was asymptomatic. There was no evidence in Dr. Mandrak's clinical notes that the plaintiff had pre-accident low back issues. I find, therefore, that the herniated disc was caused by the third accident in January 2000, and I find that the painful low back is the result of the spondylosis - this becoming symptomatic after the first two accidents. I accept that while there were very few real complaints three months after the first accident, the plaintiff had not fully recovered from the consequences of the first accident when she was involved in the second accident. Following the second accident, I find that the plaintiff's recovery was slow and pain symptoms in her neck, left shoulder and low back continued. The third accident caused the herniated disc, and it is the constellation of these injuries that has caused the chronic pain, which I find to be the principal complaint.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 now turn to damages. Non-pecuniary damages are a one-time award to compensate the plaintiff for past and future pain and suffering, loss of amenities and loss of enjoyment of life. In making an award, the court must be fair to the plaintiff, but also fair to the defendants - non-pecuniary damages are to compensate, not to punish the defendants or reward the plaintiff. The task is to put the plaintiff, as nearly as money can do, in the position she occupied immediately before the accident and the consequent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The plaintiff says that she suffers from chronic pain and that her prospect of a full recovery is very poor. The plaintiff submits that an appropriate award for non-pecuniary damages is $100,000, referring to the decisions of this court in </w:t>
      </w:r>
      <w:r>
        <w:rPr>
          <w:rFonts w:ascii="arial" w:eastAsia="arial" w:hAnsi="arial" w:cs="arial"/>
          <w:b/>
          <w:i/>
          <w:color w:val="000000"/>
          <w:sz w:val="20"/>
          <w:lang w:val="en-US" w:eastAsia="en-US" w:bidi="ar-SA"/>
        </w:rPr>
        <w:t>Schellak v. Barr</w:t>
      </w:r>
      <w:r>
        <w:rPr>
          <w:rFonts w:ascii="arial" w:eastAsia="arial" w:hAnsi="arial" w:cs="arial"/>
          <w:color w:val="000000"/>
          <w:sz w:val="20"/>
          <w:lang w:val="en-US" w:eastAsia="en-US" w:bidi="ar-SA"/>
        </w:rPr>
        <w:t xml:space="preserve">, </w:t>
      </w:r>
      <w:hyperlink r:id="rId73" w:history="1">
        <w:r>
          <w:rPr>
            <w:rFonts w:ascii="arial" w:eastAsia="arial" w:hAnsi="arial" w:cs="arial"/>
            <w:i/>
            <w:color w:val="0077CC"/>
            <w:sz w:val="20"/>
            <w:u w:val="single"/>
            <w:shd w:val="clear" w:color="auto" w:fill="FFFFFF"/>
            <w:lang w:val="en-US" w:eastAsia="en-US" w:bidi="ar-SA"/>
          </w:rPr>
          <w:t>[2001] B.C.J. No. 1916</w:t>
        </w:r>
      </w:hyperlink>
      <w:r>
        <w:rPr>
          <w:rFonts w:ascii="arial" w:eastAsia="arial" w:hAnsi="arial" w:cs="arial"/>
          <w:color w:val="000000"/>
          <w:sz w:val="20"/>
          <w:lang w:val="en-US" w:eastAsia="en-US" w:bidi="ar-SA"/>
        </w:rPr>
        <w:t xml:space="preserve"> (S.C.); </w:t>
      </w:r>
      <w:r>
        <w:rPr>
          <w:rFonts w:ascii="arial" w:eastAsia="arial" w:hAnsi="arial" w:cs="arial"/>
          <w:b/>
          <w:i/>
          <w:color w:val="000000"/>
          <w:sz w:val="20"/>
          <w:lang w:val="en-US" w:eastAsia="en-US" w:bidi="ar-SA"/>
        </w:rPr>
        <w:t>Dawson v. Gee</w:t>
      </w:r>
      <w:r>
        <w:rPr>
          <w:rFonts w:ascii="arial" w:eastAsia="arial" w:hAnsi="arial" w:cs="arial"/>
          <w:color w:val="000000"/>
          <w:sz w:val="20"/>
          <w:lang w:val="en-US" w:eastAsia="en-US" w:bidi="ar-SA"/>
        </w:rPr>
        <w:t xml:space="preserve">, </w:t>
      </w:r>
      <w:hyperlink r:id="rId74" w:history="1">
        <w:r>
          <w:rPr>
            <w:rFonts w:ascii="arial" w:eastAsia="arial" w:hAnsi="arial" w:cs="arial"/>
            <w:i/>
            <w:color w:val="0077CC"/>
            <w:sz w:val="20"/>
            <w:u w:val="single"/>
            <w:shd w:val="clear" w:color="auto" w:fill="FFFFFF"/>
            <w:lang w:val="en-US" w:eastAsia="en-US" w:bidi="ar-SA"/>
          </w:rPr>
          <w:t>[2000] B.C.J. No. 154</w:t>
        </w:r>
      </w:hyperlink>
      <w:r>
        <w:rPr>
          <w:rFonts w:ascii="arial" w:eastAsia="arial" w:hAnsi="arial" w:cs="arial"/>
          <w:color w:val="000000"/>
          <w:sz w:val="20"/>
          <w:lang w:val="en-US" w:eastAsia="en-US" w:bidi="ar-SA"/>
        </w:rPr>
        <w:t xml:space="preserve"> (S.C.); </w:t>
      </w:r>
      <w:r>
        <w:rPr>
          <w:rFonts w:ascii="arial" w:eastAsia="arial" w:hAnsi="arial" w:cs="arial"/>
          <w:b/>
          <w:i/>
          <w:color w:val="000000"/>
          <w:sz w:val="20"/>
          <w:lang w:val="en-US" w:eastAsia="en-US" w:bidi="ar-SA"/>
        </w:rPr>
        <w:t>Goglin v. Lightheart</w:t>
      </w:r>
      <w:r>
        <w:rPr>
          <w:rFonts w:ascii="arial" w:eastAsia="arial" w:hAnsi="arial" w:cs="arial"/>
          <w:color w:val="000000"/>
          <w:sz w:val="20"/>
          <w:lang w:val="en-US" w:eastAsia="en-US" w:bidi="ar-SA"/>
        </w:rPr>
        <w:t xml:space="preserve">, </w:t>
      </w:r>
      <w:hyperlink r:id="rId75" w:history="1">
        <w:r>
          <w:rPr>
            <w:rFonts w:ascii="arial" w:eastAsia="arial" w:hAnsi="arial" w:cs="arial"/>
            <w:i/>
            <w:color w:val="0077CC"/>
            <w:sz w:val="20"/>
            <w:u w:val="single"/>
            <w:shd w:val="clear" w:color="auto" w:fill="FFFFFF"/>
            <w:lang w:val="en-US" w:eastAsia="en-US" w:bidi="ar-SA"/>
          </w:rPr>
          <w:t>[1992] B.C.J. No. 2416</w:t>
        </w:r>
      </w:hyperlink>
      <w:r>
        <w:rPr>
          <w:rFonts w:ascii="arial" w:eastAsia="arial" w:hAnsi="arial" w:cs="arial"/>
          <w:color w:val="000000"/>
          <w:sz w:val="20"/>
          <w:lang w:val="en-US" w:eastAsia="en-US" w:bidi="ar-SA"/>
        </w:rPr>
        <w:t xml:space="preserve"> (S.C.); </w:t>
      </w:r>
      <w:r>
        <w:rPr>
          <w:rFonts w:ascii="arial" w:eastAsia="arial" w:hAnsi="arial" w:cs="arial"/>
          <w:b/>
          <w:i/>
          <w:color w:val="000000"/>
          <w:sz w:val="20"/>
          <w:lang w:val="en-US" w:eastAsia="en-US" w:bidi="ar-SA"/>
        </w:rPr>
        <w:t>Prince-Wright v. Copeman</w:t>
      </w:r>
      <w:r>
        <w:rPr>
          <w:rFonts w:ascii="arial" w:eastAsia="arial" w:hAnsi="arial" w:cs="arial"/>
          <w:color w:val="000000"/>
          <w:sz w:val="20"/>
          <w:lang w:val="en-US" w:eastAsia="en-US" w:bidi="ar-SA"/>
        </w:rPr>
        <w:t xml:space="preserve">, </w:t>
      </w:r>
      <w:hyperlink r:id="rId76" w:history="1">
        <w:r>
          <w:rPr>
            <w:rFonts w:ascii="arial" w:eastAsia="arial" w:hAnsi="arial" w:cs="arial"/>
            <w:i/>
            <w:color w:val="0077CC"/>
            <w:sz w:val="20"/>
            <w:u w:val="single"/>
            <w:shd w:val="clear" w:color="auto" w:fill="FFFFFF"/>
            <w:lang w:val="en-US" w:eastAsia="en-US" w:bidi="ar-SA"/>
          </w:rPr>
          <w:t>[2005] B.C.J. No. 1997</w:t>
        </w:r>
      </w:hyperlink>
      <w:r>
        <w:rPr>
          <w:rFonts w:ascii="arial" w:eastAsia="arial" w:hAnsi="arial" w:cs="arial"/>
          <w:color w:val="000000"/>
          <w:sz w:val="20"/>
          <w:lang w:val="en-US" w:eastAsia="en-US" w:bidi="ar-SA"/>
        </w:rPr>
        <w:t xml:space="preserve"> (S.C.); and </w:t>
      </w:r>
      <w:r>
        <w:rPr>
          <w:rFonts w:ascii="arial" w:eastAsia="arial" w:hAnsi="arial" w:cs="arial"/>
          <w:b/>
          <w:i/>
          <w:color w:val="000000"/>
          <w:sz w:val="20"/>
          <w:lang w:val="en-US" w:eastAsia="en-US" w:bidi="ar-SA"/>
        </w:rPr>
        <w:t>Gill v. Probert</w:t>
      </w:r>
      <w:r>
        <w:rPr>
          <w:rFonts w:ascii="arial" w:eastAsia="arial" w:hAnsi="arial" w:cs="arial"/>
          <w:color w:val="000000"/>
          <w:sz w:val="20"/>
          <w:lang w:val="en-US" w:eastAsia="en-US" w:bidi="ar-SA"/>
        </w:rPr>
        <w:t xml:space="preserve">, </w:t>
      </w:r>
      <w:hyperlink r:id="rId77" w:history="1">
        <w:r>
          <w:rPr>
            <w:rFonts w:ascii="arial" w:eastAsia="arial" w:hAnsi="arial" w:cs="arial"/>
            <w:i/>
            <w:color w:val="0077CC"/>
            <w:sz w:val="20"/>
            <w:u w:val="single"/>
            <w:shd w:val="clear" w:color="auto" w:fill="FFFFFF"/>
            <w:lang w:val="en-US" w:eastAsia="en-US" w:bidi="ar-SA"/>
          </w:rPr>
          <w:t>[2001] B.C.J. No. 1056</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The defendants, on the other hand, say that the decisions in </w:t>
      </w:r>
      <w:r>
        <w:rPr>
          <w:rFonts w:ascii="arial" w:eastAsia="arial" w:hAnsi="arial" w:cs="arial"/>
          <w:b/>
          <w:i/>
          <w:color w:val="000000"/>
          <w:sz w:val="20"/>
          <w:lang w:val="en-US" w:eastAsia="en-US" w:bidi="ar-SA"/>
        </w:rPr>
        <w:t>Butler v. Blaylock Estate</w:t>
      </w:r>
      <w:r>
        <w:rPr>
          <w:rFonts w:ascii="arial" w:eastAsia="arial" w:hAnsi="arial" w:cs="arial"/>
          <w:color w:val="000000"/>
          <w:sz w:val="20"/>
          <w:lang w:val="en-US" w:eastAsia="en-US" w:bidi="ar-SA"/>
        </w:rPr>
        <w:t xml:space="preserve">, </w:t>
      </w:r>
      <w:hyperlink r:id="rId78" w:history="1">
        <w:r>
          <w:rPr>
            <w:rFonts w:ascii="arial" w:eastAsia="arial" w:hAnsi="arial" w:cs="arial"/>
            <w:i/>
            <w:color w:val="0077CC"/>
            <w:sz w:val="20"/>
            <w:u w:val="single"/>
            <w:shd w:val="clear" w:color="auto" w:fill="FFFFFF"/>
            <w:lang w:val="en-US" w:eastAsia="en-US" w:bidi="ar-SA"/>
          </w:rPr>
          <w:t>[1983] B.C.J. No. 1490</w:t>
        </w:r>
      </w:hyperlink>
      <w:r>
        <w:rPr>
          <w:rFonts w:ascii="arial" w:eastAsia="arial" w:hAnsi="arial" w:cs="arial"/>
          <w:color w:val="000000"/>
          <w:sz w:val="20"/>
          <w:lang w:val="en-US" w:eastAsia="en-US" w:bidi="ar-SA"/>
        </w:rPr>
        <w:t xml:space="preserve"> (C.A.), and that of the Chief Justice of this court in </w:t>
      </w:r>
      <w:r>
        <w:rPr>
          <w:rFonts w:ascii="arial" w:eastAsia="arial" w:hAnsi="arial" w:cs="arial"/>
          <w:b/>
          <w:i/>
          <w:color w:val="000000"/>
          <w:sz w:val="20"/>
          <w:lang w:val="en-US" w:eastAsia="en-US" w:bidi="ar-SA"/>
        </w:rPr>
        <w:t>Price v. Kostryba</w:t>
      </w:r>
      <w:r>
        <w:rPr>
          <w:rFonts w:ascii="arial" w:eastAsia="arial" w:hAnsi="arial" w:cs="arial"/>
          <w:color w:val="000000"/>
          <w:sz w:val="20"/>
          <w:lang w:val="en-US" w:eastAsia="en-US" w:bidi="ar-SA"/>
        </w:rPr>
        <w:t xml:space="preserve">, </w:t>
      </w:r>
      <w:hyperlink r:id="rId79" w:history="1">
        <w:r>
          <w:rPr>
            <w:rFonts w:ascii="arial" w:eastAsia="arial" w:hAnsi="arial" w:cs="arial"/>
            <w:i/>
            <w:color w:val="0077CC"/>
            <w:sz w:val="20"/>
            <w:u w:val="single"/>
            <w:shd w:val="clear" w:color="auto" w:fill="FFFFFF"/>
            <w:lang w:val="en-US" w:eastAsia="en-US" w:bidi="ar-SA"/>
          </w:rPr>
          <w:t>[1982] B.C.J. No. 1518</w:t>
        </w:r>
      </w:hyperlink>
      <w:r>
        <w:rPr>
          <w:rFonts w:ascii="arial" w:eastAsia="arial" w:hAnsi="arial" w:cs="arial"/>
          <w:color w:val="000000"/>
          <w:sz w:val="20"/>
          <w:lang w:val="en-US" w:eastAsia="en-US" w:bidi="ar-SA"/>
        </w:rPr>
        <w:t xml:space="preserve">, apply and that where there is, as there is here, little or no objective evidence of continuing injury and when complaints of pain persist for long periods extending beyond the normal or usual recovery, then in the absence of convincing credible evidence any award should be modest. The defendants say that absent a finding of chronic pain or myofascial pain as a result of the accidents, an award of $5,000 is appropriate. Alternatively, if myofascial pain or chronic pain is accepted, then an appropriate award is $35,000 to $45,000. The defendants distinguish the plaintiff's authorities and rely upon </w:t>
      </w:r>
      <w:r>
        <w:rPr>
          <w:rFonts w:ascii="arial" w:eastAsia="arial" w:hAnsi="arial" w:cs="arial"/>
          <w:b/>
          <w:i/>
          <w:color w:val="000000"/>
          <w:sz w:val="20"/>
          <w:lang w:val="en-US" w:eastAsia="en-US" w:bidi="ar-SA"/>
        </w:rPr>
        <w:t>Hadland v. Thompson,</w:t>
      </w:r>
      <w:r>
        <w:rPr>
          <w:rFonts w:ascii="arial" w:eastAsia="arial" w:hAnsi="arial" w:cs="arial"/>
          <w:color w:val="000000"/>
          <w:sz w:val="20"/>
          <w:lang w:val="en-US" w:eastAsia="en-US" w:bidi="ar-SA"/>
        </w:rPr>
        <w:t xml:space="preserve"> </w:t>
      </w:r>
      <w:hyperlink r:id="rId80" w:history="1">
        <w:r>
          <w:rPr>
            <w:rFonts w:ascii="arial" w:eastAsia="arial" w:hAnsi="arial" w:cs="arial"/>
            <w:i/>
            <w:color w:val="0077CC"/>
            <w:sz w:val="20"/>
            <w:u w:val="single"/>
            <w:shd w:val="clear" w:color="auto" w:fill="FFFFFF"/>
            <w:lang w:val="en-US" w:eastAsia="en-US" w:bidi="ar-SA"/>
          </w:rPr>
          <w:t>[2002] B.C.J. No. 540</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 find that an appropriate award of non-pecuniary damages globally is $75,000. I take particularly into account the dramatic diminishing of the plaintiff's ability to play volleyball, an activity which gave her much pleasure and one that she will be limited in playing in the future barring an unexpected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plaintiff says that as a result of the injuries she sustained in these three accidents, she was unable to fulfill her reasonable expectations of self-employment or employment in the family business. The plaintiff has advanced three scenarios of past income loss: the first assumes that the plaintiff worked 40 hours per week at minimum wage; the second assumes that she earned $12,000 per year before the accident and that this is less than minimum wage; and the third assumes that the plaintiff would work 40 hours per week at $10 per hour, the rate of pay the plaintiff says she discussed with her mother. The range of damages for past wage loss is from $86,000 (rounded) to $197,000 (rounded).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defendants say that the plaintiff was less than forthcoming about her employment with Alley Auto and that she never earned, on an annual basis, anything like the amount that she claims before or after the accidents. They submit that the claim for past wage loss ought to be dismissed in its entirety on the basis that the plaintiff's earnings after the accident were comparable to her earnings before the accident and that she has shown no income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 find that the plaintiff was quite content with a modest income and living at home without paying room and board and, at the same time, driving a car provided for her and having her pocket money given to her by her parents. I am unable to find that the plaintiff has suffered any proven wage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 accept that but for the accident or accidents, the plaintiff would likely have made her own way in life and obtained better employment than, in fact, she did. Tracy Kowalski gave evidence that she works at Overwaitea and that Ms. Cam was with her and applied for employment at the same time she did. However, it was not only the accidents that limited her development or potential. I have already said that she was quite content in her more or less dependent role as a member of her parents' household. She did travel to northern British Columbia, where she gave some thought to joining the armed services; however, she returned within two months without pursuing that prospect. Then her grandmother became ill, and the plaintiff moved in with and cared for her until she died. Not long after that, her mother became ill and ultimately died, and then the plaintiff had a falling out with her father. All of these things contributed in a significant way to the failure of the plaintiff to pursue more productive employment. However, it cannot be said that the plaintiff has failed to take any reasonable steps to mitigate her loss, though she must accept that her loss was modest. I find that she has failed to prove any of the three scenarios that she has advanced. Her income after the accidents was comparable to her income before the accidents. She has not made out a claim for past income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The plaintiff has provided a report from Dr. Gordon Wallace, an occupational consultant, who has concluded that the occupational choices now available to Ms. Cam have been significantly reduced by the consequences of the accidents. Physically demanding jobs are now closed to her. He reported that the impact on a young woman of Ms. Cam's age and education is to reduce the present value of her future lifetime earnings by 40 percent from the earnings her level of education would have supported without such limitations. In assessing damages for loss of future earnings or opportunity to earn future income, the plaintiff need only to show that there is a substantial possibility or a real possibility that the loss will occur. The Chief Justice of British Columbia in </w:t>
      </w:r>
      <w:r>
        <w:rPr>
          <w:rFonts w:ascii="arial" w:eastAsia="arial" w:hAnsi="arial" w:cs="arial"/>
          <w:b/>
          <w:i/>
          <w:color w:val="000000"/>
          <w:sz w:val="20"/>
          <w:lang w:val="en-US" w:eastAsia="en-US" w:bidi="ar-SA"/>
        </w:rPr>
        <w:t>Brown v. Golaiy</w:t>
      </w:r>
      <w:r>
        <w:rPr>
          <w:rFonts w:ascii="arial" w:eastAsia="arial" w:hAnsi="arial" w:cs="arial"/>
          <w:color w:val="000000"/>
          <w:sz w:val="20"/>
          <w:lang w:val="en-US" w:eastAsia="en-US" w:bidi="ar-SA"/>
        </w:rPr>
        <w:t xml:space="preserve">, </w:t>
      </w:r>
      <w:hyperlink r:id="rId81" w:history="1">
        <w:r>
          <w:rPr>
            <w:rFonts w:ascii="arial" w:eastAsia="arial" w:hAnsi="arial" w:cs="arial"/>
            <w:i/>
            <w:color w:val="0077CC"/>
            <w:sz w:val="20"/>
            <w:u w:val="single"/>
            <w:shd w:val="clear" w:color="auto" w:fill="FFFFFF"/>
            <w:lang w:val="en-US" w:eastAsia="en-US" w:bidi="ar-SA"/>
          </w:rPr>
          <w:t>[1985] B.C.J. No. 31</w:t>
        </w:r>
      </w:hyperlink>
      <w:r>
        <w:rPr>
          <w:rFonts w:ascii="arial" w:eastAsia="arial" w:hAnsi="arial" w:cs="arial"/>
          <w:color w:val="000000"/>
          <w:sz w:val="20"/>
          <w:lang w:val="en-US" w:eastAsia="en-US" w:bidi="ar-SA"/>
        </w:rPr>
        <w:t xml:space="preserve"> (S.C.), held that these are some of the considerations that may be taken into account in making the assessment (para. 8):</w:t>
      </w:r>
      <w:r>
        <w:rPr>
          <w:rFonts w:ascii="arial" w:eastAsia="arial" w:hAnsi="arial" w:cs="arial"/>
          <w:sz w:val="20"/>
          <w:lang w:val="en-US" w:eastAsia="en-US" w:bidi="ar-SA"/>
        </w:rPr>
        <w:cr/>
      </w:r>
    </w:p>
    <w:p>
      <w:pPr>
        <w:numPr>
          <w:numId w:val="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been rendered less capable overall from earning income from all types of employment;</w:t>
      </w:r>
    </w:p>
    <w:p>
      <w:pPr>
        <w:numPr>
          <w:numId w:val="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marketable or attractive as an employee to potential employers;</w:t>
      </w:r>
    </w:p>
    <w:p>
      <w:pPr>
        <w:numPr>
          <w:numId w:val="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lost the ability to take advantage of all job opportunities which might otherwise have been open to him, had he not been injured; and</w:t>
      </w:r>
    </w:p>
    <w:p>
      <w:pPr>
        <w:numPr>
          <w:numId w:val="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valuable to himself as a person capable of earning income in a competitive labour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The plaintiff also relies upon the Reasons of the court in </w:t>
      </w:r>
      <w:r>
        <w:rPr>
          <w:rFonts w:ascii="arial" w:eastAsia="arial" w:hAnsi="arial" w:cs="arial"/>
          <w:b/>
          <w:i/>
          <w:color w:val="000000"/>
          <w:sz w:val="20"/>
          <w:lang w:val="en-US" w:eastAsia="en-US" w:bidi="ar-SA"/>
        </w:rPr>
        <w:t>Palmer v. Goodall</w:t>
      </w:r>
      <w:r>
        <w:rPr>
          <w:rFonts w:ascii="arial" w:eastAsia="arial" w:hAnsi="arial" w:cs="arial"/>
          <w:color w:val="000000"/>
          <w:sz w:val="20"/>
          <w:lang w:val="en-US" w:eastAsia="en-US" w:bidi="ar-SA"/>
        </w:rPr>
        <w:t xml:space="preserve">, </w:t>
      </w:r>
      <w:hyperlink r:id="rId82" w:history="1">
        <w:r>
          <w:rPr>
            <w:rFonts w:ascii="arial" w:eastAsia="arial" w:hAnsi="arial" w:cs="arial"/>
            <w:i/>
            <w:color w:val="0077CC"/>
            <w:sz w:val="20"/>
            <w:u w:val="single"/>
            <w:shd w:val="clear" w:color="auto" w:fill="FFFFFF"/>
            <w:lang w:val="en-US" w:eastAsia="en-US" w:bidi="ar-SA"/>
          </w:rPr>
          <w:t>[1991] B.C.J. No. 16</w:t>
        </w:r>
      </w:hyperlink>
      <w:r>
        <w:rPr>
          <w:rFonts w:ascii="arial" w:eastAsia="arial" w:hAnsi="arial" w:cs="arial"/>
          <w:color w:val="000000"/>
          <w:sz w:val="20"/>
          <w:lang w:val="en-US" w:eastAsia="en-US" w:bidi="ar-SA"/>
        </w:rPr>
        <w:t xml:space="preserve"> (C.A.) where, at p. 15, Madam Justice Southin says: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Because it is impairment that is being redressed, even a plaintiff who is apparently going to be able to earn as much as he could have earned if not injured or who, with retraining, on the balance of probabilities will be able to do so, is entitled to some compensation for the impairment. He is entitled to it because for the rest of his life some occupations will be closed to him and it is impossible to say that over his working life the impairment will not harm his income earning 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The defendants rely upon the evidence given by Dr. Wallace during the cross-examination that the plaintiff has made some risky vocational choices in declining to pursue apprenticeship or further education. These choices, they say, are not the fault of the defendants, and these choices are the cause of the plaintiff's limited opportunities. They also emphasize that Dr. Wallace in his testing of the plaintiff found her to be intelligent and capable of successfully pursuing a university degree. Ms. Cam is interested in pursuing a career in business administration and has every prospect of completing such a program successfully. The result will likely be that her prospective earnings will dramatically increase over what she might otherwise have expected without journeyman's papers as an auto mechanic or auto body repairer. Considering all the factors set out in </w:t>
      </w:r>
      <w:r>
        <w:rPr>
          <w:rFonts w:ascii="arial" w:eastAsia="arial" w:hAnsi="arial" w:cs="arial"/>
          <w:b/>
          <w:i/>
          <w:color w:val="000000"/>
          <w:sz w:val="20"/>
          <w:lang w:val="en-US" w:eastAsia="en-US" w:bidi="ar-SA"/>
        </w:rPr>
        <w:t>Brown v. Golaiy</w:t>
      </w:r>
      <w:r>
        <w:rPr>
          <w:rFonts w:ascii="arial" w:eastAsia="arial" w:hAnsi="arial" w:cs="arial"/>
          <w:color w:val="000000"/>
          <w:sz w:val="20"/>
          <w:lang w:val="en-US" w:eastAsia="en-US" w:bidi="ar-SA"/>
        </w:rPr>
        <w:t xml:space="preserve">, and having regard to Madam Justice Southin's observations in </w:t>
      </w:r>
      <w:r>
        <w:rPr>
          <w:rFonts w:ascii="arial" w:eastAsia="arial" w:hAnsi="arial" w:cs="arial"/>
          <w:b/>
          <w:i/>
          <w:color w:val="000000"/>
          <w:sz w:val="20"/>
          <w:lang w:val="en-US" w:eastAsia="en-US" w:bidi="ar-SA"/>
        </w:rPr>
        <w:t>Palmer v. Goodall</w:t>
      </w:r>
      <w:r>
        <w:rPr>
          <w:rFonts w:ascii="arial" w:eastAsia="arial" w:hAnsi="arial" w:cs="arial"/>
          <w:color w:val="000000"/>
          <w:sz w:val="20"/>
          <w:lang w:val="en-US" w:eastAsia="en-US" w:bidi="ar-SA"/>
        </w:rPr>
        <w:t>, I fix the plaintiff's damages for impairment of her earning capacity at $75,000.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The plaintiff also seeks compensation for the cost of future care and loss of housekeeping capacity. Her aunt gave evidence on all the difficulty that Ms. Cam has in doing normal household chores: washing dishes, vacuuming, cleaning floors, making beds, doing laundry, and so forth. She also describes the difficulty Ms. Cam has in looking after her person. In order for the plaintiff to succeed, she must demonstrate on the medical evidence that the proposed expenditures are medically justified and reasonable. This means that the plaintiff must show that there is a medical basis upon which to conclude that the proposed cost will help to promote the plaintiff's mental and physical health. To meet the test of reasonableness, the proposed expenditure should be very reasonably necessary in the context of the plaintiff's proven specific limitations. Overall, the award must be moderate and fair to both parties. The defendants say that the items proposed by Ms. Zilkie are broader than those within the scope of Madam Justice Sinclair Prowse's findings in </w:t>
      </w:r>
      <w:r>
        <w:rPr>
          <w:rFonts w:ascii="arial" w:eastAsia="arial" w:hAnsi="arial" w:cs="arial"/>
          <w:b/>
          <w:i/>
          <w:color w:val="000000"/>
          <w:sz w:val="20"/>
          <w:lang w:val="en-US" w:eastAsia="en-US" w:bidi="ar-SA"/>
        </w:rPr>
        <w:t>Agar v. Morgan</w:t>
      </w:r>
      <w:r>
        <w:rPr>
          <w:rFonts w:ascii="arial" w:eastAsia="arial" w:hAnsi="arial" w:cs="arial"/>
          <w:color w:val="000000"/>
          <w:sz w:val="20"/>
          <w:lang w:val="en-US" w:eastAsia="en-US" w:bidi="ar-SA"/>
        </w:rPr>
        <w:t xml:space="preserve">, </w:t>
      </w:r>
      <w:hyperlink r:id="rId83" w:history="1">
        <w:r>
          <w:rPr>
            <w:rFonts w:ascii="arial" w:eastAsia="arial" w:hAnsi="arial" w:cs="arial"/>
            <w:i/>
            <w:color w:val="0077CC"/>
            <w:sz w:val="20"/>
            <w:u w:val="single"/>
            <w:shd w:val="clear" w:color="auto" w:fill="FFFFFF"/>
            <w:lang w:val="en-US" w:eastAsia="en-US" w:bidi="ar-SA"/>
          </w:rPr>
          <w:t>[2003] B.C.J. No. 940</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 find it unlikely that surgical intervention will either be necessary or desirable to address the disc herniation that I have found to be a result of the third accident. There will, however, doubtlessly be medical care, as well as medications and supplies, medially justified and reasonable on the evidence. I am not convinced that occupational therapy is, on the medical evidence before me, justified and reasonable to promote Ms. Cam's mental and physical health. I do find that a gym pass and the assistance of a personal trainer will assist her in the future as it has in the past. That, according to Ms. Zilkie, has a cost of $400 per year. I do not find that the other equipment needs, as described by Ms. Zilkie, on the medical evidence, are justified and reasonable. Similarly, there is no evidence that the plaintiff has or will likely incur home maintenance services, and I therefore reject that claim. With regard to moving assistance, that seems to me a remote prospect and, on the medical evidence, not one that will be reasonably beneficial to the plaintiff. I do find that housekeeping services are medically justified and reasonable, and it will improve the mental and physical health of the plaintiff in the future. This, according to Ms. Zilkie, has an annual cost of $520 to age 50 and $1,040 thereafter. I find that the annual cost of these expenses will be $900 to age 50 and $1,500 thereafter. Being guided by the tables of Dr. Young, I assess the cost of future care to be $30,000.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 also find that the claim for special damages has been made, and those are awarded as claimed.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Counsel have requested to speak to costs following the pronouncement of my judgment, and they may arrange to do so by contacting the trial coordinator's office in the ordinary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BROOKE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48" style="position:absolute;z-index:25181593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4"/>
          <w:headerReference w:type="default" r:id="rId85"/>
          <w:footerReference w:type="even" r:id="rId86"/>
          <w:footerReference w:type="default" r:id="rId87"/>
          <w:headerReference w:type="first" r:id="rId88"/>
          <w:footerReference w:type="first" r:id="rId8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0" w:history="1">
        <w:r>
          <w:rPr>
            <w:rFonts w:ascii="arial" w:eastAsia="arial" w:hAnsi="arial" w:cs="arial"/>
            <w:b/>
            <w:bCs/>
            <w:i/>
            <w:color w:val="0077CC"/>
            <w:kern w:val="32"/>
            <w:sz w:val="28"/>
            <w:szCs w:val="32"/>
            <w:u w:val="single"/>
            <w:shd w:val="clear" w:color="auto" w:fill="FFFFFF"/>
            <w:lang w:val="en-US" w:eastAsia="en-US" w:bidi="ar-SA"/>
          </w:rPr>
          <w:t>Ceperkovic v. MacDonald, [2016] B.C.J. No. 1075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J.R. Dillon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9-11,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25,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Dockets: M115103, M130039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[2016] B.C.J. No. 1075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2016 BCSC 939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Linda Ceperkovic, Plaintiff, and Francis Cameron MacDonald and Janet MacDonald, Defendants And between Randolph Michael Patriquin, Plaintiff,and Francis Cameron MacDonald, Janet Lynn MacDonald, Linda Kathleen Ceperkovic, VW Credit Canada, Inc. and Credit VW Canada, Inc.,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49" style="position:absolute;z-index:2516633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1" w:name="Keywords_4"/>
      <w:bookmarkEnd w:id="31"/>
      <w:r>
        <w:rPr>
          <w:rFonts w:ascii="arial" w:eastAsia="arial" w:hAnsi="arial" w:cs="arial"/>
          <w:b/>
          <w:color w:val="000000"/>
          <w:sz w:val="20"/>
          <w:lang w:val="en-US" w:eastAsia="en-US" w:bidi="ar-SA"/>
        </w:rPr>
        <w:t>Civil litigation — Civil procedure — Costs — Particular orders — Particular items — Determination of costs — Bus driver was awarded double costs for trial preparation, attendance and written argument — MacDonald and Ceperkovic vehicles collided, causing former to swerve across intersection into bus that was stopped at red light — In reply to notice to admit, MacDonald refused to admit that bus was stopped — MacDonald's failure to admit that bus was stopped was unreasonable — Bus driver would not have had to lead evidence or cross-examine had fact not been denied.</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vehicles — Determination of costs — Bus driver was awarded double costs for trial preparation, attendance and written argument — MacDonald and Ceperkovic vehicles collided, causing former to swerve across intersection into bus that was stopped at red light — In reply to notice to admit, MacDonald refused to admit that bus was stopped — MacDonald's failure to admit that bus was stopped was unreasonable — Bus driver would not have had to lead evidence or cross-examine had fact not been denied.</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Practice and procedure — Costs — Determination of costs — Bus driver was awarded double costs for trial preparation, attendance and written argument — MacDonald and Ceperkovic vehicles collided, causing former to swerve across intersection into bus that was stopped at red light — In reply to notice to admit, MacDonald refused to admit that bus was stopped — MacDonald's failure to admit that bus was stopped was unreasonable — Bus driver would not have had to lead evidence or cross-examine had fact not been denied.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2" w:name="Case Summary_4"/>
            <w:bookmarkEnd w:id="3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Determination of liability for a motor vehicle accident and of costs. The MacDonald and Ceperkovic vehicles collided, causing the former to swerve across an intersection and into a bus that was stopped at a red light. The primary issue was which of MacDonald and Ceperkovic had the green light. In a reply to notice to admit, MacDonald refused to admit that the bus was stopped.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3" w:name="Holdings of Court_2"/>
            <w:bookmarkEnd w:id="33"/>
            <w:r>
              <w:rPr>
                <w:rFonts w:ascii="arial" w:eastAsia="arial" w:hAnsi="arial" w:cs="arial"/>
                <w:color w:val="000000"/>
                <w:sz w:val="20"/>
                <w:lang w:val="en-US" w:eastAsia="en-US" w:bidi="ar-SA"/>
              </w:rPr>
              <w:t>HELD: MacDonald was 100 per cent liable for the accident; Ceperkovic was awarded costs on Scale B and the bus driver was awarded double costs for trial preparation, attendance and written argument and ordinary costs on Scale B for time spent preparing for testimony.</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Based on the evidence of a senior traffic operations engineer about the light sequencing at the intersection, it was not possible that MacDonald had a green light. He basically ran the light and failed to stop when it turned red. His failure to admit that the bus was stopped was unreasonable. He testified that the bus was stopped. The bus driver would not have had to lead any evidence or cross-examine had that fact not been denied.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4" w:name="Legislation Cited_2"/>
      <w:bookmarkEnd w:id="3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50" style="position:absolute;z-index:2517145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Alberta Rules of Court, </w:t>
      </w:r>
      <w:hyperlink r:id="rId91" w:history="1">
        <w:r>
          <w:rPr>
            <w:rFonts w:ascii="arial" w:eastAsia="arial" w:hAnsi="arial" w:cs="arial"/>
            <w:i/>
            <w:color w:val="0077CC"/>
            <w:sz w:val="20"/>
            <w:u w:val="single"/>
            <w:shd w:val="clear" w:color="auto" w:fill="FFFFFF"/>
            <w:lang w:val="en-US" w:eastAsia="en-US" w:bidi="ar-SA"/>
          </w:rPr>
          <w:t>Alta. Reg. 124/2010, Rule 6.37</w:t>
        </w:r>
      </w:hyperlink>
      <w:r>
        <w:rPr>
          <w:rFonts w:ascii="arial" w:eastAsia="arial" w:hAnsi="arial" w:cs="arial"/>
          <w:color w:val="000000"/>
          <w:sz w:val="20"/>
          <w:lang w:val="en-US" w:eastAsia="en-US" w:bidi="ar-SA"/>
        </w:rPr>
        <w:t>, Rule 10.33(2)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Civil Procedure Rules (NS), Rule 20, Rule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Federal Courts Rules, </w:t>
      </w:r>
      <w:r>
        <w:rPr>
          <w:rFonts w:ascii="arial" w:eastAsia="arial" w:hAnsi="arial" w:cs="arial"/>
          <w:i/>
          <w:color w:val="000000"/>
          <w:sz w:val="20"/>
          <w:lang w:val="en-US" w:eastAsia="en-US" w:bidi="ar-SA"/>
        </w:rPr>
        <w:t>S.O.R./98-106</w:t>
      </w:r>
      <w:r>
        <w:rPr>
          <w:rFonts w:ascii="arial" w:eastAsia="arial" w:hAnsi="arial" w:cs="arial"/>
          <w:color w:val="000000"/>
          <w:sz w:val="20"/>
          <w:lang w:val="en-US" w:eastAsia="en-US" w:bidi="ar-SA"/>
        </w:rPr>
        <w:t>, Rules 255-256, Rule 400(3)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Motor Vehicle Act, </w:t>
      </w:r>
      <w:hyperlink r:id="rId92" w:history="1">
        <w:r>
          <w:rPr>
            <w:rFonts w:ascii="arial" w:eastAsia="arial" w:hAnsi="arial" w:cs="arial"/>
            <w:i/>
            <w:color w:val="0077CC"/>
            <w:sz w:val="20"/>
            <w:u w:val="single"/>
            <w:shd w:val="clear" w:color="auto" w:fill="FFFFFF"/>
            <w:lang w:val="en-US" w:eastAsia="en-US" w:bidi="ar-SA"/>
          </w:rPr>
          <w:t>R.S.B.C. 1996, c. 318, s. 125</w:t>
        </w:r>
      </w:hyperlink>
      <w:r>
        <w:rPr>
          <w:rFonts w:ascii="arial" w:eastAsia="arial" w:hAnsi="arial" w:cs="arial"/>
          <w:color w:val="000000"/>
          <w:sz w:val="20"/>
          <w:lang w:val="en-US" w:eastAsia="en-US" w:bidi="ar-SA"/>
        </w:rPr>
        <w:t>, s. 129, s. 144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Rules, Rule 7-7, Rule 7-7(2), Rule 7-7(2)(c), Rule 7-7(4), Rule 7-7(6)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Rules of Civil Procedure (PEI), Rule 51, Rule 51.04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Rules of Civil Procedure, R.R.O. 1990, Reg. 194, Rule 51, Rule 51.04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Rules of Court, </w:t>
      </w:r>
      <w:r>
        <w:rPr>
          <w:rFonts w:ascii="arial" w:eastAsia="arial" w:hAnsi="arial" w:cs="arial"/>
          <w:i/>
          <w:color w:val="000000"/>
          <w:sz w:val="20"/>
          <w:lang w:val="en-US" w:eastAsia="en-US" w:bidi="ar-SA"/>
        </w:rPr>
        <w:t>N.B. Reg. 82-73, Rule 51</w:t>
      </w:r>
      <w:r>
        <w:rPr>
          <w:rFonts w:ascii="arial" w:eastAsia="arial" w:hAnsi="arial" w:cs="arial"/>
          <w:color w:val="000000"/>
          <w:sz w:val="20"/>
          <w:lang w:val="en-US" w:eastAsia="en-US" w:bidi="ar-SA"/>
        </w:rPr>
        <w:t>, Rule 51.03(2)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Rules of Court, </w:t>
      </w:r>
      <w:r>
        <w:rPr>
          <w:rFonts w:ascii="arial" w:eastAsia="arial" w:hAnsi="arial" w:cs="arial"/>
          <w:i/>
          <w:color w:val="000000"/>
          <w:sz w:val="20"/>
          <w:lang w:val="en-US" w:eastAsia="en-US" w:bidi="ar-SA"/>
        </w:rPr>
        <w:t>Y.O.I.C. 2009/65</w:t>
      </w:r>
      <w:r>
        <w:rPr>
          <w:rFonts w:ascii="arial" w:eastAsia="arial" w:hAnsi="arial" w:cs="arial"/>
          <w:color w:val="000000"/>
          <w:sz w:val="20"/>
          <w:lang w:val="en-US" w:eastAsia="en-US" w:bidi="ar-SA"/>
        </w:rPr>
        <w:t>, Part 2, Rule 31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Rules of the Supreme Court, 1986, S.N.L. 1986, c. 42, Sch. D, Rule 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Rules of the Supreme Court of the Northwest Territories, </w:t>
      </w:r>
      <w:hyperlink r:id="rId93" w:history="1">
        <w:r>
          <w:rPr>
            <w:rFonts w:ascii="arial" w:eastAsia="arial" w:hAnsi="arial" w:cs="arial"/>
            <w:i/>
            <w:color w:val="0077CC"/>
            <w:sz w:val="20"/>
            <w:u w:val="single"/>
            <w:shd w:val="clear" w:color="auto" w:fill="FFFFFF"/>
            <w:lang w:val="en-US" w:eastAsia="en-US" w:bidi="ar-SA"/>
          </w:rPr>
          <w:t>N.W.T. Reg. 010-96, Rule 294</w:t>
        </w:r>
      </w:hyperlink>
      <w:r>
        <w:rPr>
          <w:rFonts w:ascii="arial" w:eastAsia="arial" w:hAnsi="arial" w:cs="arial"/>
          <w:color w:val="000000"/>
          <w:sz w:val="20"/>
          <w:lang w:val="en-US" w:eastAsia="en-US" w:bidi="ar-SA"/>
        </w:rPr>
        <w:t>, Rule 294(4)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Rules of the Supreme Court of the Northwest Territories, N.W.T. Reg. (Nu.) 010-96, Rule 294, Rule 294(4)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Queen's Bench Rules (Saskatchewan), Rule 6-51, Rule 6-51(2)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Queen's Bench Rules, </w:t>
      </w:r>
      <w:r>
        <w:rPr>
          <w:rFonts w:ascii="arial" w:eastAsia="arial" w:hAnsi="arial" w:cs="arial"/>
          <w:i/>
          <w:color w:val="000000"/>
          <w:sz w:val="20"/>
          <w:lang w:val="en-US" w:eastAsia="en-US" w:bidi="ar-SA"/>
        </w:rPr>
        <w:t>Man. Reg. 553/88, Rule 51</w:t>
      </w:r>
      <w:r>
        <w:rPr>
          <w:rFonts w:ascii="arial" w:eastAsia="arial" w:hAnsi="arial" w:cs="arial"/>
          <w:color w:val="000000"/>
          <w:sz w:val="20"/>
          <w:lang w:val="en-US" w:eastAsia="en-US" w:bidi="ar-SA"/>
        </w:rPr>
        <w:t>, Rule 51.04</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5" w:name="Counsel_4"/>
      <w:bookmarkEnd w:id="35"/>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51" style="position:absolute;z-index:2517657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Ceperkovic (M115103): K.L. Simon.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MacDonald Defendants: D.G. Perry, J. Mehat-Gill.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Plaintiff Patriquin: J. Brun.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Ceperkovic, VW Credit Canada, Inc. and Credit VW Canada, Inc. (M130039): D. Fiorvento.</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6" w:name="Judgment_4"/>
      <w:bookmarkEnd w:id="36"/>
      <w:r>
        <w:pict>
          <v:line id="_x0000_s1052" style="position:absolute;z-index:251816960"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A correction was released by the Court June 14, 2016; the change has been made to the text and the correction has been appended to this document.]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7" w:name="J.R. DILLON J."/>
            <w:bookmarkEnd w:id="37"/>
            <w:r>
              <w:rPr>
                <w:rFonts w:ascii="arial" w:eastAsia="arial" w:hAnsi="arial" w:cs="arial"/>
                <w:b/>
                <w:color w:val="000000"/>
                <w:sz w:val="30"/>
                <w:lang w:val="en-US" w:eastAsia="en-US" w:bidi="ar-SA"/>
              </w:rPr>
              <w:t>J.R. DILLON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These actions arise from a motor vehicle accident that occurred at about 10:00 a.m. on May 20, 2011 at the intersection of the Mary Hill Bypass and Shaughnessy Street (the "intersection") in Port Coquitlam, British Columbia (the "accident"). By case plan order of December 17, 2015, liability in both actions is to be decided in this trial and evidence admitted for purposes of one trial is also admitted for purposes of the other, subject to the direction of the trial judge. Quantum of damage in both actions is to be tried separate from this trial. A third action (Vancouver Registry No. M113685), initiated by Francis MacDonald against Linda Ceperkovic and VW Credit Canada Inc., was discontinued in November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accident involved three vehicles: a black Volkswagen operated by the plaintiff (defendant in the Patriquin action), Linda Ceperkovic ("Ceperkovic") and leased from the defendant VW Credit Canada Inc. (the "Ceperkovic vehicle"), a white Pontiac operated by the defendant, Francis MacDonald ("MacDonald"), and owned by the defendant, Janet MacDonald (the "MacDonald vehicle"), and a transit bus operated by the plaintiff, Randolph Patriquin ("Patriquin"), and owned by his employer, Coast Mountain Bus Company (the "transit bus"). There were two impacts: first, between the Ceperkovic vehicle and the MacDonald vehicle and, second, between the MacDonald vehicle and the transit bus.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There was no issue in this trial that the transit bus was stopped at a red light and was in the eastbound left turn lane of the Mary Hill Bypass when it was struck by the MacDonald vehicle, which had been proceeding west on the Mary Hill Bypass. The MacDonald and Ceperkovic vehicles had collided, causing the MacDonald vehicle to swerve across the intersection and into the stationary transit bus. The primary issue in this trial is: which of Ceperkovic or MacDonald had the red light? Or, who had the green light?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Ceperkovic was travelling southbound on Shaughnessy Street headed to her home about a kilometre from the Mary Hill Bypass intersection around 10:00 a.m. on May 20, 2011. She was not in a rush. Shaughnessy Street southbound has one through lane and a left turn lane. On this bright spring day, traffic was light on Shaughnessy Street but the Mary Hill Bypass, a major route, was typically busy. The Mary Hill Bypass has two through lanes and one left turn lane in both directions. Some distance before the intersection, there are signs that read "prepare to stop" and have flashing amber lights to warn drivers on the Mary Hill Bypass that they may be required to stop at the intersection with Shaughnessy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As Ceperkovic approached the intersection from about 10 car lengths back, she noticed that the light was red and she slowed to a complete stop just prior to the stop line across the southbound through lane. She observed a large delivery truck in the westbound curb lane of the Mary Hill Bypass, a vehicle behind that truck, no other vehicles in the other Mary Hill Bypass westbound lanes, a transit bus in the eastbound left turn lane of the Mary Hill Bypass, a vehicle behind the bus, a vehicle in the eastbound through lane of the Mary Hill Bypass next to the transit bus, and no vehicles headed northbound on Shaughnessy Street. All of the vehicles on the Mary Hill Bypass had come to a stop. She would have observed any other vehicles that had stopped at the intersection as her acuity and memory were both good. Ceperkovic remained stopped for the full sequence of lights.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Ceperkovic was familiar with the lights at the intersection. Her recollection coincides with the traffic controller's evidence about the lights. There is no advance green for left turning vehicles on Shaughnessy Street. Traffic headed westbound on the Mary Hill Bypass is controlled by a three light fixture for through traffic and a separate light on the median for left turning vehicles. The green light for the Mary Hill Bypass lasts longer than the green light for Shaughnessy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Ceperkovic testified that the light turned green for her after she had waited out the sequence. She scanned the intersection. The transit bus remained stopped. She had started to proceed when a motorcycle headed eastbound on the Mary Hill Bypass whizzed through the intersection, causing her to stop within the cross-walk area. She scanned the intersection again and then proceeded cautiously, having already been cautioned by the motorcycle going through on a red light. The eastbound bus and car and the westbound truck on the Mary Hill Bypass remained stopped. Ceperkovic said that the light remained green for her and she proceeded slowly through the intersection. It was not suggested to her in cross-examination that the light had been red when she proceeded into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Ceperkovic said that she then suddenly saw a white blur and braked but was hit by the MacDonald vehicle. The Ceperkovic vehicle was struck near the left front tire. The Ceperkovic vehicle did not travel very far before coming to a stop. Ceperkovic's impression was that the MacDonald vehicle was travelling very fast. Ceperkovic saw the MacDonald vehicle hit the left turn light standard but did not see the impact with the transit bus. No other vehicles had proceeded westbound or eastbound through the intersection prior to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Patriquin had been working as a transit operator for 27 years at the time of the accident. He was very familiar with the intersection. As he approached Shaughnessy Street headed eastbound on the Mary Hill Bypass, he pulled into the left turn lane to turn onto Shaughnessy Street. He noticed the left turn lane light go red and brought his transit bus to a stop at the stop line. He heard a loud sound like a motorcycle and turned his head to the right. Then, there was a crash as a car hit his bus. The light had remained red for him throughout this time. He did not know how the collision occurred, had not seen the motorcycle, and was not aware of the first collision. He was not cross-examined about his bus being fully stopped at a red light when the MacDonald vehicle crashed into the transit bus.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David Ironside ("Ironside") was the driver of the vehicle that was stopped in the eastbound through lane of the Mary Hill Bypass beside the transit bus. He had seen the amber "prepare to stop" lights flashing and passed a motorcycle before coming to a full stop at the red light. The bus was also stopped. Ironside said that the motorcycle then went straight through the red light. He thought: "Holy crap! [The motorcycle] blew through a solid red light! ... He came out of nowhere and blew right through it". Then, he heard a collision. A vehicle came in his direction and hit the bus. Ironside thought: "Good thing the bus was there because it would've hit my car". Ironside testified that the light was red for eastbound traffic when he heard the collision. The transit bus had not moved except from the impact. Ironside gave his contact information to the bus driver. His testimony was not seriously contested and is accepted.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On the basis of all of this evidence alone, it could be concluded that the MacDonald vehicle probably went through a red light on the assumption that the eastbound and westbound lights on the Mary Hill Bypass are synchronized. But there is then the testimony of MacDonald and Janet MacDonald to consider.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MacDonald and Janet MacDonald were on their way to grandparents' day at a school in West Vancouver from their home in Maple Ridge. MacDonald was travelling in the left westbound through lane of the Mary Hill Bypass. He noticed that a truck was stopped in the other westbound through lane to his right and that the light was red. Other cars were behind the truck and MacDonald saw a transit bus in the eastbound turn lane. He noticed no other vehicles at the intersection. MacDonald did not notice the advance warning flashing amber light before the intersection. He did not notice a motorcycle pass through the intersection. MacDonald said that he started to slow down but the light turned green when he was about two or three car lengths away from the intersection. He had been going "about 70" kilometres per hour when he started to slow down. MacDonald proceeded past the stopped vehicles to his right and into the intersection. He testified that he was being careful because he had to see "around the hood of the truck" to his right. He saw another car come across the cross-walk to his right, thought "what are they doing?", looked to see the green light, and then the car hit him. He testified that the Ceperkovic vehicle was travelling "flat out", "at high speed", with the "pedal to the metal" and took no evasive action whatsoever. He said that the Ceperkovic vehicle "ploughed" into the front wheel on the passenger side of his vehicle. The airbags deployed in the MacDonald vehicle and it veered into the transit bus. MacDonald testified both in direct and cross-examination that the bus had remained stopped in the left eastbound turn lane throughout.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MacDonald agreed that his recollection was not good. He also agreed that his vision was impaired by a cataract. He would not agree until his discovery was put to him in cross-examination that he could not read street signs and "could not recall" if he had problems seeing at a distance at the time of the accident. He said that he "probably" had "slowed to 50" and "probably" was six or eight car lengths from the intersection when the light was red. However, he also said that he could not recall his speed when the light turned green and that he intended to stop. In a statement to police on the day of the accident, MacDonald said that he had come to a full stop at a red light at Shaughnessy Street before the light turned green and he proceeded. In explanation for the contradiction in his evidence, MacDonald said that he "probably" was on painkillers by the time he gave his statement and that he had come to a stop "if only for a beat". He acknowledged that he was fully in the intersection before he saw the Ceperkovic vehicle. He denied that the Ceperkovic vehicle had the green light.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Janet MacDonald was doing a Sudoku puzzle in the front passenger seat of the MacDonald vehicle at the time of the accident. Her practice was to memorize the numbers that she had worked out while the car was in motion and then write down the numbers when the light was red. She was not paying attention to the traffic but did notice the truck stopped to her right. She testified that she was aware that the car slowed down as they approached the intersection and she saw the red light. She was getting ready to fill in the numbers but MacDonald "picked up". Janet MacDonald said that she noticed the light was green and said that MacDonald never did stop. They had just cleared the truck when the first impact occurred. Janet MacDonald did not see the Ceperkovic vehicle prior to impact. She did not see the collision but felt it. The airbags deployed and the next thing she saw was the grill of the bus.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Janet MacDonald admitted that she was not really looking or paying attention to traffic. She was too busy going over the Sudoku numbers. She did not notice the advance flashing yellow lights. She sensed the red light from the movement of the car. She had told police that their vehicle had come to a full stop at the red light but acknowledged in cross-examination that the vehicle had never come to a full stop before proceeding into the intersection. She could not recall whether she was still looking over the numbers when MacDonald yelled and the first impact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From all of this evidence, it is certain that Patriquin and Ironside had stopped their vehicles for a red light on the Mary Hill Bypass. It is also certain that neither saw a green light to allow them to proceed into the intersection before the accident occurred. There is no issue that the traffic lights were functioning properly on May 20,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Graham Cross is the senior traffic operations engineer in charge of all traffic operations for the south coast region for the provincial Department of Transport. He detailed in evidence the operation of the traffic signals at the intersection and how the loops imbedded into the pavement detect the flow of traffic. He explained the signal sequences which were set out in his report. The default position is green for the Mary Hill Bypass unless or until there is a call or demand by vehicles on Shaughnessy Street. There is no phase where both southbound traffic on Shaughnessy Street and westbound traffic on the Mary Hill Bypass have a green light. Based upon the positions of the vehicles as determined in evidence, Mr. Cross established that MacDonald could only have had a green light if Ironside had a green light and the transit bus had a red light. If the transit bus and the Ironside vehicle both had green lights, then the MacDonald vehicle would have had a red light. If the Ceperkovic vehicle had a green light, then the westbound MacDonald vehicle would have had a red light. If the bus was stopped at the red light and if the Ceperkovic vehicle was stopped in the through lane, then both would have had priority over the westbound MacDonald vehicle for a green light. The Ceperkovic vehicle would have had priority over the transit bus. Based upon the situation of all of the vehicles and the evidence from Mr. Cross of the light sequencing, and accepting that Ironside and Patriquin had red lights, it is not possible that the MacDonald vehicle had a green light.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all of the circumstances and given the preponderance of the evidence and the frailties of the evidence of MacDonald and Janet MacDonald, the only conclusion is that MacDonald did not have the green light. He was mistaken and could not have seen the westbound light on the Mary Hill Bypass change from red to green. Ceperkovic had the green light and proceeded accordingly.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Ceperkovic also took reasonable care in all of the circumstances to look out for her own and others' safety. She noticed the motorcycle and slowed down even though she had the green light. She then proceeded cautiously. It is concluded that MacDonald basically ran the light and failed to stop when the light turned 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MacDonald entered the intersection on a red light. This caused the collision with the Ceperkovic vehicle, which had the right of way, and then caused the MacDonald vehicle to crash into the transit bus that remained stationary at the red light throughout this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By failing to stop at a red light, MacDonald breached sections 125, 129 and 144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R.S.B.C.1996, c. 318</w:t>
      </w:r>
      <w:r>
        <w:rPr>
          <w:rFonts w:ascii="arial" w:eastAsia="arial" w:hAnsi="arial" w:cs="arial"/>
          <w:color w:val="000000"/>
          <w:sz w:val="20"/>
          <w:lang w:val="en-US" w:eastAsia="en-US" w:bidi="ar-SA"/>
        </w:rPr>
        <w:t>. However, no statute is necessary for the general proposition that a vehicle entering a controlled intersection with a green light has the right of way over vehicles facing the red light (</w:t>
      </w:r>
      <w:r>
        <w:rPr>
          <w:rFonts w:ascii="arial" w:eastAsia="arial" w:hAnsi="arial" w:cs="arial"/>
          <w:i/>
          <w:color w:val="000000"/>
          <w:sz w:val="20"/>
          <w:lang w:val="en-US" w:eastAsia="en-US" w:bidi="ar-SA"/>
        </w:rPr>
        <w:t>Haczewski v. British Columbia</w:t>
      </w:r>
      <w:r>
        <w:rPr>
          <w:rFonts w:ascii="arial" w:eastAsia="arial" w:hAnsi="arial" w:cs="arial"/>
          <w:color w:val="000000"/>
          <w:sz w:val="20"/>
          <w:lang w:val="en-US" w:eastAsia="en-US" w:bidi="ar-SA"/>
        </w:rPr>
        <w:t xml:space="preserve">, </w:t>
      </w:r>
      <w:hyperlink r:id="rId94" w:history="1">
        <w:r>
          <w:rPr>
            <w:rFonts w:ascii="arial" w:eastAsia="arial" w:hAnsi="arial" w:cs="arial"/>
            <w:i/>
            <w:color w:val="0077CC"/>
            <w:sz w:val="20"/>
            <w:u w:val="single"/>
            <w:shd w:val="clear" w:color="auto" w:fill="FFFFFF"/>
            <w:lang w:val="en-US" w:eastAsia="en-US" w:bidi="ar-SA"/>
          </w:rPr>
          <w:t>2012 BCSC 380</w:t>
        </w:r>
      </w:hyperlink>
      <w:r>
        <w:rPr>
          <w:rFonts w:ascii="arial" w:eastAsia="arial" w:hAnsi="arial" w:cs="arial"/>
          <w:color w:val="000000"/>
          <w:sz w:val="20"/>
          <w:lang w:val="en-US" w:eastAsia="en-US" w:bidi="ar-SA"/>
        </w:rPr>
        <w:t xml:space="preserve"> at para. 12). In this circumstance, the vehicle with the right of way has a limited duty of care to drivers who unlawfully proceed on a red light (</w:t>
      </w:r>
      <w:r>
        <w:rPr>
          <w:rFonts w:ascii="arial" w:eastAsia="arial" w:hAnsi="arial" w:cs="arial"/>
          <w:i/>
          <w:color w:val="000000"/>
          <w:sz w:val="20"/>
          <w:lang w:val="en-US" w:eastAsia="en-US" w:bidi="ar-SA"/>
        </w:rPr>
        <w:t>Yick v. Johnson</w:t>
      </w:r>
      <w:r>
        <w:rPr>
          <w:rFonts w:ascii="arial" w:eastAsia="arial" w:hAnsi="arial" w:cs="arial"/>
          <w:color w:val="000000"/>
          <w:sz w:val="20"/>
          <w:lang w:val="en-US" w:eastAsia="en-US" w:bidi="ar-SA"/>
        </w:rPr>
        <w:t xml:space="preserve">, </w:t>
      </w:r>
      <w:hyperlink r:id="rId95" w:history="1">
        <w:r>
          <w:rPr>
            <w:rFonts w:ascii="arial" w:eastAsia="arial" w:hAnsi="arial" w:cs="arial"/>
            <w:i/>
            <w:color w:val="0077CC"/>
            <w:sz w:val="20"/>
            <w:u w:val="single"/>
            <w:shd w:val="clear" w:color="auto" w:fill="FFFFFF"/>
            <w:lang w:val="en-US" w:eastAsia="en-US" w:bidi="ar-SA"/>
          </w:rPr>
          <w:t>2012 BCSC 1485</w:t>
        </w:r>
      </w:hyperlink>
      <w:r>
        <w:rPr>
          <w:rFonts w:ascii="arial" w:eastAsia="arial" w:hAnsi="arial" w:cs="arial"/>
          <w:color w:val="000000"/>
          <w:sz w:val="20"/>
          <w:lang w:val="en-US" w:eastAsia="en-US" w:bidi="ar-SA"/>
        </w:rPr>
        <w:t xml:space="preserve"> at para. 20 (</w:t>
      </w:r>
      <w:r>
        <w:rPr>
          <w:rFonts w:ascii="arial" w:eastAsia="arial" w:hAnsi="arial" w:cs="arial"/>
          <w:i/>
          <w:color w:val="000000"/>
          <w:sz w:val="20"/>
          <w:lang w:val="en-US" w:eastAsia="en-US" w:bidi="ar-SA"/>
        </w:rPr>
        <w:t>Yick</w:t>
      </w:r>
      <w:r>
        <w:rPr>
          <w:rFonts w:ascii="arial" w:eastAsia="arial" w:hAnsi="arial" w:cs="arial"/>
          <w:color w:val="000000"/>
          <w:sz w:val="20"/>
          <w:lang w:val="en-US" w:eastAsia="en-US" w:bidi="ar-SA"/>
        </w:rPr>
        <w:t>)). Ceperkovic's duty in the circumstances was to take all reasonable steps to avoid a collision if, in fact, she saw the MacDonald vehicle (</w:t>
      </w:r>
      <w:r>
        <w:rPr>
          <w:rFonts w:ascii="arial" w:eastAsia="arial" w:hAnsi="arial" w:cs="arial"/>
          <w:i/>
          <w:color w:val="000000"/>
          <w:sz w:val="20"/>
          <w:lang w:val="en-US" w:eastAsia="en-US" w:bidi="ar-SA"/>
        </w:rPr>
        <w:t>Yick</w:t>
      </w:r>
      <w:r>
        <w:rPr>
          <w:rFonts w:ascii="arial" w:eastAsia="arial" w:hAnsi="arial" w:cs="arial"/>
          <w:color w:val="000000"/>
          <w:sz w:val="20"/>
          <w:lang w:val="en-US" w:eastAsia="en-US" w:bidi="ar-SA"/>
        </w:rPr>
        <w:t xml:space="preserve"> at paras. 20-23). Ceperkovic and Patriquin were both entitled to assume that MacDonald would obey the rules of the road (</w:t>
      </w:r>
      <w:r>
        <w:rPr>
          <w:rFonts w:ascii="arial" w:eastAsia="arial" w:hAnsi="arial" w:cs="arial"/>
          <w:i/>
          <w:color w:val="000000"/>
          <w:sz w:val="20"/>
          <w:lang w:val="en-US" w:eastAsia="en-US" w:bidi="ar-SA"/>
        </w:rPr>
        <w:t>Yick</w:t>
      </w:r>
      <w:r>
        <w:rPr>
          <w:rFonts w:ascii="arial" w:eastAsia="arial" w:hAnsi="arial" w:cs="arial"/>
          <w:color w:val="000000"/>
          <w:sz w:val="20"/>
          <w:lang w:val="en-US" w:eastAsia="en-US" w:bidi="ar-SA"/>
        </w:rPr>
        <w:t xml:space="preserve"> at para. 23; </w:t>
      </w:r>
      <w:r>
        <w:rPr>
          <w:rFonts w:ascii="arial" w:eastAsia="arial" w:hAnsi="arial" w:cs="arial"/>
          <w:i/>
          <w:color w:val="000000"/>
          <w:sz w:val="20"/>
          <w:lang w:val="en-US" w:eastAsia="en-US" w:bidi="ar-SA"/>
        </w:rPr>
        <w:t>Salaam v. Abramovic</w:t>
      </w:r>
      <w:r>
        <w:rPr>
          <w:rFonts w:ascii="arial" w:eastAsia="arial" w:hAnsi="arial" w:cs="arial"/>
          <w:color w:val="000000"/>
          <w:sz w:val="20"/>
          <w:lang w:val="en-US" w:eastAsia="en-US" w:bidi="ar-SA"/>
        </w:rPr>
        <w:t xml:space="preserve">, </w:t>
      </w:r>
      <w:hyperlink r:id="rId96" w:history="1">
        <w:r>
          <w:rPr>
            <w:rFonts w:ascii="arial" w:eastAsia="arial" w:hAnsi="arial" w:cs="arial"/>
            <w:i/>
            <w:color w:val="0077CC"/>
            <w:sz w:val="20"/>
            <w:u w:val="single"/>
            <w:shd w:val="clear" w:color="auto" w:fill="FFFFFF"/>
            <w:lang w:val="en-US" w:eastAsia="en-US" w:bidi="ar-SA"/>
          </w:rPr>
          <w:t>2010 BCCA 212</w:t>
        </w:r>
      </w:hyperlink>
      <w:r>
        <w:rPr>
          <w:rFonts w:ascii="arial" w:eastAsia="arial" w:hAnsi="arial" w:cs="arial"/>
          <w:color w:val="000000"/>
          <w:sz w:val="20"/>
          <w:lang w:val="en-US" w:eastAsia="en-US" w:bidi="ar-SA"/>
        </w:rPr>
        <w:t xml:space="preserve"> at para. 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may apply where the plaintiff is "part author of his own injury" (</w:t>
      </w:r>
      <w:r>
        <w:rPr>
          <w:rFonts w:ascii="arial" w:eastAsia="arial" w:hAnsi="arial" w:cs="arial"/>
          <w:i/>
          <w:color w:val="000000"/>
          <w:sz w:val="20"/>
          <w:lang w:val="en-US" w:eastAsia="en-US" w:bidi="ar-SA"/>
        </w:rPr>
        <w:t>Nance v. British Columbia Electric Railway</w:t>
      </w:r>
      <w:r>
        <w:rPr>
          <w:rFonts w:ascii="arial" w:eastAsia="arial" w:hAnsi="arial" w:cs="arial"/>
          <w:color w:val="000000"/>
          <w:sz w:val="20"/>
          <w:lang w:val="en-US" w:eastAsia="en-US" w:bidi="ar-SA"/>
        </w:rPr>
        <w:t xml:space="preserve">, </w:t>
      </w:r>
      <w:hyperlink r:id="rId97" w:history="1">
        <w:r>
          <w:rPr>
            <w:rFonts w:ascii="arial" w:eastAsia="arial" w:hAnsi="arial" w:cs="arial"/>
            <w:i/>
            <w:color w:val="0077CC"/>
            <w:sz w:val="20"/>
            <w:u w:val="single"/>
            <w:shd w:val="clear" w:color="auto" w:fill="FFFFFF"/>
            <w:lang w:val="en-US" w:eastAsia="en-US" w:bidi="ar-SA"/>
          </w:rPr>
          <w:t>[1951] A.C. 601</w:t>
        </w:r>
      </w:hyperlink>
      <w:r>
        <w:rPr>
          <w:rFonts w:ascii="arial" w:eastAsia="arial" w:hAnsi="arial" w:cs="arial"/>
          <w:color w:val="000000"/>
          <w:sz w:val="20"/>
          <w:lang w:val="en-US" w:eastAsia="en-US" w:bidi="ar-SA"/>
        </w:rPr>
        <w:t xml:space="preserve"> at 611, </w:t>
      </w:r>
      <w:hyperlink r:id="rId97" w:history="1">
        <w:r>
          <w:rPr>
            <w:rFonts w:ascii="arial" w:eastAsia="arial" w:hAnsi="arial" w:cs="arial"/>
            <w:i/>
            <w:color w:val="0077CC"/>
            <w:sz w:val="20"/>
            <w:u w:val="single"/>
            <w:shd w:val="clear" w:color="auto" w:fill="FFFFFF"/>
            <w:lang w:val="en-US" w:eastAsia="en-US" w:bidi="ar-SA"/>
          </w:rPr>
          <w:t>[1951] 3 D.L.R. 705</w:t>
        </w:r>
      </w:hyperlink>
      <w:r>
        <w:rPr>
          <w:rFonts w:ascii="arial" w:eastAsia="arial" w:hAnsi="arial" w:cs="arial"/>
          <w:color w:val="000000"/>
          <w:sz w:val="20"/>
          <w:lang w:val="en-US" w:eastAsia="en-US" w:bidi="ar-SA"/>
        </w:rPr>
        <w:t xml:space="preserve"> at 711 (P.C.)). Neither Patriquin nor Ceperkovic fall within this description.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It follows that Francis MacDonald and Janet MacDonald are 100% liable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Costs</w:t>
      </w:r>
      <w:r>
        <w:rPr>
          <w:rFonts w:ascii="arial" w:eastAsia="arial" w:hAnsi="arial" w:cs="arial"/>
          <w:sz w:val="20"/>
          <w:lang w:val="en-US" w:eastAsia="en-US" w:bidi="ar-SA"/>
        </w:rPr>
        <w:cr/>
      </w:r>
    </w:p>
    <w:p>
      <w:pPr>
        <w:numPr>
          <w:numId w:val="68"/>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Ordinary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Ceperkovic sought costs payable on Scale B. Although the MacDonald defendants argued that costs should be in the cause so that the plaintiff would be deprived of her costs and have to await the result of the assessment of quantum of damages, this is contrary to the intent of the order for the separate trial of liability with which the defendants agreed. No discoveries have taken place and no trial dates have been set for assessment of quantum of damages. As the successful party, Ceperkovic is awarded costs on Scale B.</w:t>
      </w:r>
      <w:r>
        <w:rPr>
          <w:rFonts w:ascii="arial" w:eastAsia="arial" w:hAnsi="arial" w:cs="arial"/>
          <w:sz w:val="20"/>
          <w:lang w:val="en-US" w:eastAsia="en-US" w:bidi="ar-SA"/>
        </w:rPr>
        <w:cr/>
      </w:r>
    </w:p>
    <w:p>
      <w:pPr>
        <w:numPr>
          <w:numId w:val="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Additional costs pursuant to Rule 7-7(4)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Patriquin sought an award of double costs against the defendants, MacDonald and Janet MacDonald, for trial preparation, attendance at trial and written argument and an award of ordinary costs for time spent in preparing the plaintiff for testimony. The basis for an award of additional costs was the unreasonable refusal of these defendants to admit the truth of facts as set out in a Notice to Admit pursuant to Rule 7-7(4).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Notice to Admit dated January 7, 2016 read: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FACTS, the admission of which is requested are:</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motor vehicle accident occurred on May 20, 2011 at or near the intersection of Mary Hill Bypass and Shaughnessy Street in Port Coquitlam, BC, involving:</w:t>
      </w:r>
    </w:p>
    <w:p>
      <w:pPr>
        <w:numPr>
          <w:numId w:val="4"/>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 vehicle owned by the Defendant Janet Lynn MacDonald and being driven westbound on Mary Hill Bypass by the Defendant Francis Cameron MacDonald;</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vehicle leased from the Defendant /W Credit Canada Inc. by the Defendant Linda Ceperkovic, and being driven by Linda Ceperkovic southbound on Shaughnessy Street; and</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Coast Mountain Bus being operated by the Plaintiff, Randolph Patriquin, heading eastbound on Mary Hill Bypass ("the Accident").</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time of the Accident, the Plaintiff's bus was stopped for a red light at the said intersection, waiting to make a left-hand turn.</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moment of impact between the Defendants' vehicles, the Plaintiff's bus had not moved from its stopped position.</w:t>
      </w:r>
    </w:p>
    <w:p>
      <w:pPr>
        <w:numPr>
          <w:numId w:val="9"/>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force of impact between the Defendants' vehicles caused the vehicle being driven by the Defendant Francis Cameron MacDonald to collide with the Plaintiff's bus.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The Reply to Notice to Admit for MacDonald and Janet MacDonald dated January 19, 2016 said: "Paragraph 1 is admitted; and Paragraphs 2 to 4 are </w:t>
      </w:r>
      <w:r>
        <w:rPr>
          <w:rFonts w:ascii="arial" w:eastAsia="arial" w:hAnsi="arial" w:cs="arial"/>
          <w:color w:val="000000"/>
          <w:sz w:val="20"/>
          <w:u w:val="single"/>
          <w:lang w:val="en-US" w:eastAsia="en-US" w:bidi="ar-SA"/>
        </w:rPr>
        <w:t>not</w:t>
      </w:r>
      <w:r>
        <w:rPr>
          <w:rFonts w:ascii="arial" w:eastAsia="arial" w:hAnsi="arial" w:cs="arial"/>
          <w:color w:val="000000"/>
          <w:sz w:val="20"/>
          <w:lang w:val="en-US" w:eastAsia="en-US" w:bidi="ar-SA"/>
        </w:rPr>
        <w:t xml:space="preserve"> admitted." (underlining in document). The issue here is whether the failure to admit facts 2 to 4 was unreasonable within the meaning of Rule 7-7(4)?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Rule 7-7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Notice to admit</w:t>
      </w:r>
    </w:p>
    <w:p>
      <w:pPr>
        <w:numPr>
          <w:numId w:val="10"/>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 an action in which a response to civil claim has been filed, a party of record may, by service of a notice to admit in Form 26, request any party of record to admit, for the purposes of the action only, the truth of a fact or the authenticity of a document specified in the notice.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Effect of notice to admit</w:t>
      </w:r>
    </w:p>
    <w:p>
      <w:pPr>
        <w:numPr>
          <w:numId w:val="11"/>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Unless the court otherwise orders, the truth of a fact or the authenticity of a document specified in a notice to admit is deemed to be admitted, for the purposes of the action only, unless, within 14 days after service of the notice to admit, the party receiving the notice to admit serves on the party serving the notice to admit a written statement that</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specifically denies the truth of the fact or the authenticity of the document,</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sets out in detail the reasons why the party cannot make the admission, or</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states that the refusal to admit the truth of the fact or the authenticity of the document is made on the grounds of privilege or irrelevancy or that the request is otherwise improper, and sets out in detail the reasons for the refusal.</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Unreasonable refusal to admit</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a responding party unreasonably denies or refuses to admit the truth of a fact or the authenticity of a document specified in a notice to admit, the court may order the party to pay the costs of proving the truth of the fact or the authenticity of the document and may award as a penalty additional costs, or deprive a party of costs, as the court considers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rules of other provincial and territorial superior courts, and the federal court, also provide for notices or requests to admit and are broadly similar. In particular, they all contemplate that there may be cost consequences for an unreasonable failure to admit (</w:t>
      </w:r>
      <w:r>
        <w:rPr>
          <w:rFonts w:ascii="arial" w:eastAsia="arial" w:hAnsi="arial" w:cs="arial"/>
          <w:i/>
          <w:color w:val="000000"/>
          <w:sz w:val="20"/>
          <w:lang w:val="en-US" w:eastAsia="en-US" w:bidi="ar-SA"/>
        </w:rPr>
        <w:t>Alberta Rules of Court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Alta. Reg. 124/2010</w:t>
      </w:r>
      <w:r>
        <w:rPr>
          <w:rFonts w:ascii="arial" w:eastAsia="arial" w:hAnsi="arial" w:cs="arial"/>
          <w:color w:val="000000"/>
          <w:sz w:val="20"/>
          <w:lang w:val="en-US" w:eastAsia="en-US" w:bidi="ar-SA"/>
        </w:rPr>
        <w:t xml:space="preserve">, rr. 6.37, 10.33(2); </w:t>
      </w:r>
      <w:r>
        <w:rPr>
          <w:rFonts w:ascii="arial" w:eastAsia="arial" w:hAnsi="arial" w:cs="arial"/>
          <w:i/>
          <w:color w:val="000000"/>
          <w:sz w:val="20"/>
          <w:lang w:val="en-US" w:eastAsia="en-US" w:bidi="ar-SA"/>
        </w:rPr>
        <w:t>Rules of Civil Procedure</w:t>
      </w:r>
      <w:r>
        <w:rPr>
          <w:rFonts w:ascii="arial" w:eastAsia="arial" w:hAnsi="arial" w:cs="arial"/>
          <w:color w:val="000000"/>
          <w:sz w:val="20"/>
          <w:lang w:val="en-US" w:eastAsia="en-US" w:bidi="ar-SA"/>
        </w:rPr>
        <w:t xml:space="preserve">, R.R.O. 1990, Reg. 194, r. 51; Saskatchewan, </w:t>
      </w:r>
      <w:r>
        <w:rPr>
          <w:rFonts w:ascii="arial" w:eastAsia="arial" w:hAnsi="arial" w:cs="arial"/>
          <w:i/>
          <w:color w:val="000000"/>
          <w:sz w:val="20"/>
          <w:lang w:val="en-US" w:eastAsia="en-US" w:bidi="ar-SA"/>
        </w:rPr>
        <w:t>The Queen's Bench Rules</w:t>
      </w:r>
      <w:r>
        <w:rPr>
          <w:rFonts w:ascii="arial" w:eastAsia="arial" w:hAnsi="arial" w:cs="arial"/>
          <w:color w:val="000000"/>
          <w:sz w:val="20"/>
          <w:lang w:val="en-US" w:eastAsia="en-US" w:bidi="ar-SA"/>
        </w:rPr>
        <w:t xml:space="preserve">, r. 6-51; </w:t>
      </w:r>
      <w:r>
        <w:rPr>
          <w:rFonts w:ascii="arial" w:eastAsia="arial" w:hAnsi="arial" w:cs="arial"/>
          <w:i/>
          <w:color w:val="000000"/>
          <w:sz w:val="20"/>
          <w:lang w:val="en-US" w:eastAsia="en-US" w:bidi="ar-SA"/>
        </w:rPr>
        <w:t>Queen's Bench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Man. Reg. 553/88, r. 51</w:t>
      </w:r>
      <w:r>
        <w:rPr>
          <w:rFonts w:ascii="arial" w:eastAsia="arial" w:hAnsi="arial" w:cs="arial"/>
          <w:color w:val="000000"/>
          <w:sz w:val="20"/>
          <w:lang w:val="en-US" w:eastAsia="en-US" w:bidi="ar-SA"/>
        </w:rPr>
        <w:t xml:space="preserve">; Nova Scotia, </w:t>
      </w:r>
      <w:r>
        <w:rPr>
          <w:rFonts w:ascii="arial" w:eastAsia="arial" w:hAnsi="arial" w:cs="arial"/>
          <w:i/>
          <w:color w:val="000000"/>
          <w:sz w:val="20"/>
          <w:lang w:val="en-US" w:eastAsia="en-US" w:bidi="ar-SA"/>
        </w:rPr>
        <w:t>Civil Procedure Rules</w:t>
      </w:r>
      <w:r>
        <w:rPr>
          <w:rFonts w:ascii="arial" w:eastAsia="arial" w:hAnsi="arial" w:cs="arial"/>
          <w:color w:val="000000"/>
          <w:sz w:val="20"/>
          <w:lang w:val="en-US" w:eastAsia="en-US" w:bidi="ar-SA"/>
        </w:rPr>
        <w:t xml:space="preserve">, r. 20; </w:t>
      </w:r>
      <w:r>
        <w:rPr>
          <w:rFonts w:ascii="arial" w:eastAsia="arial" w:hAnsi="arial" w:cs="arial"/>
          <w:i/>
          <w:color w:val="000000"/>
          <w:sz w:val="20"/>
          <w:lang w:val="en-US" w:eastAsia="en-US" w:bidi="ar-SA"/>
        </w:rPr>
        <w:t>Rules of Court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N.B. Reg. 82-73, r. 51</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Rules of the Supreme Court, 1986</w:t>
      </w:r>
      <w:r>
        <w:rPr>
          <w:rFonts w:ascii="arial" w:eastAsia="arial" w:hAnsi="arial" w:cs="arial"/>
          <w:color w:val="000000"/>
          <w:sz w:val="20"/>
          <w:lang w:val="en-US" w:eastAsia="en-US" w:bidi="ar-SA"/>
        </w:rPr>
        <w:t xml:space="preserve">, S.N.L. 1986, c. 42, Sch. D, r. 33; Prince Edward Island, </w:t>
      </w:r>
      <w:r>
        <w:rPr>
          <w:rFonts w:ascii="arial" w:eastAsia="arial" w:hAnsi="arial" w:cs="arial"/>
          <w:i/>
          <w:color w:val="000000"/>
          <w:sz w:val="20"/>
          <w:lang w:val="en-US" w:eastAsia="en-US" w:bidi="ar-SA"/>
        </w:rPr>
        <w:t>Rules of Civil Procedure</w:t>
      </w:r>
      <w:r>
        <w:rPr>
          <w:rFonts w:ascii="arial" w:eastAsia="arial" w:hAnsi="arial" w:cs="arial"/>
          <w:color w:val="000000"/>
          <w:sz w:val="20"/>
          <w:lang w:val="en-US" w:eastAsia="en-US" w:bidi="ar-SA"/>
        </w:rPr>
        <w:t xml:space="preserve">, r. 51; </w:t>
      </w:r>
      <w:r>
        <w:rPr>
          <w:rFonts w:ascii="arial" w:eastAsia="arial" w:hAnsi="arial" w:cs="arial"/>
          <w:i/>
          <w:color w:val="000000"/>
          <w:sz w:val="20"/>
          <w:lang w:val="en-US" w:eastAsia="en-US" w:bidi="ar-SA"/>
        </w:rPr>
        <w:t>Rules of the Supreme Court of the Northwest Territories</w:t>
      </w:r>
      <w:r>
        <w:rPr>
          <w:rFonts w:ascii="arial" w:eastAsia="arial" w:hAnsi="arial" w:cs="arial"/>
          <w:color w:val="000000"/>
          <w:sz w:val="20"/>
          <w:lang w:val="en-US" w:eastAsia="en-US" w:bidi="ar-SA"/>
        </w:rPr>
        <w:t xml:space="preserve">, </w:t>
      </w:r>
      <w:hyperlink r:id="rId93" w:history="1">
        <w:r>
          <w:rPr>
            <w:rFonts w:ascii="arial" w:eastAsia="arial" w:hAnsi="arial" w:cs="arial"/>
            <w:i/>
            <w:color w:val="0077CC"/>
            <w:sz w:val="20"/>
            <w:u w:val="single"/>
            <w:shd w:val="clear" w:color="auto" w:fill="FFFFFF"/>
            <w:lang w:val="en-US" w:eastAsia="en-US" w:bidi="ar-SA"/>
          </w:rPr>
          <w:t>N.W.T. Reg. 010-96, r. 294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Rules of Court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Y.O.I.C. 2009/65</w:t>
      </w:r>
      <w:r>
        <w:rPr>
          <w:rFonts w:ascii="arial" w:eastAsia="arial" w:hAnsi="arial" w:cs="arial"/>
          <w:color w:val="000000"/>
          <w:sz w:val="20"/>
          <w:lang w:val="en-US" w:eastAsia="en-US" w:bidi="ar-SA"/>
        </w:rPr>
        <w:t xml:space="preserve">, Part 2, r. 31; </w:t>
      </w:r>
      <w:r>
        <w:rPr>
          <w:rFonts w:ascii="arial" w:eastAsia="arial" w:hAnsi="arial" w:cs="arial"/>
          <w:i/>
          <w:color w:val="000000"/>
          <w:sz w:val="20"/>
          <w:lang w:val="en-US" w:eastAsia="en-US" w:bidi="ar-SA"/>
        </w:rPr>
        <w:t>Rules of the Supreme Court of the Northwest Territories</w:t>
      </w:r>
      <w:r>
        <w:rPr>
          <w:rFonts w:ascii="arial" w:eastAsia="arial" w:hAnsi="arial" w:cs="arial"/>
          <w:color w:val="000000"/>
          <w:sz w:val="20"/>
          <w:lang w:val="en-US" w:eastAsia="en-US" w:bidi="ar-SA"/>
        </w:rPr>
        <w:t xml:space="preserve">, N.W.T. Reg. (Nu.) 010-96, r. 294; </w:t>
      </w:r>
      <w:r>
        <w:rPr>
          <w:rFonts w:ascii="arial" w:eastAsia="arial" w:hAnsi="arial" w:cs="arial"/>
          <w:i/>
          <w:color w:val="000000"/>
          <w:sz w:val="20"/>
          <w:lang w:val="en-US" w:eastAsia="en-US" w:bidi="ar-SA"/>
        </w:rPr>
        <w:t>Federal Courts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S.O.R./98-106</w:t>
      </w:r>
      <w:r>
        <w:rPr>
          <w:rFonts w:ascii="arial" w:eastAsia="arial" w:hAnsi="arial" w:cs="arial"/>
          <w:color w:val="000000"/>
          <w:sz w:val="20"/>
          <w:lang w:val="en-US" w:eastAsia="en-US" w:bidi="ar-SA"/>
        </w:rPr>
        <w:t>, rr. 255-256, 400(3)). Authorities from those jurisdictions are informative.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purposes of the notice to admit are multiple. The primary purpose is to "save both the Court and litigants the time and expense involved in proving the authenticity of documents or in proving facts" (</w:t>
      </w:r>
      <w:r>
        <w:rPr>
          <w:rFonts w:ascii="arial" w:eastAsia="arial" w:hAnsi="arial" w:cs="arial"/>
          <w:i/>
          <w:color w:val="000000"/>
          <w:sz w:val="20"/>
          <w:lang w:val="en-US" w:eastAsia="en-US" w:bidi="ar-SA"/>
        </w:rPr>
        <w:t>Clarke v. Minister of National Revenue</w:t>
      </w:r>
      <w:r>
        <w:rPr>
          <w:rFonts w:ascii="arial" w:eastAsia="arial" w:hAnsi="arial" w:cs="arial"/>
          <w:color w:val="000000"/>
          <w:sz w:val="20"/>
          <w:lang w:val="en-US" w:eastAsia="en-US" w:bidi="ar-SA"/>
        </w:rPr>
        <w:t xml:space="preserve"> </w:t>
      </w:r>
      <w:hyperlink r:id="rId98" w:history="1">
        <w:r>
          <w:rPr>
            <w:rFonts w:ascii="arial" w:eastAsia="arial" w:hAnsi="arial" w:cs="arial"/>
            <w:i/>
            <w:color w:val="0077CC"/>
            <w:sz w:val="20"/>
            <w:u w:val="single"/>
            <w:shd w:val="clear" w:color="auto" w:fill="FFFFFF"/>
            <w:lang w:val="en-US" w:eastAsia="en-US" w:bidi="ar-SA"/>
          </w:rPr>
          <w:t>(2000), 189 F.T.R. 76</w:t>
        </w:r>
      </w:hyperlink>
      <w:r>
        <w:rPr>
          <w:rFonts w:ascii="arial" w:eastAsia="arial" w:hAnsi="arial" w:cs="arial"/>
          <w:color w:val="000000"/>
          <w:sz w:val="20"/>
          <w:lang w:val="en-US" w:eastAsia="en-US" w:bidi="ar-SA"/>
        </w:rPr>
        <w:t xml:space="preserve"> at para. 43, </w:t>
      </w:r>
      <w:hyperlink r:id="rId98" w:history="1">
        <w:r>
          <w:rPr>
            <w:rFonts w:ascii="arial" w:eastAsia="arial" w:hAnsi="arial" w:cs="arial"/>
            <w:i/>
            <w:color w:val="0077CC"/>
            <w:sz w:val="20"/>
            <w:u w:val="single"/>
            <w:shd w:val="clear" w:color="auto" w:fill="FFFFFF"/>
            <w:lang w:val="en-US" w:eastAsia="en-US" w:bidi="ar-SA"/>
          </w:rPr>
          <w:t>[2000] F.C.J. No. 475</w:t>
        </w:r>
      </w:hyperlink>
      <w:r>
        <w:rPr>
          <w:rFonts w:ascii="arial" w:eastAsia="arial" w:hAnsi="arial" w:cs="arial"/>
          <w:color w:val="000000"/>
          <w:sz w:val="20"/>
          <w:lang w:val="en-US" w:eastAsia="en-US" w:bidi="ar-SA"/>
        </w:rPr>
        <w:t xml:space="preserve">). The rule is intended to eliminate issues altogether from a case or to facilitate proof of issues that cannot be eliminated (Garry D. Watson &amp; Derek McKay, eds., </w:t>
      </w:r>
      <w:r>
        <w:rPr>
          <w:rFonts w:ascii="arial" w:eastAsia="arial" w:hAnsi="arial" w:cs="arial"/>
          <w:i/>
          <w:color w:val="000000"/>
          <w:sz w:val="20"/>
          <w:lang w:val="en-US" w:eastAsia="en-US" w:bidi="ar-SA"/>
        </w:rPr>
        <w:t>Holmested and Watson: Ontario Civil Procedure</w:t>
      </w:r>
      <w:r>
        <w:rPr>
          <w:rFonts w:ascii="arial" w:eastAsia="arial" w:hAnsi="arial" w:cs="arial"/>
          <w:color w:val="000000"/>
          <w:sz w:val="20"/>
          <w:lang w:val="en-US" w:eastAsia="en-US" w:bidi="ar-SA"/>
        </w:rPr>
        <w:t xml:space="preserve"> (Toronto: Carswell, 1993) (looseleaf updated 2014, release 1) vol. 5 at 51s. 7 (</w:t>
      </w:r>
      <w:r>
        <w:rPr>
          <w:rFonts w:ascii="arial" w:eastAsia="arial" w:hAnsi="arial" w:cs="arial"/>
          <w:i/>
          <w:color w:val="000000"/>
          <w:sz w:val="20"/>
          <w:lang w:val="en-US" w:eastAsia="en-US" w:bidi="ar-SA"/>
        </w:rPr>
        <w:t>Holmested and Watson</w:t>
      </w:r>
      <w:r>
        <w:rPr>
          <w:rFonts w:ascii="arial" w:eastAsia="arial" w:hAnsi="arial" w:cs="arial"/>
          <w:color w:val="000000"/>
          <w:sz w:val="20"/>
          <w:lang w:val="en-US" w:eastAsia="en-US" w:bidi="ar-SA"/>
        </w:rPr>
        <w:t>)). Thus, the notice to admit can isolate important factors from a strategic and cost efficient perspective (</w:t>
      </w:r>
      <w:r>
        <w:rPr>
          <w:rFonts w:ascii="arial" w:eastAsia="arial" w:hAnsi="arial" w:cs="arial"/>
          <w:i/>
          <w:color w:val="000000"/>
          <w:sz w:val="20"/>
          <w:lang w:val="en-US" w:eastAsia="en-US" w:bidi="ar-SA"/>
        </w:rPr>
        <w:t>Foster v. Juhasz</w:t>
      </w:r>
      <w:r>
        <w:rPr>
          <w:rFonts w:ascii="arial" w:eastAsia="arial" w:hAnsi="arial" w:cs="arial"/>
          <w:color w:val="000000"/>
          <w:sz w:val="20"/>
          <w:lang w:val="en-US" w:eastAsia="en-US" w:bidi="ar-SA"/>
        </w:rPr>
        <w:t xml:space="preserve">, </w:t>
      </w:r>
      <w:hyperlink r:id="rId99" w:history="1">
        <w:r>
          <w:rPr>
            <w:rFonts w:ascii="arial" w:eastAsia="arial" w:hAnsi="arial" w:cs="arial"/>
            <w:i/>
            <w:color w:val="0077CC"/>
            <w:sz w:val="20"/>
            <w:u w:val="single"/>
            <w:shd w:val="clear" w:color="auto" w:fill="FFFFFF"/>
            <w:lang w:val="en-US" w:eastAsia="en-US" w:bidi="ar-SA"/>
          </w:rPr>
          <w:t>2010 BCSC 143</w:t>
        </w:r>
      </w:hyperlink>
      <w:r>
        <w:rPr>
          <w:rFonts w:ascii="arial" w:eastAsia="arial" w:hAnsi="arial" w:cs="arial"/>
          <w:color w:val="000000"/>
          <w:sz w:val="20"/>
          <w:lang w:val="en-US" w:eastAsia="en-US" w:bidi="ar-SA"/>
        </w:rPr>
        <w:t xml:space="preserve"> at paras. 25-27). It enables the parties to "prepare for an efficient trial focused on what is disputed" (</w:t>
      </w:r>
      <w:r>
        <w:rPr>
          <w:rFonts w:ascii="arial" w:eastAsia="arial" w:hAnsi="arial" w:cs="arial"/>
          <w:i/>
          <w:color w:val="000000"/>
          <w:sz w:val="20"/>
          <w:lang w:val="en-US" w:eastAsia="en-US" w:bidi="ar-SA"/>
        </w:rPr>
        <w:t>Orlan Karigan &amp; Associate Ltd. v. Hoffman</w:t>
      </w:r>
      <w:r>
        <w:rPr>
          <w:rFonts w:ascii="arial" w:eastAsia="arial" w:hAnsi="arial" w:cs="arial"/>
          <w:color w:val="000000"/>
          <w:sz w:val="20"/>
          <w:lang w:val="en-US" w:eastAsia="en-US" w:bidi="ar-SA"/>
        </w:rPr>
        <w:t xml:space="preserve"> </w:t>
      </w:r>
      <w:hyperlink r:id="rId100" w:history="1">
        <w:r>
          <w:rPr>
            <w:rFonts w:ascii="arial" w:eastAsia="arial" w:hAnsi="arial" w:cs="arial"/>
            <w:i/>
            <w:color w:val="0077CC"/>
            <w:sz w:val="20"/>
            <w:u w:val="single"/>
            <w:shd w:val="clear" w:color="auto" w:fill="FFFFFF"/>
            <w:lang w:val="en-US" w:eastAsia="en-US" w:bidi="ar-SA"/>
          </w:rPr>
          <w:t>(2000), 52 O.R. (3d) 235</w:t>
        </w:r>
      </w:hyperlink>
      <w:r>
        <w:rPr>
          <w:rFonts w:ascii="arial" w:eastAsia="arial" w:hAnsi="arial" w:cs="arial"/>
          <w:color w:val="000000"/>
          <w:sz w:val="20"/>
          <w:lang w:val="en-US" w:eastAsia="en-US" w:bidi="ar-SA"/>
        </w:rPr>
        <w:t xml:space="preserve"> at para. 21 (Sup. Ct. J.)). The notice to admit obviates the necessity and expense of calling evidence at trial (</w:t>
      </w:r>
      <w:r>
        <w:rPr>
          <w:rFonts w:ascii="arial" w:eastAsia="arial" w:hAnsi="arial" w:cs="arial"/>
          <w:i/>
          <w:color w:val="000000"/>
          <w:sz w:val="20"/>
          <w:lang w:val="en-US" w:eastAsia="en-US" w:bidi="ar-SA"/>
        </w:rPr>
        <w:t>Canada Southern Petroleum v. Amoco Canada Petroleum</w:t>
      </w:r>
      <w:r>
        <w:rPr>
          <w:rFonts w:ascii="arial" w:eastAsia="arial" w:hAnsi="arial" w:cs="arial"/>
          <w:color w:val="000000"/>
          <w:sz w:val="20"/>
          <w:lang w:val="en-US" w:eastAsia="en-US" w:bidi="ar-SA"/>
        </w:rPr>
        <w:t xml:space="preserve"> </w:t>
      </w:r>
      <w:hyperlink r:id="rId101" w:history="1">
        <w:r>
          <w:rPr>
            <w:rFonts w:ascii="arial" w:eastAsia="arial" w:hAnsi="arial" w:cs="arial"/>
            <w:i/>
            <w:color w:val="0077CC"/>
            <w:sz w:val="20"/>
            <w:u w:val="single"/>
            <w:shd w:val="clear" w:color="auto" w:fill="FFFFFF"/>
            <w:lang w:val="en-US" w:eastAsia="en-US" w:bidi="ar-SA"/>
          </w:rPr>
          <w:t>(1994), 168 A.R. 126</w:t>
        </w:r>
      </w:hyperlink>
      <w:r>
        <w:rPr>
          <w:rFonts w:ascii="arial" w:eastAsia="arial" w:hAnsi="arial" w:cs="arial"/>
          <w:color w:val="000000"/>
          <w:sz w:val="20"/>
          <w:lang w:val="en-US" w:eastAsia="en-US" w:bidi="ar-SA"/>
        </w:rPr>
        <w:t xml:space="preserve"> at para. 16 (Q.B.)). Ultimately, it is a means to foster the timely adjudication of a claim on its merits (</w:t>
      </w:r>
      <w:r>
        <w:rPr>
          <w:rFonts w:ascii="arial" w:eastAsia="arial" w:hAnsi="arial" w:cs="arial"/>
          <w:i/>
          <w:color w:val="000000"/>
          <w:sz w:val="20"/>
          <w:lang w:val="en-US" w:eastAsia="en-US" w:bidi="ar-SA"/>
        </w:rPr>
        <w:t>Furgiuele v. Don Casselman Global Enterprises</w:t>
      </w:r>
      <w:r>
        <w:rPr>
          <w:rFonts w:ascii="arial" w:eastAsia="arial" w:hAnsi="arial" w:cs="arial"/>
          <w:color w:val="000000"/>
          <w:sz w:val="20"/>
          <w:lang w:val="en-US" w:eastAsia="en-US" w:bidi="ar-SA"/>
        </w:rPr>
        <w:t xml:space="preserve">, </w:t>
      </w:r>
      <w:hyperlink r:id="rId102" w:history="1">
        <w:r>
          <w:rPr>
            <w:rFonts w:ascii="arial" w:eastAsia="arial" w:hAnsi="arial" w:cs="arial"/>
            <w:i/>
            <w:color w:val="0077CC"/>
            <w:sz w:val="20"/>
            <w:u w:val="single"/>
            <w:shd w:val="clear" w:color="auto" w:fill="FFFFFF"/>
            <w:lang w:val="en-US" w:eastAsia="en-US" w:bidi="ar-SA"/>
          </w:rPr>
          <w:t>2013 ONSC 7032</w:t>
        </w:r>
      </w:hyperlink>
      <w:r>
        <w:rPr>
          <w:rFonts w:ascii="arial" w:eastAsia="arial" w:hAnsi="arial" w:cs="arial"/>
          <w:color w:val="000000"/>
          <w:sz w:val="20"/>
          <w:lang w:val="en-US" w:eastAsia="en-US" w:bidi="ar-SA"/>
        </w:rPr>
        <w:t xml:space="preserve"> at para. 44 (</w:t>
      </w:r>
      <w:r>
        <w:rPr>
          <w:rFonts w:ascii="arial" w:eastAsia="arial" w:hAnsi="arial" w:cs="arial"/>
          <w:i/>
          <w:color w:val="000000"/>
          <w:sz w:val="20"/>
          <w:lang w:val="en-US" w:eastAsia="en-US" w:bidi="ar-SA"/>
        </w:rPr>
        <w:t>Furgiuele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When is a failure to admit unreasonable within the meaning of Rule 7-7(4)? Criteria for unreasonableness may be gleaned from the rules and case authorities from B.C. and other Canadian jurisdictions.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first requirement, which may seem obvious, is that the truth of the fact or authenticity of the document must be subsequently proven. This is explicit in the rules of some other jurisdictions (Ontario Rule 51.04, Manitoba Rule 51.04, Prince Edward Island Rule 51.04, New Brunswick Rule 51.03(2), Nova Scotia Rule 20.06, Saskatchewan Rule 6-51(2), Northwest Territories Rule 294(4), Nunavut Rule 294(4)).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Irrelevancy is a ground for refusing to admit a fact (Rule 7-7(2)(c)). If the admission sought was of no substantial importance and did nothing to save time and expense or served only to harass a party, then failure to admit cannot be said to be unreasonable (see e.g. </w:t>
      </w:r>
      <w:r>
        <w:rPr>
          <w:rFonts w:ascii="arial" w:eastAsia="arial" w:hAnsi="arial" w:cs="arial"/>
          <w:i/>
          <w:color w:val="000000"/>
          <w:sz w:val="20"/>
          <w:lang w:val="en-US" w:eastAsia="en-US" w:bidi="ar-SA"/>
        </w:rPr>
        <w:t>Milani v. Milani</w:t>
      </w:r>
      <w:r>
        <w:rPr>
          <w:rFonts w:ascii="arial" w:eastAsia="arial" w:hAnsi="arial" w:cs="arial"/>
          <w:color w:val="000000"/>
          <w:sz w:val="20"/>
          <w:lang w:val="en-US" w:eastAsia="en-US" w:bidi="ar-SA"/>
        </w:rPr>
        <w:t xml:space="preserve">, </w:t>
      </w:r>
      <w:hyperlink r:id="rId103" w:history="1">
        <w:r>
          <w:rPr>
            <w:rFonts w:ascii="arial" w:eastAsia="arial" w:hAnsi="arial" w:cs="arial"/>
            <w:i/>
            <w:color w:val="0077CC"/>
            <w:sz w:val="20"/>
            <w:u w:val="single"/>
            <w:shd w:val="clear" w:color="auto" w:fill="FFFFFF"/>
            <w:lang w:val="en-US" w:eastAsia="en-US" w:bidi="ar-SA"/>
          </w:rPr>
          <w:t>[2005] O.J. No. 693</w:t>
        </w:r>
      </w:hyperlink>
      <w:r>
        <w:rPr>
          <w:rFonts w:ascii="arial" w:eastAsia="arial" w:hAnsi="arial" w:cs="arial"/>
          <w:color w:val="000000"/>
          <w:sz w:val="20"/>
          <w:lang w:val="en-US" w:eastAsia="en-US" w:bidi="ar-SA"/>
        </w:rPr>
        <w:t xml:space="preserve"> at para. 12, 2005 CanLII 4444 (Sup. Ct. 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Privilege is a valid reason for refusing to admit a fact or document (Rule 7-7(2)(c)). However, it is accepted that it will be relatively rare that privilege can be asserted since ordinarily a matter of fact can be admitted or denied without raising the question of the nature of the communication that apprised the party of the fact (</w:t>
      </w:r>
      <w:r>
        <w:rPr>
          <w:rFonts w:ascii="arial" w:eastAsia="arial" w:hAnsi="arial" w:cs="arial"/>
          <w:i/>
          <w:color w:val="000000"/>
          <w:sz w:val="20"/>
          <w:lang w:val="en-US" w:eastAsia="en-US" w:bidi="ar-SA"/>
        </w:rPr>
        <w:t>Holmested and Watson</w:t>
      </w:r>
      <w:r>
        <w:rPr>
          <w:rFonts w:ascii="arial" w:eastAsia="arial" w:hAnsi="arial" w:cs="arial"/>
          <w:color w:val="000000"/>
          <w:sz w:val="20"/>
          <w:lang w:val="en-US" w:eastAsia="en-US" w:bidi="ar-SA"/>
        </w:rPr>
        <w:t xml:space="preserve"> at 51s. 10(3)).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If a notice to admit is "otherwise improper", there are grounds for refusal to admit (Rule 7-7(2)(c)). Examples of otherwise improper notices to admit include: the notice is a veiled attempt to obtain particulars or ensure compliance with discovery obligations (</w:t>
      </w:r>
      <w:r>
        <w:rPr>
          <w:rFonts w:ascii="arial" w:eastAsia="arial" w:hAnsi="arial" w:cs="arial"/>
          <w:i/>
          <w:color w:val="000000"/>
          <w:sz w:val="20"/>
          <w:lang w:val="en-US" w:eastAsia="en-US" w:bidi="ar-SA"/>
        </w:rPr>
        <w:t>Muskoka Lakes (Township) v. 1679753 Ontario Ltd.</w:t>
      </w:r>
      <w:r>
        <w:rPr>
          <w:rFonts w:ascii="arial" w:eastAsia="arial" w:hAnsi="arial" w:cs="arial"/>
          <w:color w:val="000000"/>
          <w:sz w:val="20"/>
          <w:lang w:val="en-US" w:eastAsia="en-US" w:bidi="ar-SA"/>
        </w:rPr>
        <w:t xml:space="preserve">, </w:t>
      </w:r>
      <w:hyperlink r:id="rId104" w:history="1">
        <w:r>
          <w:rPr>
            <w:rFonts w:ascii="arial" w:eastAsia="arial" w:hAnsi="arial" w:cs="arial"/>
            <w:i/>
            <w:color w:val="0077CC"/>
            <w:sz w:val="20"/>
            <w:u w:val="single"/>
            <w:shd w:val="clear" w:color="auto" w:fill="FFFFFF"/>
            <w:lang w:val="en-US" w:eastAsia="en-US" w:bidi="ar-SA"/>
          </w:rPr>
          <w:t>2011 ONSC 1997</w:t>
        </w:r>
      </w:hyperlink>
      <w:r>
        <w:rPr>
          <w:rFonts w:ascii="arial" w:eastAsia="arial" w:hAnsi="arial" w:cs="arial"/>
          <w:color w:val="000000"/>
          <w:sz w:val="20"/>
          <w:lang w:val="en-US" w:eastAsia="en-US" w:bidi="ar-SA"/>
        </w:rPr>
        <w:t xml:space="preserve"> at paras. 34-39; </w:t>
      </w:r>
      <w:r>
        <w:rPr>
          <w:rFonts w:ascii="arial" w:eastAsia="arial" w:hAnsi="arial" w:cs="arial"/>
          <w:i/>
          <w:color w:val="000000"/>
          <w:sz w:val="20"/>
          <w:lang w:val="en-US" w:eastAsia="en-US" w:bidi="ar-SA"/>
        </w:rPr>
        <w:t>Slate Falls Nation v. Canada (Attorney General)</w:t>
      </w:r>
      <w:r>
        <w:rPr>
          <w:rFonts w:ascii="arial" w:eastAsia="arial" w:hAnsi="arial" w:cs="arial"/>
          <w:color w:val="000000"/>
          <w:sz w:val="20"/>
          <w:lang w:val="en-US" w:eastAsia="en-US" w:bidi="ar-SA"/>
        </w:rPr>
        <w:t xml:space="preserve">, </w:t>
      </w:r>
      <w:hyperlink r:id="rId105" w:history="1">
        <w:r>
          <w:rPr>
            <w:rFonts w:ascii="arial" w:eastAsia="arial" w:hAnsi="arial" w:cs="arial"/>
            <w:i/>
            <w:color w:val="0077CC"/>
            <w:sz w:val="20"/>
            <w:u w:val="single"/>
            <w:shd w:val="clear" w:color="auto" w:fill="FFFFFF"/>
            <w:lang w:val="en-US" w:eastAsia="en-US" w:bidi="ar-SA"/>
          </w:rPr>
          <w:t>[2005] O.J. No. 5228</w:t>
        </w:r>
      </w:hyperlink>
      <w:r>
        <w:rPr>
          <w:rFonts w:ascii="arial" w:eastAsia="arial" w:hAnsi="arial" w:cs="arial"/>
          <w:color w:val="000000"/>
          <w:sz w:val="20"/>
          <w:lang w:val="en-US" w:eastAsia="en-US" w:bidi="ar-SA"/>
        </w:rPr>
        <w:t xml:space="preserve"> at para. 40, 2005 CanLII 45206 (Sup. Ct. J.)) (</w:t>
      </w:r>
      <w:r>
        <w:rPr>
          <w:rFonts w:ascii="arial" w:eastAsia="arial" w:hAnsi="arial" w:cs="arial"/>
          <w:i/>
          <w:color w:val="000000"/>
          <w:sz w:val="20"/>
          <w:lang w:val="en-US" w:eastAsia="en-US" w:bidi="ar-SA"/>
        </w:rPr>
        <w:t>Slate Falls Nation</w:t>
      </w:r>
      <w:r>
        <w:rPr>
          <w:rFonts w:ascii="arial" w:eastAsia="arial" w:hAnsi="arial" w:cs="arial"/>
          <w:color w:val="000000"/>
          <w:sz w:val="20"/>
          <w:lang w:val="en-US" w:eastAsia="en-US" w:bidi="ar-SA"/>
        </w:rPr>
        <w:t>)); the notice is to admit a question of law alone (</w:t>
      </w:r>
      <w:r>
        <w:rPr>
          <w:rFonts w:ascii="arial" w:eastAsia="arial" w:hAnsi="arial" w:cs="arial"/>
          <w:i/>
          <w:color w:val="000000"/>
          <w:sz w:val="20"/>
          <w:lang w:val="en-US" w:eastAsia="en-US" w:bidi="ar-SA"/>
        </w:rPr>
        <w:t>Gecho v. BCAA Insurance Corp.</w:t>
      </w:r>
      <w:r>
        <w:rPr>
          <w:rFonts w:ascii="arial" w:eastAsia="arial" w:hAnsi="arial" w:cs="arial"/>
          <w:color w:val="000000"/>
          <w:sz w:val="20"/>
          <w:lang w:val="en-US" w:eastAsia="en-US" w:bidi="ar-SA"/>
        </w:rPr>
        <w:t xml:space="preserve"> </w:t>
      </w:r>
      <w:hyperlink r:id="rId106" w:history="1">
        <w:r>
          <w:rPr>
            <w:rFonts w:ascii="arial" w:eastAsia="arial" w:hAnsi="arial" w:cs="arial"/>
            <w:i/>
            <w:color w:val="0077CC"/>
            <w:sz w:val="20"/>
            <w:u w:val="single"/>
            <w:shd w:val="clear" w:color="auto" w:fill="FFFFFF"/>
            <w:lang w:val="en-US" w:eastAsia="en-US" w:bidi="ar-SA"/>
          </w:rPr>
          <w:t>(1996), 35 C.C.L.I. (2d) 178</w:t>
        </w:r>
      </w:hyperlink>
      <w:r>
        <w:rPr>
          <w:rFonts w:ascii="arial" w:eastAsia="arial" w:hAnsi="arial" w:cs="arial"/>
          <w:color w:val="000000"/>
          <w:sz w:val="20"/>
          <w:lang w:val="en-US" w:eastAsia="en-US" w:bidi="ar-SA"/>
        </w:rPr>
        <w:t xml:space="preserve"> at para. 12, 1996 CarswellBC 538 (S.C.), rev'd on other grounds </w:t>
      </w:r>
      <w:hyperlink r:id="rId107" w:history="1">
        <w:r>
          <w:rPr>
            <w:rFonts w:ascii="arial" w:eastAsia="arial" w:hAnsi="arial" w:cs="arial"/>
            <w:i/>
            <w:color w:val="0077CC"/>
            <w:sz w:val="20"/>
            <w:u w:val="single"/>
            <w:shd w:val="clear" w:color="auto" w:fill="FFFFFF"/>
            <w:lang w:val="en-US" w:eastAsia="en-US" w:bidi="ar-SA"/>
          </w:rPr>
          <w:t>35 B.C.L.R. (3d) 82</w:t>
        </w:r>
      </w:hyperlink>
      <w:r>
        <w:rPr>
          <w:rFonts w:ascii="arial" w:eastAsia="arial" w:hAnsi="arial" w:cs="arial"/>
          <w:color w:val="000000"/>
          <w:sz w:val="20"/>
          <w:lang w:val="en-US" w:eastAsia="en-US" w:bidi="ar-SA"/>
        </w:rPr>
        <w:t xml:space="preserve"> (C.A.)); the notice is overly repetitious, overly broad, or in the nature of argument (</w:t>
      </w:r>
      <w:r>
        <w:rPr>
          <w:rFonts w:ascii="arial" w:eastAsia="arial" w:hAnsi="arial" w:cs="arial"/>
          <w:i/>
          <w:color w:val="000000"/>
          <w:sz w:val="20"/>
          <w:lang w:val="en-US" w:eastAsia="en-US" w:bidi="ar-SA"/>
        </w:rPr>
        <w:t>Slate Falls Nation</w:t>
      </w:r>
      <w:r>
        <w:rPr>
          <w:rFonts w:ascii="arial" w:eastAsia="arial" w:hAnsi="arial" w:cs="arial"/>
          <w:color w:val="000000"/>
          <w:sz w:val="20"/>
          <w:lang w:val="en-US" w:eastAsia="en-US" w:bidi="ar-SA"/>
        </w:rPr>
        <w:t xml:space="preserve"> at paras. 33-37); and the notice is vague and the party has not responded to requests for clarification until trial (</w:t>
      </w:r>
      <w:r>
        <w:rPr>
          <w:rFonts w:ascii="arial" w:eastAsia="arial" w:hAnsi="arial" w:cs="arial"/>
          <w:i/>
          <w:color w:val="000000"/>
          <w:sz w:val="20"/>
          <w:lang w:val="en-US" w:eastAsia="en-US" w:bidi="ar-SA"/>
        </w:rPr>
        <w:t>Sperry Inc. v. Ford</w:t>
      </w:r>
      <w:r>
        <w:rPr>
          <w:rFonts w:ascii="arial" w:eastAsia="arial" w:hAnsi="arial" w:cs="arial"/>
          <w:color w:val="000000"/>
          <w:sz w:val="20"/>
          <w:lang w:val="en-US" w:eastAsia="en-US" w:bidi="ar-SA"/>
        </w:rPr>
        <w:t xml:space="preserve"> </w:t>
      </w:r>
      <w:hyperlink r:id="rId108" w:history="1">
        <w:r>
          <w:rPr>
            <w:rFonts w:ascii="arial" w:eastAsia="arial" w:hAnsi="arial" w:cs="arial"/>
            <w:i/>
            <w:color w:val="0077CC"/>
            <w:sz w:val="20"/>
            <w:u w:val="single"/>
            <w:shd w:val="clear" w:color="auto" w:fill="FFFFFF"/>
            <w:lang w:val="en-US" w:eastAsia="en-US" w:bidi="ar-SA"/>
          </w:rPr>
          <w:t>(1997), 122 Man. R. (2d) 227</w:t>
        </w:r>
      </w:hyperlink>
      <w:r>
        <w:rPr>
          <w:rFonts w:ascii="arial" w:eastAsia="arial" w:hAnsi="arial" w:cs="arial"/>
          <w:color w:val="000000"/>
          <w:sz w:val="20"/>
          <w:lang w:val="en-US" w:eastAsia="en-US" w:bidi="ar-SA"/>
        </w:rPr>
        <w:t xml:space="preserve"> at para. 7, 1997 CarswellMan 355 (Q.B.)).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notice to admit must have been reasonably capable of evaluation within the time required for response. A party is deemed to have admitted the truth of a fact or the authenticity of a document unless the party serves a response within 14 days after service of the notice to admit (Rule 7-7(2)). If the truth of the fact or the authenticity of the document at issue is not reasonably capable of being evaluated within this time, or at all, a refusal to admit is not unreasonable. Circumstances in which a notice to admit may be incapable of being evaluated in time or at all include if it is extremely long and detailed (</w:t>
      </w:r>
      <w:r>
        <w:rPr>
          <w:rFonts w:ascii="arial" w:eastAsia="arial" w:hAnsi="arial" w:cs="arial"/>
          <w:i/>
          <w:color w:val="000000"/>
          <w:sz w:val="20"/>
          <w:lang w:val="en-US" w:eastAsia="en-US" w:bidi="ar-SA"/>
        </w:rPr>
        <w:t>Bronson v. Hewitt</w:t>
      </w:r>
      <w:r>
        <w:rPr>
          <w:rFonts w:ascii="arial" w:eastAsia="arial" w:hAnsi="arial" w:cs="arial"/>
          <w:color w:val="000000"/>
          <w:sz w:val="20"/>
          <w:lang w:val="en-US" w:eastAsia="en-US" w:bidi="ar-SA"/>
        </w:rPr>
        <w:t xml:space="preserve">, </w:t>
      </w:r>
      <w:hyperlink r:id="rId109" w:history="1">
        <w:r>
          <w:rPr>
            <w:rFonts w:ascii="arial" w:eastAsia="arial" w:hAnsi="arial" w:cs="arial"/>
            <w:i/>
            <w:color w:val="0077CC"/>
            <w:sz w:val="20"/>
            <w:u w:val="single"/>
            <w:shd w:val="clear" w:color="auto" w:fill="FFFFFF"/>
            <w:lang w:val="en-US" w:eastAsia="en-US" w:bidi="ar-SA"/>
          </w:rPr>
          <w:t>2011 BCSC 102</w:t>
        </w:r>
      </w:hyperlink>
      <w:r>
        <w:rPr>
          <w:rFonts w:ascii="arial" w:eastAsia="arial" w:hAnsi="arial" w:cs="arial"/>
          <w:color w:val="000000"/>
          <w:sz w:val="20"/>
          <w:lang w:val="en-US" w:eastAsia="en-US" w:bidi="ar-SA"/>
        </w:rPr>
        <w:t xml:space="preserve"> at para. 151, aff'd </w:t>
      </w:r>
      <w:hyperlink r:id="rId110" w:history="1">
        <w:r>
          <w:rPr>
            <w:rFonts w:ascii="arial" w:eastAsia="arial" w:hAnsi="arial" w:cs="arial"/>
            <w:i/>
            <w:color w:val="0077CC"/>
            <w:sz w:val="20"/>
            <w:u w:val="single"/>
            <w:shd w:val="clear" w:color="auto" w:fill="FFFFFF"/>
            <w:lang w:val="en-US" w:eastAsia="en-US" w:bidi="ar-SA"/>
          </w:rPr>
          <w:t>2013 BCCA 367</w:t>
        </w:r>
      </w:hyperlink>
      <w:r>
        <w:rPr>
          <w:rFonts w:ascii="arial" w:eastAsia="arial" w:hAnsi="arial" w:cs="arial"/>
          <w:color w:val="000000"/>
          <w:sz w:val="20"/>
          <w:lang w:val="en-US" w:eastAsia="en-US" w:bidi="ar-SA"/>
        </w:rPr>
        <w:t>) or if the fact at issue cannot be reasonably evaluated, such as what is in the mind of another (</w:t>
      </w:r>
      <w:r>
        <w:rPr>
          <w:rFonts w:ascii="arial" w:eastAsia="arial" w:hAnsi="arial" w:cs="arial"/>
          <w:i/>
          <w:color w:val="000000"/>
          <w:sz w:val="20"/>
          <w:lang w:val="en-US" w:eastAsia="en-US" w:bidi="ar-SA"/>
        </w:rPr>
        <w:t>Children's Aid Society of Algoma v. M.O.</w:t>
      </w:r>
      <w:r>
        <w:rPr>
          <w:rFonts w:ascii="arial" w:eastAsia="arial" w:hAnsi="arial" w:cs="arial"/>
          <w:color w:val="000000"/>
          <w:sz w:val="20"/>
          <w:lang w:val="en-US" w:eastAsia="en-US" w:bidi="ar-SA"/>
        </w:rPr>
        <w:t xml:space="preserve">, </w:t>
      </w:r>
      <w:hyperlink r:id="rId111" w:history="1">
        <w:r>
          <w:rPr>
            <w:rFonts w:ascii="arial" w:eastAsia="arial" w:hAnsi="arial" w:cs="arial"/>
            <w:i/>
            <w:color w:val="0077CC"/>
            <w:sz w:val="20"/>
            <w:u w:val="single"/>
            <w:shd w:val="clear" w:color="auto" w:fill="FFFFFF"/>
            <w:lang w:val="en-US" w:eastAsia="en-US" w:bidi="ar-SA"/>
          </w:rPr>
          <w:t>[2001] O.J. No. 5220</w:t>
        </w:r>
      </w:hyperlink>
      <w:r>
        <w:rPr>
          <w:rFonts w:ascii="arial" w:eastAsia="arial" w:hAnsi="arial" w:cs="arial"/>
          <w:color w:val="000000"/>
          <w:sz w:val="20"/>
          <w:lang w:val="en-US" w:eastAsia="en-US" w:bidi="ar-SA"/>
        </w:rPr>
        <w:t xml:space="preserve"> at para. 44, 2001 CanLII 37715 (Ct. J.)). While lack of knowledge may be a proper ground for refusing to admit a fact or document, it is unlikely that this explanation would be accepted if the party has not taken reasonable steps to inform themselves about the fact or document (see e.g. </w:t>
      </w:r>
      <w:r>
        <w:rPr>
          <w:rFonts w:ascii="arial" w:eastAsia="arial" w:hAnsi="arial" w:cs="arial"/>
          <w:i/>
          <w:color w:val="000000"/>
          <w:sz w:val="20"/>
          <w:lang w:val="en-US" w:eastAsia="en-US" w:bidi="ar-SA"/>
        </w:rPr>
        <w:t>Pershad v. Lachan</w:t>
      </w:r>
      <w:r>
        <w:rPr>
          <w:rFonts w:ascii="arial" w:eastAsia="arial" w:hAnsi="arial" w:cs="arial"/>
          <w:color w:val="000000"/>
          <w:sz w:val="20"/>
          <w:lang w:val="en-US" w:eastAsia="en-US" w:bidi="ar-SA"/>
        </w:rPr>
        <w:t xml:space="preserve">, </w:t>
      </w:r>
      <w:hyperlink r:id="rId112" w:history="1">
        <w:r>
          <w:rPr>
            <w:rFonts w:ascii="arial" w:eastAsia="arial" w:hAnsi="arial" w:cs="arial"/>
            <w:i/>
            <w:color w:val="0077CC"/>
            <w:sz w:val="20"/>
            <w:u w:val="single"/>
            <w:shd w:val="clear" w:color="auto" w:fill="FFFFFF"/>
            <w:lang w:val="en-US" w:eastAsia="en-US" w:bidi="ar-SA"/>
          </w:rPr>
          <w:t>2015 ONSC 5290</w:t>
        </w:r>
      </w:hyperlink>
      <w:r>
        <w:rPr>
          <w:rFonts w:ascii="arial" w:eastAsia="arial" w:hAnsi="arial" w:cs="arial"/>
          <w:color w:val="000000"/>
          <w:sz w:val="20"/>
          <w:lang w:val="en-US" w:eastAsia="en-US" w:bidi="ar-SA"/>
        </w:rPr>
        <w:t xml:space="preserve"> at para. 81). This is in keeping with the basic duty under the discovery rules that the party discovered should take reasonable steps to inform himself or herself.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Finally, it may not be unreasonable to refuse to admit a fact if the refusing party had reasonable grounds for believing that it would prevail on the matter. Since the purpose of the rule is to enable an efficient trial focused on what is disputed, a court will be unlikely to impose cost consequences on a party for failing to admit a fact that the party had a reasonable basis to dispute. It might be reasonable to deny facts that were contrary to the defendant's evidence and contrary to the foundation of the defendant's case and that involved matters of conflicting evidence from which the court had to make findings of fact (</w:t>
      </w:r>
      <w:r>
        <w:rPr>
          <w:rFonts w:ascii="arial" w:eastAsia="arial" w:hAnsi="arial" w:cs="arial"/>
          <w:i/>
          <w:color w:val="000000"/>
          <w:sz w:val="20"/>
          <w:lang w:val="en-US" w:eastAsia="en-US" w:bidi="ar-SA"/>
        </w:rPr>
        <w:t>Kansa General Insurance Co. v. Harding, Boss &amp; McLeod Surveys Ltd.</w:t>
      </w:r>
      <w:r>
        <w:rPr>
          <w:rFonts w:ascii="arial" w:eastAsia="arial" w:hAnsi="arial" w:cs="arial"/>
          <w:color w:val="000000"/>
          <w:sz w:val="20"/>
          <w:lang w:val="en-US" w:eastAsia="en-US" w:bidi="ar-SA"/>
        </w:rPr>
        <w:t xml:space="preserve">, </w:t>
      </w:r>
      <w:hyperlink r:id="rId113" w:history="1">
        <w:r>
          <w:rPr>
            <w:rFonts w:ascii="arial" w:eastAsia="arial" w:hAnsi="arial" w:cs="arial"/>
            <w:i/>
            <w:color w:val="0077CC"/>
            <w:sz w:val="20"/>
            <w:u w:val="single"/>
            <w:shd w:val="clear" w:color="auto" w:fill="FFFFFF"/>
            <w:lang w:val="en-US" w:eastAsia="en-US" w:bidi="ar-SA"/>
          </w:rPr>
          <w:t>159 Sask. R. 241</w:t>
        </w:r>
      </w:hyperlink>
      <w:r>
        <w:rPr>
          <w:rFonts w:ascii="arial" w:eastAsia="arial" w:hAnsi="arial" w:cs="arial"/>
          <w:color w:val="000000"/>
          <w:sz w:val="20"/>
          <w:lang w:val="en-US" w:eastAsia="en-US" w:bidi="ar-SA"/>
        </w:rPr>
        <w:t xml:space="preserve"> at para. 11, </w:t>
      </w:r>
      <w:hyperlink r:id="rId113" w:history="1">
        <w:r>
          <w:rPr>
            <w:rFonts w:ascii="arial" w:eastAsia="arial" w:hAnsi="arial" w:cs="arial"/>
            <w:i/>
            <w:color w:val="0077CC"/>
            <w:sz w:val="20"/>
            <w:u w:val="single"/>
            <w:shd w:val="clear" w:color="auto" w:fill="FFFFFF"/>
            <w:lang w:val="en-US" w:eastAsia="en-US" w:bidi="ar-SA"/>
          </w:rPr>
          <w:t>45 C.C.L.I. (2d) 143</w:t>
        </w:r>
      </w:hyperlink>
      <w:r>
        <w:rPr>
          <w:rFonts w:ascii="arial" w:eastAsia="arial" w:hAnsi="arial" w:cs="arial"/>
          <w:color w:val="000000"/>
          <w:sz w:val="20"/>
          <w:lang w:val="en-US" w:eastAsia="en-US" w:bidi="ar-SA"/>
        </w:rPr>
        <w:t xml:space="preserve"> (Q.B.)). It might be reasonable if the facts at issue were the subject of expert investigations on both sides (</w:t>
      </w:r>
      <w:r>
        <w:rPr>
          <w:rFonts w:ascii="arial" w:eastAsia="arial" w:hAnsi="arial" w:cs="arial"/>
          <w:i/>
          <w:color w:val="000000"/>
          <w:sz w:val="20"/>
          <w:lang w:val="en-US" w:eastAsia="en-US" w:bidi="ar-SA"/>
        </w:rPr>
        <w:t>Ochoa v. Canadian Mountain Holidays Inc.</w:t>
      </w:r>
      <w:r>
        <w:rPr>
          <w:rFonts w:ascii="arial" w:eastAsia="arial" w:hAnsi="arial" w:cs="arial"/>
          <w:color w:val="000000"/>
          <w:sz w:val="20"/>
          <w:lang w:val="en-US" w:eastAsia="en-US" w:bidi="ar-SA"/>
        </w:rPr>
        <w:t xml:space="preserve"> (1997), 10 C.P.C. (4th) 102 at para. 12, </w:t>
      </w:r>
      <w:hyperlink r:id="rId114" w:history="1">
        <w:r>
          <w:rPr>
            <w:rFonts w:ascii="arial" w:eastAsia="arial" w:hAnsi="arial" w:cs="arial"/>
            <w:i/>
            <w:color w:val="0077CC"/>
            <w:sz w:val="20"/>
            <w:u w:val="single"/>
            <w:shd w:val="clear" w:color="auto" w:fill="FFFFFF"/>
            <w:lang w:val="en-US" w:eastAsia="en-US" w:bidi="ar-SA"/>
          </w:rPr>
          <w:t>[1997] B.C.J. No. 1219</w:t>
        </w:r>
      </w:hyperlink>
      <w:r>
        <w:rPr>
          <w:rFonts w:ascii="arial" w:eastAsia="arial" w:hAnsi="arial" w:cs="arial"/>
          <w:color w:val="000000"/>
          <w:sz w:val="20"/>
          <w:lang w:val="en-US" w:eastAsia="en-US" w:bidi="ar-SA"/>
        </w:rPr>
        <w:t xml:space="preserve"> (S.C.)). However, it might very well be unreasonable if the refusal was unsupported by any evidence beyond a party's testimony that was found to be unconvincing (</w:t>
      </w:r>
      <w:r>
        <w:rPr>
          <w:rFonts w:ascii="arial" w:eastAsia="arial" w:hAnsi="arial" w:cs="arial"/>
          <w:i/>
          <w:color w:val="000000"/>
          <w:sz w:val="20"/>
          <w:lang w:val="en-US" w:eastAsia="en-US" w:bidi="ar-SA"/>
        </w:rPr>
        <w:t>Andreichikov v. Andreichikov</w:t>
      </w:r>
      <w:r>
        <w:rPr>
          <w:rFonts w:ascii="arial" w:eastAsia="arial" w:hAnsi="arial" w:cs="arial"/>
          <w:color w:val="000000"/>
          <w:sz w:val="20"/>
          <w:lang w:val="en-US" w:eastAsia="en-US" w:bidi="ar-SA"/>
        </w:rPr>
        <w:t xml:space="preserve">, </w:t>
      </w:r>
      <w:hyperlink r:id="rId115" w:history="1">
        <w:r>
          <w:rPr>
            <w:rFonts w:ascii="arial" w:eastAsia="arial" w:hAnsi="arial" w:cs="arial"/>
            <w:i/>
            <w:color w:val="0077CC"/>
            <w:sz w:val="20"/>
            <w:u w:val="single"/>
            <w:shd w:val="clear" w:color="auto" w:fill="FFFFFF"/>
            <w:lang w:val="en-US" w:eastAsia="en-US" w:bidi="ar-SA"/>
          </w:rPr>
          <w:t>2011 BCSC 1374</w:t>
        </w:r>
      </w:hyperlink>
      <w:r>
        <w:rPr>
          <w:rFonts w:ascii="arial" w:eastAsia="arial" w:hAnsi="arial" w:cs="arial"/>
          <w:color w:val="000000"/>
          <w:sz w:val="20"/>
          <w:lang w:val="en-US" w:eastAsia="en-US" w:bidi="ar-SA"/>
        </w:rPr>
        <w:t xml:space="preserve"> at para. 53). It may be unreasonable if the party denied facts drawn straight from his examination for discovery (</w:t>
      </w:r>
      <w:r>
        <w:rPr>
          <w:rFonts w:ascii="arial" w:eastAsia="arial" w:hAnsi="arial" w:cs="arial"/>
          <w:i/>
          <w:color w:val="000000"/>
          <w:sz w:val="20"/>
          <w:lang w:val="en-US" w:eastAsia="en-US" w:bidi="ar-SA"/>
        </w:rPr>
        <w:t>Paciorka v. TD Waterhouse</w:t>
      </w:r>
      <w:r>
        <w:rPr>
          <w:rFonts w:ascii="arial" w:eastAsia="arial" w:hAnsi="arial" w:cs="arial"/>
          <w:color w:val="000000"/>
          <w:sz w:val="20"/>
          <w:lang w:val="en-US" w:eastAsia="en-US" w:bidi="ar-SA"/>
        </w:rPr>
        <w:t xml:space="preserve">, </w:t>
      </w:r>
      <w:hyperlink r:id="rId116" w:history="1">
        <w:r>
          <w:rPr>
            <w:rFonts w:ascii="arial" w:eastAsia="arial" w:hAnsi="arial" w:cs="arial"/>
            <w:i/>
            <w:color w:val="0077CC"/>
            <w:sz w:val="20"/>
            <w:u w:val="single"/>
            <w:shd w:val="clear" w:color="auto" w:fill="FFFFFF"/>
            <w:lang w:val="en-US" w:eastAsia="en-US" w:bidi="ar-SA"/>
          </w:rPr>
          <w:t>2008 CarswellOnt 948</w:t>
        </w:r>
      </w:hyperlink>
      <w:r>
        <w:rPr>
          <w:rFonts w:ascii="arial" w:eastAsia="arial" w:hAnsi="arial" w:cs="arial"/>
          <w:color w:val="000000"/>
          <w:sz w:val="20"/>
          <w:lang w:val="en-US" w:eastAsia="en-US" w:bidi="ar-SA"/>
        </w:rPr>
        <w:t xml:space="preserve"> at paras. 4 and 26, </w:t>
      </w:r>
      <w:hyperlink r:id="rId116" w:history="1">
        <w:r>
          <w:rPr>
            <w:rFonts w:ascii="arial" w:eastAsia="arial" w:hAnsi="arial" w:cs="arial"/>
            <w:i/>
            <w:color w:val="0077CC"/>
            <w:sz w:val="20"/>
            <w:u w:val="single"/>
            <w:shd w:val="clear" w:color="auto" w:fill="FFFFFF"/>
            <w:lang w:val="en-US" w:eastAsia="en-US" w:bidi="ar-SA"/>
          </w:rPr>
          <w:t>2008 CanLII 6646</w:t>
        </w:r>
      </w:hyperlink>
      <w:r>
        <w:rPr>
          <w:rFonts w:ascii="arial" w:eastAsia="arial" w:hAnsi="arial" w:cs="arial"/>
          <w:color w:val="000000"/>
          <w:sz w:val="20"/>
          <w:lang w:val="en-US" w:eastAsia="en-US" w:bidi="ar-SA"/>
        </w:rPr>
        <w:t xml:space="preserve"> (Sup. Ct. J.)). Also, it may be unreasonable if the party had already been criminally convicted based on the same facts (</w:t>
      </w:r>
      <w:r>
        <w:rPr>
          <w:rFonts w:ascii="arial" w:eastAsia="arial" w:hAnsi="arial" w:cs="arial"/>
          <w:i/>
          <w:color w:val="000000"/>
          <w:sz w:val="20"/>
          <w:lang w:val="en-US" w:eastAsia="en-US" w:bidi="ar-SA"/>
        </w:rPr>
        <w:t>Glendale v. Drozdzik</w:t>
      </w:r>
      <w:r>
        <w:rPr>
          <w:rFonts w:ascii="arial" w:eastAsia="arial" w:hAnsi="arial" w:cs="arial"/>
          <w:color w:val="000000"/>
          <w:sz w:val="20"/>
          <w:lang w:val="en-US" w:eastAsia="en-US" w:bidi="ar-SA"/>
        </w:rPr>
        <w:t xml:space="preserve"> </w:t>
      </w:r>
      <w:hyperlink r:id="rId117" w:history="1">
        <w:r>
          <w:rPr>
            <w:rFonts w:ascii="arial" w:eastAsia="arial" w:hAnsi="arial" w:cs="arial"/>
            <w:i/>
            <w:color w:val="0077CC"/>
            <w:sz w:val="20"/>
            <w:u w:val="single"/>
            <w:shd w:val="clear" w:color="auto" w:fill="FFFFFF"/>
            <w:lang w:val="en-US" w:eastAsia="en-US" w:bidi="ar-SA"/>
          </w:rPr>
          <w:t>(1993), 77 B.C.L.R. (2d) 106</w:t>
        </w:r>
      </w:hyperlink>
      <w:r>
        <w:rPr>
          <w:rFonts w:ascii="arial" w:eastAsia="arial" w:hAnsi="arial" w:cs="arial"/>
          <w:color w:val="000000"/>
          <w:sz w:val="20"/>
          <w:lang w:val="en-US" w:eastAsia="en-US" w:bidi="ar-SA"/>
        </w:rPr>
        <w:t xml:space="preserve"> at para. 39 (C.A.) (</w:t>
      </w:r>
      <w:r>
        <w:rPr>
          <w:rFonts w:ascii="arial" w:eastAsia="arial" w:hAnsi="arial" w:cs="arial"/>
          <w:i/>
          <w:color w:val="000000"/>
          <w:sz w:val="20"/>
          <w:lang w:val="en-US" w:eastAsia="en-US" w:bidi="ar-SA"/>
        </w:rPr>
        <w:t>Glendale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summary, the failure to admit the truth of a fact may be unreasonable within the meaning of Rule 7-7(4) if:</w:t>
      </w:r>
      <w:r>
        <w:rPr>
          <w:rFonts w:ascii="arial" w:eastAsia="arial" w:hAnsi="arial" w:cs="arial"/>
          <w:sz w:val="20"/>
          <w:lang w:val="en-US" w:eastAsia="en-US" w:bidi="ar-SA"/>
        </w:rPr>
        <w:cr/>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truth of the fact is subsequently proved;</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fact was relevant to a material issue in the case;</w:t>
      </w:r>
    </w:p>
    <w:p>
      <w:pPr>
        <w:numPr>
          <w:numId w:val="1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fact was not subject to privilege;</w:t>
      </w:r>
    </w:p>
    <w:p>
      <w:pPr>
        <w:numPr>
          <w:numId w:val="1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notice to admit was not otherwise improper;</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notice to admit was reasonably capable of evaluation within the time required for response; and</w:t>
      </w:r>
    </w:p>
    <w:p>
      <w:pPr>
        <w:numPr>
          <w:numId w:val="2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refusing party had no reasonable grounds for believing that it would prevail on the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failure of the MacDonald defendants to admit facts 2 through 4 of the Notice to Admit was unreasonable in the circumstances here. The defendants admitted in argument that the reply was not responsive. Each of these facts was proven in evidence and was clearly relevant to the issue of liability. MacDonald testified both in direct and cross-examination that the bus had remained stopped in the left eastbound turn lane throughout. There was no basis in evidence to deny that the bus remained stopped at the red light, waiting to turn, and remained there throughout the accident. These facts could have been admitted within the time allotted, and the notice was not otherwise improper. There was no basis whatsoever for the defendants to have believed that the facts were otherwise than as set out in the notice.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What, if any, cost consequence should be imposed? Rule 7-7(4) is discretionary. If the failure to admit did not significantly lengthen the trial or otherwise increase expenses, the court often makes no order or might grant a nominal award (</w:t>
      </w:r>
      <w:r>
        <w:rPr>
          <w:rFonts w:ascii="arial" w:eastAsia="arial" w:hAnsi="arial" w:cs="arial"/>
          <w:i/>
          <w:color w:val="000000"/>
          <w:sz w:val="20"/>
          <w:lang w:val="en-US" w:eastAsia="en-US" w:bidi="ar-SA"/>
        </w:rPr>
        <w:t>AMT Finance Inc. v. Gonabady</w:t>
      </w:r>
      <w:r>
        <w:rPr>
          <w:rFonts w:ascii="arial" w:eastAsia="arial" w:hAnsi="arial" w:cs="arial"/>
          <w:color w:val="000000"/>
          <w:sz w:val="20"/>
          <w:lang w:val="en-US" w:eastAsia="en-US" w:bidi="ar-SA"/>
        </w:rPr>
        <w:t xml:space="preserve">, </w:t>
      </w:r>
      <w:hyperlink r:id="rId118" w:history="1">
        <w:r>
          <w:rPr>
            <w:rFonts w:ascii="arial" w:eastAsia="arial" w:hAnsi="arial" w:cs="arial"/>
            <w:i/>
            <w:color w:val="0077CC"/>
            <w:sz w:val="20"/>
            <w:u w:val="single"/>
            <w:shd w:val="clear" w:color="auto" w:fill="FFFFFF"/>
            <w:lang w:val="en-US" w:eastAsia="en-US" w:bidi="ar-SA"/>
          </w:rPr>
          <w:t>2010 BCSC 278</w:t>
        </w:r>
      </w:hyperlink>
      <w:r>
        <w:rPr>
          <w:rFonts w:ascii="arial" w:eastAsia="arial" w:hAnsi="arial" w:cs="arial"/>
          <w:color w:val="000000"/>
          <w:sz w:val="20"/>
          <w:lang w:val="en-US" w:eastAsia="en-US" w:bidi="ar-SA"/>
        </w:rPr>
        <w:t xml:space="preserve"> at para. 116; </w:t>
      </w:r>
      <w:r>
        <w:rPr>
          <w:rFonts w:ascii="arial" w:eastAsia="arial" w:hAnsi="arial" w:cs="arial"/>
          <w:i/>
          <w:color w:val="000000"/>
          <w:sz w:val="20"/>
          <w:lang w:val="en-US" w:eastAsia="en-US" w:bidi="ar-SA"/>
        </w:rPr>
        <w:t>Moni-Shirazi v. Sun</w:t>
      </w:r>
      <w:r>
        <w:rPr>
          <w:rFonts w:ascii="arial" w:eastAsia="arial" w:hAnsi="arial" w:cs="arial"/>
          <w:color w:val="000000"/>
          <w:sz w:val="20"/>
          <w:lang w:val="en-US" w:eastAsia="en-US" w:bidi="ar-SA"/>
        </w:rPr>
        <w:t xml:space="preserve">, </w:t>
      </w:r>
      <w:hyperlink r:id="rId119" w:history="1">
        <w:r>
          <w:rPr>
            <w:rFonts w:ascii="arial" w:eastAsia="arial" w:hAnsi="arial" w:cs="arial"/>
            <w:i/>
            <w:color w:val="0077CC"/>
            <w:sz w:val="20"/>
            <w:u w:val="single"/>
            <w:shd w:val="clear" w:color="auto" w:fill="FFFFFF"/>
            <w:lang w:val="en-US" w:eastAsia="en-US" w:bidi="ar-SA"/>
          </w:rPr>
          <w:t>2010 BCSC 2021</w:t>
        </w:r>
      </w:hyperlink>
      <w:r>
        <w:rPr>
          <w:rFonts w:ascii="arial" w:eastAsia="arial" w:hAnsi="arial" w:cs="arial"/>
          <w:color w:val="000000"/>
          <w:sz w:val="20"/>
          <w:lang w:val="en-US" w:eastAsia="en-US" w:bidi="ar-SA"/>
        </w:rPr>
        <w:t xml:space="preserve"> at para. 45; </w:t>
      </w:r>
      <w:r>
        <w:rPr>
          <w:rFonts w:ascii="arial" w:eastAsia="arial" w:hAnsi="arial" w:cs="arial"/>
          <w:i/>
          <w:color w:val="000000"/>
          <w:sz w:val="20"/>
          <w:lang w:val="en-US" w:eastAsia="en-US" w:bidi="ar-SA"/>
        </w:rPr>
        <w:t>Patterson v. Hryciuk</w:t>
      </w:r>
      <w:r>
        <w:rPr>
          <w:rFonts w:ascii="arial" w:eastAsia="arial" w:hAnsi="arial" w:cs="arial"/>
          <w:color w:val="000000"/>
          <w:sz w:val="20"/>
          <w:lang w:val="en-US" w:eastAsia="en-US" w:bidi="ar-SA"/>
        </w:rPr>
        <w:t xml:space="preserve">, </w:t>
      </w:r>
      <w:hyperlink r:id="rId120" w:history="1">
        <w:r>
          <w:rPr>
            <w:rFonts w:ascii="arial" w:eastAsia="arial" w:hAnsi="arial" w:cs="arial"/>
            <w:i/>
            <w:color w:val="0077CC"/>
            <w:sz w:val="20"/>
            <w:u w:val="single"/>
            <w:shd w:val="clear" w:color="auto" w:fill="FFFFFF"/>
            <w:lang w:val="en-US" w:eastAsia="en-US" w:bidi="ar-SA"/>
          </w:rPr>
          <w:t>2005 ABQB 136</w:t>
        </w:r>
      </w:hyperlink>
      <w:r>
        <w:rPr>
          <w:rFonts w:ascii="arial" w:eastAsia="arial" w:hAnsi="arial" w:cs="arial"/>
          <w:color w:val="000000"/>
          <w:sz w:val="20"/>
          <w:lang w:val="en-US" w:eastAsia="en-US" w:bidi="ar-SA"/>
        </w:rPr>
        <w:t xml:space="preserve"> at paras. 32-33; </w:t>
      </w:r>
      <w:r>
        <w:rPr>
          <w:rFonts w:ascii="arial" w:eastAsia="arial" w:hAnsi="arial" w:cs="arial"/>
          <w:i/>
          <w:color w:val="000000"/>
          <w:sz w:val="20"/>
          <w:lang w:val="en-US" w:eastAsia="en-US" w:bidi="ar-SA"/>
        </w:rPr>
        <w:t>Waterous Investments Inc. v. Liberton Holdings Ltd.</w:t>
      </w:r>
      <w:r>
        <w:rPr>
          <w:rFonts w:ascii="arial" w:eastAsia="arial" w:hAnsi="arial" w:cs="arial"/>
          <w:color w:val="000000"/>
          <w:sz w:val="20"/>
          <w:lang w:val="en-US" w:eastAsia="en-US" w:bidi="ar-SA"/>
        </w:rPr>
        <w:t xml:space="preserve"> </w:t>
      </w:r>
      <w:hyperlink r:id="rId121" w:history="1">
        <w:r>
          <w:rPr>
            <w:rFonts w:ascii="arial" w:eastAsia="arial" w:hAnsi="arial" w:cs="arial"/>
            <w:i/>
            <w:color w:val="0077CC"/>
            <w:sz w:val="20"/>
            <w:u w:val="single"/>
            <w:shd w:val="clear" w:color="auto" w:fill="FFFFFF"/>
            <w:lang w:val="en-US" w:eastAsia="en-US" w:bidi="ar-SA"/>
          </w:rPr>
          <w:t>(1996), 183 A.R. 229</w:t>
        </w:r>
      </w:hyperlink>
      <w:r>
        <w:rPr>
          <w:rFonts w:ascii="arial" w:eastAsia="arial" w:hAnsi="arial" w:cs="arial"/>
          <w:color w:val="000000"/>
          <w:sz w:val="20"/>
          <w:lang w:val="en-US" w:eastAsia="en-US" w:bidi="ar-SA"/>
        </w:rPr>
        <w:t xml:space="preserve"> at para. 33 (Q.B.) (</w:t>
      </w:r>
      <w:r>
        <w:rPr>
          <w:rFonts w:ascii="arial" w:eastAsia="arial" w:hAnsi="arial" w:cs="arial"/>
          <w:i/>
          <w:color w:val="000000"/>
          <w:sz w:val="20"/>
          <w:lang w:val="en-US" w:eastAsia="en-US" w:bidi="ar-SA"/>
        </w:rPr>
        <w:t>Waterous Investments Inc.</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If the court does make an order under Rule 7-7(4), it can order that the refusing party pay the costs of proving the fact or document and can also order that the refusing party pay additional costs, or be deprived of costs, as a penalty. Generally, the amount of the award should reflect the amount of court time taken up unnecessarily because of the denial (</w:t>
      </w:r>
      <w:r>
        <w:rPr>
          <w:rFonts w:ascii="arial" w:eastAsia="arial" w:hAnsi="arial" w:cs="arial"/>
          <w:i/>
          <w:color w:val="000000"/>
          <w:sz w:val="20"/>
          <w:lang w:val="en-US" w:eastAsia="en-US" w:bidi="ar-SA"/>
        </w:rPr>
        <w:t>Blake v. Gill</w:t>
      </w:r>
      <w:r>
        <w:rPr>
          <w:rFonts w:ascii="arial" w:eastAsia="arial" w:hAnsi="arial" w:cs="arial"/>
          <w:color w:val="000000"/>
          <w:sz w:val="20"/>
          <w:lang w:val="en-US" w:eastAsia="en-US" w:bidi="ar-SA"/>
        </w:rPr>
        <w:t xml:space="preserve"> </w:t>
      </w:r>
      <w:hyperlink r:id="rId122" w:history="1">
        <w:r>
          <w:rPr>
            <w:rFonts w:ascii="arial" w:eastAsia="arial" w:hAnsi="arial" w:cs="arial"/>
            <w:i/>
            <w:color w:val="0077CC"/>
            <w:sz w:val="20"/>
            <w:u w:val="single"/>
            <w:shd w:val="clear" w:color="auto" w:fill="FFFFFF"/>
            <w:lang w:val="en-US" w:eastAsia="en-US" w:bidi="ar-SA"/>
          </w:rPr>
          <w:t>(1997), 35 B.C.L.R. (3d) 34</w:t>
        </w:r>
      </w:hyperlink>
      <w:r>
        <w:rPr>
          <w:rFonts w:ascii="arial" w:eastAsia="arial" w:hAnsi="arial" w:cs="arial"/>
          <w:color w:val="000000"/>
          <w:sz w:val="20"/>
          <w:lang w:val="en-US" w:eastAsia="en-US" w:bidi="ar-SA"/>
        </w:rPr>
        <w:t xml:space="preserve"> at para. 20 (S.C.) (</w:t>
      </w:r>
      <w:r>
        <w:rPr>
          <w:rFonts w:ascii="arial" w:eastAsia="arial" w:hAnsi="arial" w:cs="arial"/>
          <w:i/>
          <w:color w:val="000000"/>
          <w:sz w:val="20"/>
          <w:lang w:val="en-US" w:eastAsia="en-US" w:bidi="ar-SA"/>
        </w:rPr>
        <w:t>Blake</w:t>
      </w:r>
      <w:r>
        <w:rPr>
          <w:rFonts w:ascii="arial" w:eastAsia="arial" w:hAnsi="arial" w:cs="arial"/>
          <w:color w:val="000000"/>
          <w:sz w:val="20"/>
          <w:lang w:val="en-US" w:eastAsia="en-US" w:bidi="ar-SA"/>
        </w:rPr>
        <w:t>)). Thus, if a party is put to the trouble and expense of calling evidence to prove a fact that has been unreasonably denied, the originating party should be entitled to costs and disbursements in relation to that evidence (</w:t>
      </w:r>
      <w:r>
        <w:rPr>
          <w:rFonts w:ascii="arial" w:eastAsia="arial" w:hAnsi="arial" w:cs="arial"/>
          <w:i/>
          <w:color w:val="000000"/>
          <w:sz w:val="20"/>
          <w:lang w:val="en-US" w:eastAsia="en-US" w:bidi="ar-SA"/>
        </w:rPr>
        <w:t>Blake</w:t>
      </w:r>
      <w:r>
        <w:rPr>
          <w:rFonts w:ascii="arial" w:eastAsia="arial" w:hAnsi="arial" w:cs="arial"/>
          <w:color w:val="000000"/>
          <w:sz w:val="20"/>
          <w:lang w:val="en-US" w:eastAsia="en-US" w:bidi="ar-SA"/>
        </w:rPr>
        <w:t xml:space="preserve"> at para. 20; </w:t>
      </w:r>
      <w:r>
        <w:rPr>
          <w:rFonts w:ascii="arial" w:eastAsia="arial" w:hAnsi="arial" w:cs="arial"/>
          <w:i/>
          <w:color w:val="000000"/>
          <w:sz w:val="20"/>
          <w:lang w:val="en-US" w:eastAsia="en-US" w:bidi="ar-SA"/>
        </w:rPr>
        <w:t>Waterous Investments Inc.</w:t>
      </w:r>
      <w:r>
        <w:rPr>
          <w:rFonts w:ascii="arial" w:eastAsia="arial" w:hAnsi="arial" w:cs="arial"/>
          <w:color w:val="000000"/>
          <w:sz w:val="20"/>
          <w:lang w:val="en-US" w:eastAsia="en-US" w:bidi="ar-SA"/>
        </w:rPr>
        <w:t xml:space="preserve"> at para. 31). Where the originating party is otherwise entitled to costs, they are usually awarded increased costs (</w:t>
      </w:r>
      <w:r>
        <w:rPr>
          <w:rFonts w:ascii="arial" w:eastAsia="arial" w:hAnsi="arial" w:cs="arial"/>
          <w:i/>
          <w:color w:val="000000"/>
          <w:sz w:val="20"/>
          <w:lang w:val="en-US" w:eastAsia="en-US" w:bidi="ar-SA"/>
        </w:rPr>
        <w:t>Waterous Investments Inc.</w:t>
      </w:r>
      <w:r>
        <w:rPr>
          <w:rFonts w:ascii="arial" w:eastAsia="arial" w:hAnsi="arial" w:cs="arial"/>
          <w:color w:val="000000"/>
          <w:sz w:val="20"/>
          <w:lang w:val="en-US" w:eastAsia="en-US" w:bidi="ar-SA"/>
        </w:rPr>
        <w:t xml:space="preserve"> at para. 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court has awarded costs of proving a fact or document, or denied costs, at different scales as the circumstances demand. These include:</w:t>
      </w:r>
      <w:r>
        <w:rPr>
          <w:rFonts w:ascii="arial" w:eastAsia="arial" w:hAnsi="arial" w:cs="arial"/>
          <w:sz w:val="20"/>
          <w:lang w:val="en-US" w:eastAsia="en-US" w:bidi="ar-SA"/>
        </w:rPr>
        <w:cr/>
      </w:r>
    </w:p>
    <w:p>
      <w:pPr>
        <w:numPr>
          <w:numId w:val="2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double costs and disbursements: for three days of trial occupied by liability, which should have been admitted, as well as double disbursements related to liability (</w:t>
      </w:r>
      <w:r>
        <w:rPr>
          <w:rFonts w:ascii="arial" w:eastAsia="arial" w:hAnsi="arial" w:cs="arial"/>
          <w:i/>
          <w:color w:val="000000"/>
          <w:sz w:val="20"/>
          <w:lang w:val="en-US" w:eastAsia="en-US" w:bidi="ar-SA"/>
        </w:rPr>
        <w:t>Glendale</w:t>
      </w:r>
      <w:r>
        <w:rPr>
          <w:rFonts w:ascii="arial" w:eastAsia="arial" w:hAnsi="arial" w:cs="arial"/>
          <w:color w:val="000000"/>
          <w:sz w:val="20"/>
          <w:lang w:val="en-US" w:eastAsia="en-US" w:bidi="ar-SA"/>
        </w:rPr>
        <w:t xml:space="preserve"> at paras. 38-40); for costs and disbursements associated with a witness whose testimony would not have been necessary had a reasonable admission been made (</w:t>
      </w:r>
      <w:r>
        <w:rPr>
          <w:rFonts w:ascii="arial" w:eastAsia="arial" w:hAnsi="arial" w:cs="arial"/>
          <w:i/>
          <w:color w:val="000000"/>
          <w:sz w:val="20"/>
          <w:lang w:val="en-US" w:eastAsia="en-US" w:bidi="ar-SA"/>
        </w:rPr>
        <w:t>Blake</w:t>
      </w:r>
      <w:r>
        <w:rPr>
          <w:rFonts w:ascii="arial" w:eastAsia="arial" w:hAnsi="arial" w:cs="arial"/>
          <w:color w:val="000000"/>
          <w:sz w:val="20"/>
          <w:lang w:val="en-US" w:eastAsia="en-US" w:bidi="ar-SA"/>
        </w:rPr>
        <w:t xml:space="preserve"> at para. 24);</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triple costs for the days of trial and trial preparation required to prove the authenticity of documents as business records (</w:t>
      </w:r>
      <w:r>
        <w:rPr>
          <w:rFonts w:ascii="arial" w:eastAsia="arial" w:hAnsi="arial" w:cs="arial"/>
          <w:i/>
          <w:color w:val="000000"/>
          <w:sz w:val="20"/>
          <w:lang w:val="en-US" w:eastAsia="en-US" w:bidi="ar-SA"/>
        </w:rPr>
        <w:t>American Creek Resources Ltd. v. Teuton Resources Corp.</w:t>
      </w:r>
      <w:r>
        <w:rPr>
          <w:rFonts w:ascii="arial" w:eastAsia="arial" w:hAnsi="arial" w:cs="arial"/>
          <w:color w:val="000000"/>
          <w:sz w:val="20"/>
          <w:lang w:val="en-US" w:eastAsia="en-US" w:bidi="ar-SA"/>
        </w:rPr>
        <w:t xml:space="preserve">, </w:t>
      </w:r>
      <w:hyperlink r:id="rId123" w:history="1">
        <w:r>
          <w:rPr>
            <w:rFonts w:ascii="arial" w:eastAsia="arial" w:hAnsi="arial" w:cs="arial"/>
            <w:i/>
            <w:color w:val="0077CC"/>
            <w:sz w:val="20"/>
            <w:u w:val="single"/>
            <w:shd w:val="clear" w:color="auto" w:fill="FFFFFF"/>
            <w:lang w:val="en-US" w:eastAsia="en-US" w:bidi="ar-SA"/>
          </w:rPr>
          <w:t>2014 BCSC 2214</w:t>
        </w:r>
      </w:hyperlink>
      <w:r>
        <w:rPr>
          <w:rFonts w:ascii="arial" w:eastAsia="arial" w:hAnsi="arial" w:cs="arial"/>
          <w:color w:val="000000"/>
          <w:sz w:val="20"/>
          <w:lang w:val="en-US" w:eastAsia="en-US" w:bidi="ar-SA"/>
        </w:rPr>
        <w:t xml:space="preserve"> at paras. 108-111, aff'd </w:t>
      </w:r>
      <w:hyperlink r:id="rId124" w:history="1">
        <w:r>
          <w:rPr>
            <w:rFonts w:ascii="arial" w:eastAsia="arial" w:hAnsi="arial" w:cs="arial"/>
            <w:i/>
            <w:color w:val="0077CC"/>
            <w:sz w:val="20"/>
            <w:u w:val="single"/>
            <w:shd w:val="clear" w:color="auto" w:fill="FFFFFF"/>
            <w:lang w:val="en-US" w:eastAsia="en-US" w:bidi="ar-SA"/>
          </w:rPr>
          <w:t>2015 BCCA 170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American Creek Resources Ltd.</w:t>
      </w:r>
      <w:r>
        <w:rPr>
          <w:rFonts w:ascii="arial" w:eastAsia="arial" w:hAnsi="arial" w:cs="arial"/>
          <w:color w:val="000000"/>
          <w:sz w:val="20"/>
          <w:lang w:val="en-US" w:eastAsia="en-US" w:bidi="ar-SA"/>
        </w:rPr>
        <w:t>));</w:t>
      </w:r>
    </w:p>
    <w:p>
      <w:pPr>
        <w:numPr>
          <w:numId w:val="2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denial of a successful defendant's costs for the six days of trial that would have been unnecessary had the defendant made a reasonable admission (</w:t>
      </w:r>
      <w:r>
        <w:rPr>
          <w:rFonts w:ascii="arial" w:eastAsia="arial" w:hAnsi="arial" w:cs="arial"/>
          <w:i/>
          <w:color w:val="000000"/>
          <w:sz w:val="20"/>
          <w:lang w:val="en-US" w:eastAsia="en-US" w:bidi="ar-SA"/>
        </w:rPr>
        <w:t>Tricontinental Investments Co. v. Guarantee Co. of North America et al.</w:t>
      </w:r>
      <w:r>
        <w:rPr>
          <w:rFonts w:ascii="arial" w:eastAsia="arial" w:hAnsi="arial" w:cs="arial"/>
          <w:color w:val="000000"/>
          <w:sz w:val="20"/>
          <w:lang w:val="en-US" w:eastAsia="en-US" w:bidi="ar-SA"/>
        </w:rPr>
        <w:t xml:space="preserve"> </w:t>
      </w:r>
      <w:hyperlink r:id="rId125" w:history="1">
        <w:r>
          <w:rPr>
            <w:rFonts w:ascii="arial" w:eastAsia="arial" w:hAnsi="arial" w:cs="arial"/>
            <w:i/>
            <w:color w:val="0077CC"/>
            <w:sz w:val="20"/>
            <w:u w:val="single"/>
            <w:shd w:val="clear" w:color="auto" w:fill="FFFFFF"/>
            <w:lang w:val="en-US" w:eastAsia="en-US" w:bidi="ar-SA"/>
          </w:rPr>
          <w:t>(1988), 29 C.P.C. (2d) 99</w:t>
        </w:r>
      </w:hyperlink>
      <w:r>
        <w:rPr>
          <w:rFonts w:ascii="arial" w:eastAsia="arial" w:hAnsi="arial" w:cs="arial"/>
          <w:color w:val="000000"/>
          <w:sz w:val="20"/>
          <w:lang w:val="en-US" w:eastAsia="en-US" w:bidi="ar-SA"/>
        </w:rPr>
        <w:t xml:space="preserve"> at 104-105, </w:t>
      </w:r>
      <w:hyperlink r:id="rId125" w:history="1">
        <w:r>
          <w:rPr>
            <w:rFonts w:ascii="arial" w:eastAsia="arial" w:hAnsi="arial" w:cs="arial"/>
            <w:i/>
            <w:color w:val="0077CC"/>
            <w:sz w:val="20"/>
            <w:u w:val="single"/>
            <w:shd w:val="clear" w:color="auto" w:fill="FFFFFF"/>
            <w:lang w:val="en-US" w:eastAsia="en-US" w:bidi="ar-SA"/>
          </w:rPr>
          <w:t>34 C.C.L.I. 293</w:t>
        </w:r>
      </w:hyperlink>
      <w:r>
        <w:rPr>
          <w:rFonts w:ascii="arial" w:eastAsia="arial" w:hAnsi="arial" w:cs="arial"/>
          <w:color w:val="000000"/>
          <w:sz w:val="20"/>
          <w:lang w:val="en-US" w:eastAsia="en-US" w:bidi="ar-SA"/>
        </w:rPr>
        <w:t xml:space="preserve">) (Ont. High Ct. J.), aff'd </w:t>
      </w:r>
      <w:hyperlink r:id="rId126" w:history="1">
        <w:r>
          <w:rPr>
            <w:rFonts w:ascii="arial" w:eastAsia="arial" w:hAnsi="arial" w:cs="arial"/>
            <w:i/>
            <w:color w:val="0077CC"/>
            <w:sz w:val="20"/>
            <w:u w:val="single"/>
            <w:shd w:val="clear" w:color="auto" w:fill="FFFFFF"/>
            <w:lang w:val="en-US" w:eastAsia="en-US" w:bidi="ar-SA"/>
          </w:rPr>
          <w:t>(1991), 48 C.C.L.I. 1</w:t>
        </w:r>
      </w:hyperlink>
      <w:r>
        <w:rPr>
          <w:rFonts w:ascii="arial" w:eastAsia="arial" w:hAnsi="arial" w:cs="arial"/>
          <w:color w:val="000000"/>
          <w:sz w:val="20"/>
          <w:lang w:val="en-US" w:eastAsia="en-US" w:bidi="ar-SA"/>
        </w:rPr>
        <w:t xml:space="preserve">, </w:t>
      </w:r>
      <w:hyperlink r:id="rId126" w:history="1">
        <w:r>
          <w:rPr>
            <w:rFonts w:ascii="arial" w:eastAsia="arial" w:hAnsi="arial" w:cs="arial"/>
            <w:i/>
            <w:color w:val="0077CC"/>
            <w:sz w:val="20"/>
            <w:u w:val="single"/>
            <w:shd w:val="clear" w:color="auto" w:fill="FFFFFF"/>
            <w:lang w:val="en-US" w:eastAsia="en-US" w:bidi="ar-SA"/>
          </w:rPr>
          <w:t>[1991] O.J. No. 3049</w:t>
        </w:r>
      </w:hyperlink>
      <w:r>
        <w:rPr>
          <w:rFonts w:ascii="arial" w:eastAsia="arial" w:hAnsi="arial" w:cs="arial"/>
          <w:color w:val="000000"/>
          <w:sz w:val="20"/>
          <w:lang w:val="en-US" w:eastAsia="en-US" w:bidi="ar-SA"/>
        </w:rPr>
        <w:t xml:space="preserve"> (C.A.)); and</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solicitor-and-client costs or special costs for the expenses that would have been unnecessary had reasonable admissions been made (</w:t>
      </w:r>
      <w:r>
        <w:rPr>
          <w:rFonts w:ascii="arial" w:eastAsia="arial" w:hAnsi="arial" w:cs="arial"/>
          <w:i/>
          <w:color w:val="000000"/>
          <w:sz w:val="20"/>
          <w:lang w:val="en-US" w:eastAsia="en-US" w:bidi="ar-SA"/>
        </w:rPr>
        <w:t>To v. Toronto Board of Education</w:t>
      </w:r>
      <w:r>
        <w:rPr>
          <w:rFonts w:ascii="arial" w:eastAsia="arial" w:hAnsi="arial" w:cs="arial"/>
          <w:color w:val="000000"/>
          <w:sz w:val="20"/>
          <w:lang w:val="en-US" w:eastAsia="en-US" w:bidi="ar-SA"/>
        </w:rPr>
        <w:t xml:space="preserve"> </w:t>
      </w:r>
      <w:hyperlink r:id="rId127" w:history="1">
        <w:r>
          <w:rPr>
            <w:rFonts w:ascii="arial" w:eastAsia="arial" w:hAnsi="arial" w:cs="arial"/>
            <w:i/>
            <w:color w:val="0077CC"/>
            <w:sz w:val="20"/>
            <w:u w:val="single"/>
            <w:shd w:val="clear" w:color="auto" w:fill="FFFFFF"/>
            <w:lang w:val="en-US" w:eastAsia="en-US" w:bidi="ar-SA"/>
          </w:rPr>
          <w:t>(2001), 55 O.R. (3d) 641</w:t>
        </w:r>
      </w:hyperlink>
      <w:r>
        <w:rPr>
          <w:rFonts w:ascii="arial" w:eastAsia="arial" w:hAnsi="arial" w:cs="arial"/>
          <w:color w:val="000000"/>
          <w:sz w:val="20"/>
          <w:lang w:val="en-US" w:eastAsia="en-US" w:bidi="ar-SA"/>
        </w:rPr>
        <w:t xml:space="preserve">, </w:t>
      </w:r>
      <w:hyperlink r:id="rId127" w:history="1">
        <w:r>
          <w:rPr>
            <w:rFonts w:ascii="arial" w:eastAsia="arial" w:hAnsi="arial" w:cs="arial"/>
            <w:i/>
            <w:color w:val="0077CC"/>
            <w:sz w:val="20"/>
            <w:u w:val="single"/>
            <w:shd w:val="clear" w:color="auto" w:fill="FFFFFF"/>
            <w:lang w:val="en-US" w:eastAsia="en-US" w:bidi="ar-SA"/>
          </w:rPr>
          <w:t>204 D.L.R. (4th) 704</w:t>
        </w:r>
      </w:hyperlink>
      <w:r>
        <w:rPr>
          <w:rFonts w:ascii="arial" w:eastAsia="arial" w:hAnsi="arial" w:cs="arial"/>
          <w:color w:val="000000"/>
          <w:sz w:val="20"/>
          <w:lang w:val="en-US" w:eastAsia="en-US" w:bidi="ar-SA"/>
        </w:rPr>
        <w:t xml:space="preserve"> (C.A.)); however, these are unlikely to be awarded in the absence of a failure to admit that was reprehensible (</w:t>
      </w:r>
      <w:r>
        <w:rPr>
          <w:rFonts w:ascii="arial" w:eastAsia="arial" w:hAnsi="arial" w:cs="arial"/>
          <w:i/>
          <w:color w:val="000000"/>
          <w:sz w:val="20"/>
          <w:lang w:val="en-US" w:eastAsia="en-US" w:bidi="ar-SA"/>
        </w:rPr>
        <w:t>American Creek Resources Ltd.</w:t>
      </w:r>
      <w:r>
        <w:rPr>
          <w:rFonts w:ascii="arial" w:eastAsia="arial" w:hAnsi="arial" w:cs="arial"/>
          <w:color w:val="000000"/>
          <w:sz w:val="20"/>
          <w:lang w:val="en-US" w:eastAsia="en-US" w:bidi="ar-SA"/>
        </w:rPr>
        <w:t xml:space="preserve"> at para. 110).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While the cost consequences of an unreasonable failure to admit are usually confined to the costs of proving the truth of facts or the authenticity of documents, the power conferred by Rule 7-7(4) to penalize a party by awarding additional costs or depriving a party of costs "as the court considers appropriate" suggests that in an appropriate case the court could go further. At the least, it is not outside of contemplation that if the entire trial could have been avoided had reasonable admissions been made (for example, if the originating party could have applied for judgment on admissions under Rule 7-7(6)), the party who unreasonably failed to admit the facts could be penalized by an award of additional costs for all steps taken following delivery of the notice to admit.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Here, the plaintiff bus driver would not have had to lead any evidence and would not have had to cross-examine other parties or witnesses if the facts had not been unreasonably denied. Other than perhaps being called as a witness in the Ceperkovic action, Patriquin would not have had to appear. An award of double costs against the defendants, MacDonald and Janet MacDonald, for trial preparation, attendance at trial and written argument and an award of ordinary costs for time spent in preparing Patriquin for testimony is very reasonable. The plaintiff, Patriquin, is awarded those costs pursuant to Rule 7-7(4).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Francis MacDonald and Janet MacDonald are 100% liable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Ceperkovic is entitled to costs and disbursements in the action on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Patriquin is entitled to an award of double costs for trial preparation, attendance at trial and written argument and an award of ordinary costs on Scale B for time spent in preparing Patriquin for testimony and for the balance of costs and disbursements in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J.R. DILLON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CORRECTION</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Released: June 14,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On the front page, R.C. Brun Q.C. has been removed as counsel for the plaintiff Patriquin.</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53" style="position:absolute;z-index:25186406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28"/>
          <w:headerReference w:type="default" r:id="rId129"/>
          <w:footerReference w:type="even" r:id="rId130"/>
          <w:footerReference w:type="default" r:id="rId131"/>
          <w:headerReference w:type="first" r:id="rId132"/>
          <w:footerReference w:type="first" r:id="rId13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34" w:history="1">
        <w:r>
          <w:rPr>
            <w:rFonts w:ascii="arial" w:eastAsia="arial" w:hAnsi="arial" w:cs="arial"/>
            <w:b/>
            <w:bCs/>
            <w:i/>
            <w:color w:val="0077CC"/>
            <w:kern w:val="32"/>
            <w:sz w:val="28"/>
            <w:szCs w:val="32"/>
            <w:u w:val="single"/>
            <w:shd w:val="clear" w:color="auto" w:fill="FFFFFF"/>
            <w:lang w:val="en-US" w:eastAsia="en-US" w:bidi="ar-SA"/>
          </w:rPr>
          <w:t>Citifund Capital Corp. v. Happy Valley Resort Ltd., [2010] B.C.J. No. 451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 Humphries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19-23 and November 2,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16,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S072348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[2010] B.C.J. No. 451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BCSC 332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69 B.L.R. (4th) 280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187 A.C.W.S. (3d) 93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CarswellBC 620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Citifund Capital Corp. and Goodstone Capital Corporation, Plaintiffs, and Happy Valley Resort Ltd.,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(160 paras.)</w:t>
      </w:r>
    </w:p>
    <w:p>
      <w:pPr>
        <w:spacing w:line="24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[Editor's note: Supplementary reasons for judgment were released January 10, 2011. See </w:t>
      </w:r>
      <w:hyperlink r:id="rId135" w:history="1">
        <w:r>
          <w:rPr>
            <w:rFonts w:ascii="arial" w:eastAsia="arial" w:hAnsi="arial" w:cs="arial"/>
            <w:i/>
            <w:color w:val="0077CC"/>
            <w:sz w:val="18"/>
            <w:u w:val="single"/>
            <w:shd w:val="clear" w:color="auto" w:fill="FFFFFF"/>
            <w:lang w:val="en-US" w:eastAsia="en-US" w:bidi="ar-SA"/>
          </w:rPr>
          <w:t>[2011] B.C.J. No. 24</w:t>
        </w:r>
      </w:hyperlink>
      <w:r>
        <w:rPr>
          <w:rFonts w:ascii="arial" w:eastAsia="arial" w:hAnsi="arial" w:cs="arial"/>
          <w:color w:val="000000"/>
          <w:sz w:val="18"/>
          <w:lang w:val="en-US" w:eastAsia="en-US" w:bidi="ar-SA"/>
        </w:rPr>
        <w:t>.]</w:t>
      </w:r>
      <w:r>
        <w:rPr>
          <w:rFonts w:ascii="arial" w:eastAsia="arial" w:hAnsi="arial" w:cs="arial"/>
          <w:sz w:val="20"/>
          <w:lang w:val="en-US" w:eastAsia="en-US" w:bidi="ar-SA"/>
        </w:rPr>
        <w:cr/>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54" style="position:absolute;z-index:2516643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8" w:name="Keywords_5"/>
      <w:bookmarkEnd w:id="38"/>
      <w:r>
        <w:rPr>
          <w:rFonts w:ascii="arial" w:eastAsia="arial" w:hAnsi="arial" w:cs="arial"/>
          <w:b/>
          <w:color w:val="000000"/>
          <w:sz w:val="20"/>
          <w:lang w:val="en-US" w:eastAsia="en-US" w:bidi="ar-SA"/>
        </w:rPr>
        <w:t>Banking and finance law — Banking — Loans — Claim by plaintiff Citifund Capital Corp. for $627,563 allegedly owing as commission on a loan plus contractual interest dismissed — Claim by plaintiff Goodstone Capital Corp. for specific performance of a purchase contract for one of the units in the condo development adjourned — Citifund had waived its rights under the parties' exclusive agency agreement after the defendant informed it that it would have to proceed with obtaining funds from CIBC, and the contract ceased to operate in its entirety due to that waiver — The parties were invited to make further submissions with respect to the Goodstone claim.</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Contracts — Performance and discharge — Performance — Discharge by agreement — Waiver — Claim by plaintiff Citifund Capital Corp. for $627,563 allegedly owing as commission on a loan plus contractual interest dismissed — Claim by plaintiff Goodstone Capital Corp. for specific performance of a purchase contract for one of the units in the condo development adjourned — Citifund had waived its rights under the parties' exclusive agency agreement after the defendant informed it that it would have to proceed with obtaining funds from CIBC, and the contract ceased to operate in its entirety due to that waiver — The parties were invited to make further submissions with respect to the Goodstone claim.</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Contracts — Breach of contract — General principles — Claim by plaintiff Citifund Capital Corp. for $627,563 allegedly owing as commission on a loan plus contractual interest dismissed — Claim by plaintiff Goodstone Capital Corp. for specific performance of a purchase contract for one of the units in the condo development adjourned — Citifund had waived its rights under the parties' exclusive agency agreement after the defendant informed it that it would have to proceed with obtaining funds from CIBC, and the contract ceased to operate in its entirety due to that waiver — The parties were invited to make further submissions with respect to the Goodstone claim.</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9" w:name="Case Summary_5"/>
            <w:bookmarkEnd w:id="3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Claim by plaintiff Citifund Capital Corp. for $627,563, allegedly owing as commission on a loan plus contractual interest. In Sept. 2005, the plaintiff entered into an exclusive agency agreement with the defendant Happy Valley Resort Ltd., whereby the plaintiff agreed to pursue loan financing in the amount of $49,793,000 for a condo development. Although the plaintiff never obtained the financing, it argued it was owed the commission because the defendant breached the EAA by financing the loan through the Canadian Imperial Bank of Commerce. There was also an additional claim by the plaintiff Goodstone Capital Corporation for specific performance of a purchase contract for one of the units in the condo development. The defendant argued that it entered into the EAA relying on misrepresentations by Citifund in respect of its ability to obtain timely financing on very favourable terms, insured by the Canadian Mortgage and Housing Commission. Alternatively, the defendant argued it was released from the contract, or that Citifund waived its rights under the contract. Finally, the defendant counterclaimed for rescission of the agreement and for declarations that no commission was payable and the agreement was void and unenforceable.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40" w:name="Holdings of Court_3"/>
            <w:bookmarkEnd w:id="40"/>
            <w:r>
              <w:rPr>
                <w:rFonts w:ascii="arial" w:eastAsia="arial" w:hAnsi="arial" w:cs="arial"/>
                <w:color w:val="000000"/>
                <w:sz w:val="20"/>
                <w:lang w:val="en-US" w:eastAsia="en-US" w:bidi="ar-SA"/>
              </w:rPr>
              <w:t>HELD: Citifund's claim dismissed; Goodstone claim adjourned.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Citifund had waived its rights under the agreement. Both parties were at fault. In the commitment letter, Citifund represented that it had a lender in place when it did not. Good misled Smith into believing Citifund had a lender in place and could obtain huge savings in financing for Happy Valley through hit assurances that CMHC approval was a mere formality when he had not researched CMHC's position and their approval was not in his control. He supported his bid for Smith's business by a misleading, false commitment letter. However, Smith admitted he did not read the documents he signed and he did not go through them with Bassett. Despite not reading the documents carefully, Smith must have realized that an application had to be made to CMHC and that their approval was conditional on receipt of satisfactory information from him, because he sent the application fee and the information to Good to be forwarded to CMHC. Citifund ought not to be allowed to escape the consequences of its misleading statements because Smith did not read the document. Smith did listen to and rely on Good. He accepted the statement that Citifund could provide funding at a substantial savings in a timely manner, and that CMHC approval was a virtual certainty. That representation was not valid, and without it, Smith would not have signed the EAA. However, Smith did not act prudently or reasonably in signing the documents without reading them. Good had waived the right to 10 days' written notice terminating the contract, and the rights specified in the contract which were to continue even after the termination of the contract. His intention to relinquish the right to receive 10 days' written notice was evidence from the conversations he had with Smith and Bassett, and his subsequent conduct. Once Bassett and Smith confirmed with Good that Citifund had not obtained CMHC approval, they told Good they would have to proceed with obtaining financing from CIBC, and that Good, although disappointed, accepted this and did not raise the EAA. There was a further conversation in January in which Good was told a deal had been made with CIBC. The fact that Good did make some contact with banks in January did not support his contention that Citifund thought it was still operating under the EAA. Both Smith and Good were operating on the same assumption after the conversations, namely that the EAA was not governing anymore. There was no communication or conduct that could be construed as a retraction of Citifund's waiver of reliance on formal termination of the EAA. The EAA in its entirety ceased to operate as a result of the waiver. As for the argument that the Lombard mortgage triggered the commission, a logical interpretation would not include a commission of $232,000, which was predicated upon and calculated from a loan of $49,793,000 being obtained arising from the placing of a mortgage in respect of a loan of $12 million. Such a result would be nonsensical and inconsistent with the specified consideration in the EAA. Furthermore, the court ought not to address a claim in quantum meruit when the case had been pleaded and argued only in contract unless the parties had an opportunity to make further submissions. As for the Goodstone claim, the parties were invited to make further submissions on the issue of whether the pleadings should be amended to include a claim in quantum meruit in respect of Good's efforts in obtaining the Lombard insurance, and if the amendments are allowed, on the merits of such a claim and the amount of damages.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41" w:name="Counsel_5"/>
      <w:bookmarkEnd w:id="4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55" style="position:absolute;z-index:2517155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J.K. McEwan, Q.C., M.B. Rankin.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T.S. Kent, L. Baptie.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42" w:name="Judgment_5"/>
      <w:bookmarkEnd w:id="42"/>
      <w:r>
        <w:pict>
          <v:line id="_x0000_s1056" style="position:absolute;z-index:25176678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1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43" w:name="M.A. HUMPHRIES J."/>
            <w:bookmarkEnd w:id="43"/>
            <w:r>
              <w:rPr>
                <w:rFonts w:ascii="arial" w:eastAsia="arial" w:hAnsi="arial" w:cs="arial"/>
                <w:b/>
                <w:color w:val="000000"/>
                <w:sz w:val="30"/>
                <w:lang w:val="en-US" w:eastAsia="en-US" w:bidi="ar-SA"/>
              </w:rPr>
              <w:t>M.A. HUMPHRIES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In September of 2005, the plaintiff, Citifund Capital Corp. ("Citifund"), entered into an Exclusive Agency Agreement ("the EAA") with the defendant, Happy Valley Resort Ltd. ("Happy Valley"), in which Citifund agreed to pursue loan financing in the amount of $49,793,000 for a large condominium development called Barona Beach Resort to be built by Happy Valley in Westbank, B.C. Although Citifund never did obtain the financing, it claims it is owed between $606,940 and $627,563, that is the minimum commission of 0.5% of the loan amount plus contractual interest, because Happy Valley breached the EAA by financing the loan through the Canadian Imperial Bank of Commerce ("CIBC").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Goodstone Capital Corporation ("Goodstone"), is an entity owned by Mr. Good, the Citifund broker who dealt with Happy Valley. Goodstone's claim is for specific performance of a purchase contract for one of the units in the condominium development.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Happy Valley's original defence denied the existence of the Exclusive Agency Agreement and alleged another agreement which expressly excluded loans from CIBC. The defence was later amended to acknowledge the EAA, but to allege that Happy Valley entered into it relying on misrepresentations by Citifund in respect of its ability to obtain timely financing on very favourable terms, insured by the Canadian Mortgage and Housing Commission ("CMHC"). Happy Valley alleges, in the alternative, that it was released from the contract, or that Citifund waived its rights under the contract. Happy Valley also counterclaims for rescission of the agreement and for declarations that no commission is payable and that the agreement is void and unenforceable.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agreement upon which the action is based is set out below. It purports to be between Citifund and a numbered company, 0733165 BC Ltd. No issue was made of the borrower and signatory to the contract being the numbered company rather than the named defendant, Happy Valley, except what might be inferred from Happy Valley's defence in which it denies entering into an agreement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Ermanno Barone and Elaine Barone owned several acres of lakefront in Westbank, B.C., which is near Kelowna. Stewart Smith is a local businessman who owned a small marina. The three entered into an agreement to develop a large condominium project on the lake called Barona Beach Resort. They eventually entered into a joint venture: the defendant, Happy Valley Resort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March of 2005, Mr. Good from Citifund was introduced to Mr. Smith by a representative from the realtor, MAC Marketing, who was to sell the project. The meeting was a casual social encounter. Mr. Good expressed interest in Mr. Smith's project. Mr. Smith testified that he was unaware that Citifund was a mortgage broker; he said it was portrayed to him as a financing institution, somewhat like a development bank.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Good kept in touch with Mr. Smith, and learned that he wanted to obtain as large a loan as possible to have as much leverage as he could. Mr. Good told Mr. Smith he could get him a better deal on financing if the loan were insured through CMHC. On June 22, 2005, Mr. Good sent Mr. Smith an email containing a copy of Citifund's standard engagement letter, with a note saying he was looking forward to getting things going, had talked to one of his "pension fund" guys who was quite keen on the deal, and that CMHC was "very bullish" on the Kelowna/Westbank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Over the next couple of months, Mr. Good sent Mr. Smith a series of draft commitment letters containing various terms with a standard list of information he would require for the disbursement of funds: various pieces of financial information, an appraisal report, plans and specifications, construction budget, survey report, soils tests and environmental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Smith also received information from MCAP, another brokerage firm, and from CIBC, his bank of longstanding, and compared the loan costs. Mr. Esler from MCAP had met Mr. Barone in 2004 and was also looking into CMHC financing for the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Good said he knew Mr. Smith was speaking to other lenders as well during this time frame, particularly MCAP and CIBC.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Before entering into a formal joint venture with the Barones or pursuing a commitment for a loan, Mr. Smith worked towards a pre-sales event which was to occur on September 10, 2005. The event went very well and all the units were pre-sold. Mr. Good signed an agreement that day to purchase a unit. This is the subject of the claim by Goodstone, which will be dealt with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After the success of the pre-sales event, Mr. Smith felt he was in a good position to get favourable terms on a loan, and agreed to use Citifund. From the information provided to Mr. Smith by Mr. Good, Mr. Smith believed that Happy Valley would save approximately $400,000 in financing costs through a loan secured by CMHC. Mr. Good presented Mr. Smith with two documents to sign: the EAA and the commitment letter. Both were in substantially the same form as the drafts presented earlier, but the terms were better.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document on which the Statement of Claim is based, the EAA, is entitled "Exclusive Agency to Obtain a Loan," and is dated September 26, 2005. The agreement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Citifund Capital Corp. ("CCC")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Date: September 26, 2005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From: 0733165 BC Ltd. ("the Borrower")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consideration of CCC accepting this Exclusive Agency and in consideration of CCC agreeing to pursue a loan on behalf of the Borrower in accordance with the Guidelines set out below, the Borrower grants to CCC the exclusive right to arrange a loan with respect to project known as Barona Beach Resort in Westbank, B.C. with the following legal description: lot B, Plan 32484, DL 434, ODYD, (hereinafter referred to as the "Property").</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Guidelines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5"/>
        <w:gridCol w:w="2398"/>
        <w:gridCol w:w="240"/>
        <w:gridCol w:w="5421"/>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35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Loan Amount</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$49,793,000 (based on 85% cost with land at $16,000.000) including CMHC premium</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35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Interest Rate</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BA Rate plus .75% or better (BA Rate is currently 2.817%)</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35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Lender's Fee</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up to 1/4% (included in Commission as stated below)</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Security a)</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First Mortgage over the subject property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Personal Guarantee of Stuart Smith</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Corporate Guarantee of Belco Holdings Inc.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Immediately upon the occurrence of any one of the events described in paragraphs (a) through (f) below, the Borrower agrees to pay CCC a commission of three quarters of one percent (1/2% [sic]) of the loan amount (minimum commission $248,965) (hereinafter referred to as the "Commission") exclusive of any fees which CCC may obtain from such lender who agrees to make any such loan.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 Upon a commitment to loan being given either to CCC</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or the Borrower during the term of this Exclusive Agency</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substantially in accordance with the above Guidelines: or</w:t>
      </w:r>
      <w:r>
        <w:rPr>
          <w:rFonts w:ascii="arial" w:eastAsia="arial" w:hAnsi="arial" w:cs="arial"/>
          <w:sz w:val="20"/>
          <w:lang w:val="en-US" w:eastAsia="en-US" w:bidi="ar-SA"/>
        </w:rPr>
        <w:cr/>
      </w:r>
    </w:p>
    <w:p>
      <w:pPr>
        <w:numPr>
          <w:numId w:val="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Upon a commitment to loan being given either to CCC or the Borrower during the term of this Exclusive Agency on terms acceptable to the Borrower, whether the acceptance of the commitment to loan is made by the Borrower before or after the termination of this Exclusive Agency, and whether or not the commitment to loan constitutes a binding contract to lend; or</w:t>
      </w:r>
    </w:p>
    <w:p>
      <w:pPr>
        <w:numPr>
          <w:numId w:val="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Upon execution of an agreement to execute a mortgage against the Property or other security involving the Property during the term of this Exclusive Agency, whether or not the efforts of CCC or its agents were an effective cause thereof; or</w:t>
      </w:r>
    </w:p>
    <w:p>
      <w:pPr>
        <w:numPr>
          <w:numId w:val="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Upon any commitment to loan being given to the Borrower at any time, whether during the existence or after the termination of this agreement in respect of which the efforts of CCC or its agents were an effective cause; or</w:t>
      </w:r>
    </w:p>
    <w:p>
      <w:pPr>
        <w:numPr>
          <w:numId w:val="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Upon a lender being introduced to the Borrower or to the Property during the term of this agreement who provides a commitment to lend pursuant to the Guidelines, or on other terms acceptable to the Borrower, whether the lender is introduced by CCC or its agents or any other person or by the Borrower, and whether the Borrower accepts such other terms before or after the expiry of the term of this Exclusive agency and whether any loan is actually made; or</w:t>
      </w:r>
    </w:p>
    <w:p>
      <w:pPr>
        <w:numPr>
          <w:numId w:val="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Upon the execution by the Borrower of an Agreement to sell the Property.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the Commission is not paid immediately upon the occurrence of any of the aforesaid events, the Commission owing shall bear interest at the rate of two percent (2%) per month on the outstanding balance, compounded monthly, until paid in full (26.8% annual equivalent).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Borrower hereby gives its full and sufficient authority to the lender and/or its solicitor to deduct the amount of the fee remaining unpaid, such amount to be determined solely by CCC, from any loan advance. The Borrower assigns these funds absolutely to CCC and the Borrower directs the lender and/or its solicitor to courier these funds to CCC.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Borrower further agrees to refer to CCC all enquiries for lending on the security of the Property, and to communicate to CCC all offers to lend which may be received during the period of this Exclusive Agency or arising by reason of it, and to allow CCC and its agents or representatives as aforesaid full opportunity to show prospective lenders the Property during reasonable hours, and provide to CCC such information about the Property and about The Borrower is [sic] reasonably required to CCC for the purpose of this agreement, and otherwise to co-operate with CCC's efforts to arrange financing as aforesaid.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Borrower acknowledges having received a copy of this Exclusive Agency on this date and deposits herewith $5000 to be held by CCC to be held in trust to be applied to CCC's Commission earned on the occurrence of any of the above events, for time and expenses incurred, or in the event that the Borrower wrongfully repudiates this agreement, to be forfeited to CCC as liquidated damages.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Exclusive Agency agreement shall be for a period of 45 days from the date of execution hereto and shall be automatically extended for successive periods of 30 days unless terminated by either party on no less that [sic] 10 days notice in writing prior to the expiry of the term of this agreement or any period of extension thereof.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are no representations, warranties, guarantees, promises or agreements other than those set out herein.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hereby authorize CCC to obtain such credit reports or other information as may be deemed necessary in connection with the establishment and maintenance of a credit account or for any other direct business requirement. This consent is given pursuant to Section 12 of the Credit Reporting 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SIGNED, SEALED AND DELIVERED THIS DATE of September 27, 2005.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Applicant: 0733165 BC Ltd. and/or assignee, subsidiary or related company or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346"/>
        <w:gridCol w:w="3973"/>
        <w:gridCol w:w="25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Per: "Stewart Smith"</w:t>
            </w:r>
          </w:p>
        </w:tc>
        <w:tc>
          <w:tcPr>
            <w:tcW w:w="389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Witness: "Gary Gretzinger"</w:t>
            </w:r>
          </w:p>
        </w:tc>
        <w:tc>
          <w:tcPr>
            <w:tcW w:w="245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Accepted by Citifund Capital Corp.</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Per:________________</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 second document, called a "commitment letter," was also presented to Mr. Smith by Mr. Good. It was addressed to Belco Holdings, Mr. Smith's holding company, to Mr. Smith's attention. It is 16 pages long, with schedules attached.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It provides,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Behalf of Investor Client ("the lender"), and on the basis of information provided in connection with your request for financing, we are pleased to advise that arrangements have been made for first mortgage construction financing for the above referenced property. The mortgage financing shall be in accordance with the requirements of the National Housing Act and a certificate of insurance with special conditions annexed, to be issued by Canada Mortgage and Housing Corporation ("CMHC").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REGISTERED LENDER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Borrower acknowledges and agrees that a Canadian Mortgage Loan Services Limited (CMLS) ("the Servicer") has entered into this commitment letter to provide mortgage administration services on behalf of an Investor Client and not on its own behalf.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PURPOSE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provide a CMHC-insured, first freehold mortgage loan for the construction of a 145 unit condominium project knows as "Barona Beach" ("the Project"), located in Westbank, BC,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PRINCIPAL AMOUNT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$49,300,000 plus a CMHC insurance premium of $493,000 for a total loan of $49,793,000.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INTEREST RATE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Prevailing Bankers Acceptance rate + 75 basis points (.75%)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COMMITMENT EXPIRY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Time is of the essence. The loan must be advanced by March 1, 2006 (the Commitment Expiry Date"), failing which the Lender at its option may cancel this commitment and retain the Commitment Fee for failure on the part of the Borrower to meet a condition precedent to disbursement of funds.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SECURITY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Required security for this financing shall include:</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CMHC insured first mortgage on the Lands and the Project to secure the Principal Amount.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OTHER FINANCING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 other financing of the Project shall be permitted without the prior written consent of the Lender.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DISBURSEMENT OF FUNDS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Conditions precedent to the disbursement of funds shall be:</w:t>
      </w:r>
    </w:p>
    <w:p>
      <w:pPr>
        <w:numPr>
          <w:numId w:val="5"/>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CREDIT AND FINANCIAL INFORMATION ...</w:t>
      </w:r>
    </w:p>
    <w:p>
      <w:pPr>
        <w:numPr>
          <w:numId w:val="5"/>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APPRAISAL REPORT ...</w:t>
      </w:r>
    </w:p>
    <w:p>
      <w:pPr>
        <w:numPr>
          <w:numId w:val="5"/>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ENVIRONMENTAL REPORT</w:t>
      </w:r>
    </w:p>
    <w:p>
      <w:pPr>
        <w:numPr>
          <w:numId w:val="5"/>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SOILS TEST REPORT</w:t>
      </w:r>
    </w:p>
    <w:p>
      <w:pPr>
        <w:numPr>
          <w:numId w:val="5"/>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ARCHITECT'S CERTIFICATE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6"/>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CONSTRUCTION BUDGET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INSURED MORTGAGES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financing will be subject to review and approval of this commitment letter by CMHC. The Borrower is responsible for all underwriting or insurance fees assessed by CMHC. This financing is subject to receipt and approval of CMHC's Certificate of Insurance and authorization(s) to advance.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EVENTS OF DEFAULT: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Without limiting the events of default to be incorporated into the security documents, the following events of default entitle the Lender to exercise its remedies under the mortgage, including its rights, at its option, to require the Borrower to immediately pay the entire amount of principal and accrued interest then outstanding: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[list of events of default]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CANCELLATION CLAUSE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commitment letter may be cancelled at the Lender's option if any of the conditions set out herein are not complied with or if any of the requirements of the Lender's solicitors are not satisfactorily fulfilled by the Commitment Expiry date.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TRANSACTION FEE: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non-refundable fee equal to .50% of the loan amount will be required. This fee will be deducted from the proceeds of the first advance and remitted to Citifund Capital Corp.</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COMMITMENT FEE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Borrower shall, upon signing of this commitment letter, pay to the Lender a commitment fee of $5,000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BINDING EFFECT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approval is subject to final approval by the investor and the terms laid out by the Canada Mortgage and Housing Corporation in their Certificate of Insurance, to be issued and may be subject to change.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This letter was signed by Mr. Smith for 733165 BC Ltd., and by Elaine Barone and Emmano Barone, and marked "accepted by Citifund" on September 30, with Mr. Good's signature. The $5,000 commitment fee referred to in the letter was never paid or demanded, nor was the $5,000 deposit referred to in the EAA.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evidence respecting the circumstances under which Mr. Smith came to sign the letters differed.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Good testified that both documents were presented to Mr. Smith, and that Mr. Smith called him by speaker phone from Mr. Bassett's office to discuss them. Mr. Bassett was the solicitor for the Barona Beach project. Mr. Good said he went through the agreement line by line. He assumed Mr. Bassett was also present but does not recall him saying anything. Mr. Good produced a copy of the EAA with a fax header showing it had been sent to him from Mr. Bassett's office just after 5:00 p.m. on September 30, 2005. He signed it and scanned it into his computer on October 3, 2005. He did not recall the timing of his receipt of the commitment letter.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Smith recalled signing the commitment letter in Mr. Basset's office, with Mr. Good on the speaker phone. He said he concentrated on p. 2 and p. 15 of the letter which contain the "principal amount" and the "transaction fee." He testified they sent the commitment letter to Mr. Good, who called back to say he could not proceed without the EAA. Mr. Smith said Mr. Good insisted on having the EAA, and as Mr. Good made it clear he had the money, Mr. Smith signed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Smith could not say if he reviewed the EAA before signing it, but he said he did not go through its terms, nor did he discuss them with Mr. Bassett, although he initially said on discovery he was with Mr. Bassett when he signed the documents. Mr. Smith said that his focus was on the amount of the loan, the cost of the loan, and the expense of financing to the joint venture. He said there was no detailed conversation respecting the EAA; if there had been, he would have noted the mistakes and discrepancies in it respecting the interest rate. That is, the document spells out "three quarters of one percent" but the numbers record the correct rate of "1/2%". He said the named "Borrower" was also wrong, but admitted on cross examination that he did not know if 0733165 BC Ltd. was one of Happy Valley's companies or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At trial, Mr. Smith was uncertain where he signed the EAA, but since Mr. Gretzinger, the project construction supervisor, witnessed it, he thought he might have driven from Mr. Bassett's office to the job site which was nearby, had the document witnessed, and then took it back to Mr. Bassett's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Bassett had acted for the Barones for many years, and did not know Mr. Smith prior to their partnership with him. The Barones made it a condition that they could use Mr. Bassett's office for project business. Mr. Bassett testified that the financing of the project was Mr. Smith's responsibility and he did not get involved in it until the end of November when Mr. Smith began to deal with CIBC.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Bassett could not recall seeing the commitment letter or having it signed in front of him. He said the doors of his office were open to Mr. Smith who was in and out continuously, and used Mr. Bassett's assistant to do work for him. Mr. Bassett would not necessarily always be there when Mr. Smith was. Mr. Bassett did not recall speaking to Mr. Good in this time frame. He does recall Mr. Smith telling him that he had a commitment from Citifund and that Mr. Good was fast-tracking an application through CMHC.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Bassett was emphatic that he was not involved in the EAA and first saw the document about a month before trial. He said he was shocked to learn of it and had he known of it at the time, he would have provided appropriate advice to Mr. Smith.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Smith testified that when he signed the EAA, he understood from Mr. Good that there was a lender in place, that CMHC was a "done deal," and that Mr. Smith would receive funds within 60 days. He said Mr. Good told him Citifund was the largest firm dealing with CMHC and that there would be no problem obtaining approval for the loan; the application was just a formality.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Throughout his evidence, Mr. Smith maintained that during this time period he had no knowledge of the nature of Citifund's business as a mortgage broker, nor did he understand CMHC's business as a loan insurer.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Smith said he started construction on the basis that, having signed the documents, he would have the funds within 60 days. He said he told the trades of the time frame for the funds and they were agreeable to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Citifund took issue with the date of commencement of construction. Mr. Smith said although the actual units were not started until December, during October and November he had to clear the existing campground, take down trees, haul out the show suite and existing buildings, set up a construction company, and obtain permits.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Good testified he was optimistic that financing with CMHC approval could be obtained at that time. The pre-sales were good, the project looked profitable, and Mr. Smith had told Mr. Good he was experienced and was hiring an experienced construction manager. Mr. Good later learned that the construction manage was Mr. Gretzinger, who witnessed the EAA.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Good said he definitely did not tell Mr. Smith that the money was in place, that CMHC would approve it, or that Mr. Smith would have the money in 60 days. However, he agreed in cross examination that he was confident that CMHC would approve the project and he told Mr. Smith that. When asked if he told Mr. Smith the money was there, he said 99.9% of the time it is, once CMHC approval is obtained; when pressed to answer the specific question, he said he did not think he told Mr. Smith the money was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Mr. Good agreed on cross examination that he did not have a committed lender at the time the documents were signed. He had two potential lenders in mind, Maple Mortgage and Paribas (phonetic), but had only had preliminary calls with them. He did not discuss this process with Mr. Smith. Their participation depended on CMHC approval and he had not yet received authorization from Mr. Smith to make the application to CMHC; he did not have the necessary information to do so. He agreed that he never intended to approach CMHC until the EAA was signed.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 Good testified that he had some difficulty getting Mr. Smith to come up with all the necessary documentation to submit to CMHC, which was information any lender would require before proceeding to process a loan of the size contemplated. Letters sent to Mr. Smith following earlier discussions with Mr. Esler and with CIBC had also contained lists of similar required information. Mr. Smith said he did not know what CMHC required; he simply sent what Mr. Good requested.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 Good received information from Happy Valley's appraiser on October 13, 2005. Mr. Smith provided the application fee of $10,800 for CMHC through a cheque dated October 21, 2005, and a budget from the quantity surveyor on October 25. On October 26, Mr. Good sent a net worth statement and a CMHC application form to Mr. Smith for signature. Mr. Good was able to put together a package and submit it to CMHC on October 26, 2005. The signed net worth statement and application form were sent to Mr. Good by Mr. Smith on October 27, 2005. The construction supervisor's resume followed on November 1,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 Basset recalled speaking to Mr. Good around November 1, 2005 regarding the status of financing. Mr. Good wrote to him on November 2, 2005 to say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we have an investor who has approved the financing of the subject project.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Our current proposal is for CMHC Insured construction financing which requires CMHC to approve the loan. The application has been made to CMHC and we are currently negotiating terms.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investor will require CMHC approval in order to advance funds; therefore the CMHC approval is a key piece of the puzzle. Due to the size of this deal we will required a board approval in Ottawa and the process takes some time.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generated more than half of all of the CMHC loans in BC last year and we have an excellent relationship with CMHC as a result. We are pushing our contacts at CMHC as fast as we can to finalize this process so we can proceed with funding as quickly as 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 Smith said he heard indirectly through Mr. Bassett that there were issues with CMHC, but he had been assured by Mr. Good before he signed the EAA that CMHC was "a done deal." He was concerned that he had heard nothing from Mr. Good for a month, but was focussed on getting the project up and running.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 Good gave the impression that Mr. Smith misled him as to his experience, based on some vague statements about large deals in Alberta and Japan, which Mr. Smith denied at trial. Although Mr. Smith's resume did not reflect such experience, Mr. Good said that did not cause him concern. Mr. Good said the ultimate problem with CMHC was that they analyzed Mr. Smith's net worth differently, something he had not thought would be a problem because the project itself was so successful, based on pre-sales.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On November 9, 2005, following a meeting with CMHC, Mr. Good wrote a letter to them attempting to address their concerns about Mr. Smith's financial strength. He also suggested to Mr. Smith that they phase the project in order to make the financing more palatable to CMHC. Mr. Smith was not interested in phasing the project, and in fact said that phasing was not possible, given the design.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Ms. Maxwell from CMHC testified that she received the application in respect of the Happy Valley project from Mr. Good on October 26, 2005. Since the loan was for such a large amount, it needed to be approved in Ottawa. Complete documentation had not been retained on file due to the passage of time, but she recalled that CMHC had concerns regarding the capacity, liquidity, and competence of the borrower. CMHC could not agree on the terms of a loan, did little work on the file, and did not do a site visit, nor did they engage other parties to do an analysis. In February of 2006 they returned the entire fee of $10,800 to Mr. Smith at Belco Holdings.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Meanwhile, in the summer of 2005, both Mr. Esler from MCAP and Mr. Good contacted Mr. Lecursi, who worked for Maple Mortgage Trust Advisors, an institution that financed CMHC commercial mortgages exclusively. Mr. Lecursi did not remember the details of the conversations he had with either broker, but said he would have told them they had to decide who would be running the project. He assumed Mr. Esler backed off as he had subsequent contact only with Mr. Good. He said he would have priced the project, chatted about the deal, its strengths and weaknesses, and the merits of the project. When asked if he told Mr. Good he would approve the project, he said Mr. Good would know that without CMHC approval they couldn't approve it. He said he would have provided pricing on the loan to Mr. Good, which could be relied on if CMHC approval were obtained.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Mr. Lecursi said his company would do their own due diligence, but he was almost certain they would fund a project if CMHC had approved it. However, CMHC did not approve the transaction and Maple Mortgage never did commit to provide financing for the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Mr. Smith testified that he was absorbing all the costs through his company, Belco Holdings, while waiting for the financing. At the beginning of November, Mr. Good told Mr. Smith that he could arrange to get some funds quickly through deposit insurance from Lombard Insurance. In 2005 this type of loan was new to British Columbia, and allowed developers to use pre-sales deposits for development costs. In the usual course, there would be a construction lender in place before the deposit insurer would release the funds. Mr. Good worked with Mr. Place of BFL Canada, a brokerage service, to obtain the funding. Lombard Insurance agreed to place a mortgage of $12 million on the property, and to release $3 million on November 8, 2005, leaving a further $9 million available for release in stages once the construction lender was in place. There seems to be no issue that the rate of interest charged by Lombard was substantially less than the rate for a construction loan.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Mr. Smith testified that he learned about deposit insurance through conversations with Mr. Good and Mr. Esler from MCAP, and also through the New Home Warranty Program. Mr. Smith agreed that Mr. Good first introduced him to Lombard, but said he did not discuss this matter further with Mr. Good and dealt directly with BFL. Mr. Smith was under the impression that the funds from Lombard were connected to the release of funds from the lender.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According to Mr. Place, the special arrangements for release of funds prior to a lender being in place were made with the active involvement of Mr. Good. Mr. Place said this was an unusual deal and outside his expertise, so Mr. Good met directly with Lombard.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Mr. Smith agreed that the funding obtained from Lombard, which was available at a better rate than the construction loan, meant he had to borrow less from CIBC. Although no invoice or demand under the EAA was ever submitted in connection with the Lombard mortgage, and it was not specifically pleaded, Citifund now takes the position that in addition to the loan eventually obtained from CIBC which is referred to in the Statement of Claim, the mortgage placed by Lombard and the loan structure created as a result of the receipt of funds from Lombard triggers the payment of commission under the EAA.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Meanwhile, the success of the pre-sales event triggered renewed interest in the potential loan providers. Mr. Smith testified that he received unsolicited inquiries about financing in October from CIBC and MCAP, and did not respond to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Mr. Esler from MCAP testified he was impressed by the pre-sales, but did not get to the point of assessing the execution risk on the project because he never got the necessary information from Mr. Smith, despite repeated requests. Mr. Esler said he would have required a quantity surveyor report, an appraisal, legal vetting, and a disclosure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MCAP's form of exclusive agency agreement, sent to Mr. Barone for discussion purposes in 2004 and never signed, excepts any bank with which Happy Valley was currently dealing, that is, CIBC. The letter also lists the items MCAP would require before entering into a commitment with Happy Valley. Mr. Esler continued discussions with Mr. Smith through September of 2005 requesting necessary information. He left messages for Mr. Smith through October, and also had contact with Mr. Barone. He spoke to Mr. Smith at the beginning of November. Mr. Esler did not recall mention of an exclusive agency agreement in that conversation, although Mr. Smith had already signed the EAA from Citifund. He recalled that Mr. Smith mentioned Citifund and a commitment, but Mr. Esler testified he assumed the commitment was conditional because he knew from his own conversations with CMHC that they had not approved the project. Mr. Esler said it was not his firm's practice to issue a commitment letter such as the one Mr. Smith eventually signed at Citifund's urging on September 30, 2005, as they do not send out such letters until they have secured CMHC backing.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On November 2, 2005, Mr. Esler sent a final proposal to Mr. Smith. Mr. Esler's last conversation was with Mr. Bassett on November 22, who told him they were finding CMHC very bureaucratic. Mr. Esler said he suggested to Mr. Bassett that his company had a better relationship with CMHC than did Citifund. However, that was the end of their discussions.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A letter from CIBC to Mr. Smith dated November 17, 2005, refers to a phone call between them. Mr. Smith could not recall the phone call, but testified that he was worried that Mr. Good could not provide financing as promised. He said he and Mr. Bassett called Mr. Good in November or December. Mr. Good confirmed that CMHC would not approve the financing, and Mr. Smith had to "eat crow" with his bank. In cross examination, Mr. Smith agreed there was a second conversation in January in which he told Mr. Good they had to go elsewhere for financing. He said Mr. Good was not upset that they decided they could not proceed with him; he indicated it was just business. Mr. Bassett's recollection was similar. From his point of view, all dealings with Citifund were over as of the telephone call; Mr. Good did not give any indication to the contrary. As mentioned earlier, Mr. Bassett testified that he knew nothing of the EAA and if he had, he would have provided appropriate advice.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Mr. Bassett had little recollection of conversations and time frames. He had kept some cryptic undated notes. The first appears to have been written about a week after the CMHC application and while the deposit insurance negotiations were going on with Lombard. It refers to Mr. Place at BFL and also contains a notation that John Good had applied to CMHC on a fast track: "Ottawa - 3 - 4 wks. - has been 1 week - Investor has approved. No commitment until CMHC approves." The second reads: "Stewart Smith - BFL onside - Lombard - no commitment yet for Citifund - needs CMHC." The next reads "HVR - called John Good. No commitment. Go ahead with CIBC." Mr. Bassett said they told Mr. Good they would have to make other arrangements and Mr. Good had expressed disappointment as he had worked hard on the deal. However, Mr. Smith had been paying for everything himself and needed financing in place. Mr. Bassett, trying to reconstruct the events, said that this conversation must have taken place around November 24,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It was suggested to Mr. Bassett that the latter conversation must have taken place in January once the CIBC offering was in place. He was asked to agree that in late November it was still possible CIBC would not offer terms for a loan, but he was reluctant to do so. Mr. Bassett said CIBC was still waiting for information from Mr. Smith at that point, but said they were "eager to deal." He did agree that he would have wanted to ensure that no commitment was made to CIBC if there had been a loan coming from Citifund.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Mr. Good said there was a general discussion about the status of the file in late November/early December, and he told Mr. Smith and Mr. Bassett he did not yet have CMHC approval. He admitted on cross-examination that CMHC's reaction to Mr. Smith's net worth surprised him, and that Mr. Smith contacted him regularly through October and November to inquire where the funds were. He said he could not recall the conversation testified to by Mr. Smith and Mr. Bassett in which they said he told them he had no commitment and they told him they had to make other arrangements.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Mr. Good suggested in his evidence that CMHC never actually turned the project down; discussions continued and were ongoing throughout the material time but Mr. Smith finally said he was not happy with CMHC.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Mr. Good said he continued to explore the possibility of phasing the project, and called Mr. Smith in mid-December to offer to pursue conventional financing instead. He said he was unaware that Mr. Smith was dealing with CIBC at this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Mr. Smith denied ever receiving the mid-December call described by Mr. Good.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Mr. Good testified that Mr. Smith took him up on his offer to pursue conventional bank financing, so Mr. Good sent letters out to a number of banks in early January, although not to CIBC. The most favourable response was from the Royal Bank, which he forwarded to Mr. Smith on January 12, 2006. He did not receive a reply.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Mr. Good said he still considered Mr. Smith a client and produced an email dated January 6, 2006 in which he invited Mr. Smith to go on a catskiing trip with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Mr. Good said he received a call from Mr. Smith in late January to say the loan was done with CIBC. He said he was taken aback and asked why he had not been informed. He said Mr. Smith told him he would deal with it and would look after Mr. Good financially.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Mr. Worth from CIBC said the bank became more interested in financing the project after the pre-sales event, and sent Mr. Smith a proposal in mid-October and another in mid-November. These proposals were better than the terms they had discussed in the spring. They were aware that Mr. Smith was dealing with Citifund and made assumptions about Citifund's terms to try and demonstrate that theirs were cheaper. Mr. Worth agreed that the effect of the use of the $9 million from the Lombard deposit insurance meant that CIBC was not required to lend the project as much money as originally anticipated.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Mr. Smith signed off on a term sheet with CIBC on November 24, 2005 and sent a cheque for the application fee. CIBC obtained approval in ten days and sent out the formal credit offering letter in January. The formal loan document for $39 million was signed in February.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On February 7, 2006, Mr. Good sent an email to Mr. Smith:</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Further to our recent discussions, I would like to settle the matter of Fees to Citifund for the role that we played in structuring your financing for the Barona Beach project.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proposing a figure of $100,000 be paid to Citifund. I think that this is reasonable given the savings in interest that you will benefit from due to the structure that we created for the financing of the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There was no reply to this offer. No demand was ever issued under the EAA. The Writ was filed on April 5,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Goodstone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Mr. Good wanted to buy one of the condo units through his family company, Goodstone Capital Corporation. He testified that he and Mr. Smith had a conversation prior to the pre-sales launch event on September 10, 2005, and Mr. Smith suggested that Mr. Good apply part of the brokerage commission to the deposit.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According to both Mr. Good and Mr. Smith, the pre-sales event was a huge success, with hundreds of people attending. Mr. Smith said he left it to MAC Realty to handle and sat at a table upstairs away from the crowds with one of their representatives, ready to sign contracts as they were brought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Mr. Good said the realtor, MAC Realty, already had his contract drawn up at $599,000. He signed it, and did not give them a deposit because of his prior agreement with Mr. Smith. When the contract was brought to Mr. Smith to sign, Mr. Smith struck out $599,000 and substituted $639,000. The two discussed it. Mr. Good said they agreed on the price of $619,000 plus a free boat slip. The deposit on the new price was $30,995.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Mr. Smith said he did not enter into a prior agreement with Mr. Good. He said he only became aware that Mr. Good wanted a unit when Mr. Craik, a representative from the realtor, came to him with the offer at the pre-sales event on September 10, 2005. Mr. Smith said he changed the price on the contract because it did not match the unit pricing sheet he had been given. Mr. Craik brought Mr. Good to speak to him, and Mr. Good told Mr. Smith if Mr. Smith gave him a boat slip, Mr. Good would surpass the cost of it by getting him a far better deal on financing.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Subsequent correspondence from the realtor supports Mr. Good's version, at least to the extent that some conversation took place regarding deduction of the deposit from the commission. On September 27, 2005, the realtor sent Mr. Good an agreement which, according to the fax cover note, was drafted by Mr. Smith, between "John Good" and "Stewart Smith":</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brokerage portion of the transaction fee as well as the $5,000 commitment fee shall be applied to the deposit required as per the contract of purchase agreement and shall be deducted from the brokerage of the commitment fee payable to "Citifund Financial Corp." If this transaction fee is payable per advance, the whole amount of the deposit will be required upon the first advance. If the transaction fee is payable on a one-time basis, then the above noted shall apply.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Mr. Good testified that he struck out the words "as well as the $5,000 commitment fee" because he could not assign those funds (I presume this refers to the $5,000 fee required by Citifund under the commitment letter which was never paid) and initialled the document. Mr. Smith initialled a copy without the amendment, so there is no copy of the document signed by both parties. Also, there is no entity known as "Citifund Financial Corp," and the contract of purchase and sale purports to be between Happy Valley Resort Ltd. and Goodstone Capital Corporation, not John Good and Stewart Smith.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By email on December 13, 2005, the realtor requested Mr. Good's cheque for the deposit on the unit in the amount of $29,995. Mr. Good replied, referring to "an agreement with Stewart Smith to deduct the deposit from our financing fee for the project," but said he could write a cheque in the meantime. The realtor suggested he get confirmation from Mr. Smith to put on the file.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only other reference to this arrangement is contained in a letter from a lawyer, Mr. Tonsoo, on April 24, 2006, purporting to act on behalf of Happy Valley and terminating the contract for failure to pay the deposit. That letter says: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Our client advises that the above noted Contract was predicated on the basis that you would arrange financing for the Barona Beach development on terms acceptable to our client. As you are aware, this did not occur. No deposit has been paid on this transaction as payment of the deposit was connected to the finalization of financing with Citi Fund Financial Corp.</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the above noted Contract was conditional upon financing being obtained for Barona Beach by Citi Fund Financial Corp., our client is hereby terminating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Goodstone now sues for specific performance of the contract of purchase and sale, and Mr. Good states that he is still prepared to have the deposit deducted from the allegedly outstanding commission.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Happy Valley says the claim by Goodstone stands or falls on the main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Positions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Citifund says it is entitled to commission fees, together with contractual interest, pursuant to the terms of the EAA, which was never terminated. It says the clear terms of the EAA entitle it to commission upon certain triggering events:</w:t>
      </w:r>
      <w:r>
        <w:rPr>
          <w:rFonts w:ascii="arial" w:eastAsia="arial" w:hAnsi="arial" w:cs="arial"/>
          <w:sz w:val="20"/>
          <w:lang w:val="en-US" w:eastAsia="en-US" w:bidi="ar-SA"/>
        </w:rPr>
        <w:cr/>
      </w:r>
    </w:p>
    <w:p>
      <w:pPr>
        <w:numPr>
          <w:numId w:val="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upon a commitment to loan being given either to Citifund or to Happy Valley during the term of the EAA, on terms acceptable to Happy Valley.</w:t>
      </w:r>
    </w:p>
    <w:p>
      <w:pPr>
        <w:numPr>
          <w:numId w:val="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upon execution of an agreement to execute a mortgage against the Property whether or not the efforts of Citifund or its agents were an effective cause thereof;</w:t>
      </w:r>
    </w:p>
    <w:p>
      <w:pPr>
        <w:numPr>
          <w:numId w:val="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upon any commitment to loan being given to [the Borrower] at any time ... in respect of which the efforts of Citifund or its agents were an effective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Citifund says therefore, that if any loan was granted or an agreement to mortgage entered into, including on terms outside those in the Guidelines, they are entitled to the commission. Citifund submits that its position that all types of loans, not just those insured by CMHC, are covered by the EAA is further demonstrated by the agreement of Happy Valley in the EAA to refer to Citifund all enquiries for lending and to communicate to Citifund all offers to lend. Happy Valley did not direct MCAP and CIBC to Mr. Good, even while directing Mr. Good to seek out conventional financing.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Therefore, Happy Valley triggered the EAA when it entered into the deposit insurance contract and mortgage with Lombard, when it entered into a loan and mortgage with CIBC, and when it continued to deal with MCAP and CIBC. The EAA contains an "entire agreement" clause, making any other considerations irrelevant.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Happy Valley argues that it executed the EAA based on misrepresentations by Mr. Good upon which they relied. Specifically, Mr. Good misrepresented that he had a lender in place, that funds were available, and that the CMHC-backed financing would be forthcoming in a timely manner.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Happy Valley contends that Mr. Good knew that Mr. Smith was dealing with MCAP and CIBC through September, prior to signing the EAA. Since Mr. Good knew Mr. Smith was confident he could obtain financing through CIBC, the real competitor for him was MCAP. Happy Valley says Mr. Good baited Mr. Smith with a supposed commitment letter referring to a lender being in place when none was, and containing promises respecting CMHC that Citifund could not live up to and had not properly explored. Happy Valley says the letter to Mr. Bassett on November 2, 2005, contains misrepresentations which reflect those made before the agreement was signed: that an investor was in place and that Citifund had connections at CMHC.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Secondly, Happy Valley says the EAA is ambiguous, and the doctrine of </w:t>
      </w:r>
      <w:r>
        <w:rPr>
          <w:rFonts w:ascii="arial" w:eastAsia="arial" w:hAnsi="arial" w:cs="arial"/>
          <w:i/>
          <w:color w:val="000000"/>
          <w:sz w:val="20"/>
          <w:lang w:val="en-US" w:eastAsia="en-US" w:bidi="ar-SA"/>
        </w:rPr>
        <w:t>contra proferentem</w:t>
      </w:r>
      <w:r>
        <w:rPr>
          <w:rFonts w:ascii="arial" w:eastAsia="arial" w:hAnsi="arial" w:cs="arial"/>
          <w:color w:val="000000"/>
          <w:sz w:val="20"/>
          <w:lang w:val="en-US" w:eastAsia="en-US" w:bidi="ar-SA"/>
        </w:rPr>
        <w:t xml:space="preserve"> should be applied against Citifund, who drafted the document. Taken as a whole, the EAA should be read as a mandate to obtain a CMHC loan, not a conventional loan.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Happy Valley points to the first paragraph of the EAA, which refers to the consideration for the granting of the exclusive agency as "CCC" pursuing a loan in accordance with the Guidelines. Although the Guidelines refer only to CMHC insured loans, the listed triggering events purport to cover conventional loans as well. Mr. Good's subsequent conduct in sending out packages to conventional financial institutions in January, but leaving out CIBC with whom he knew Mr. Smith had a relationship, supports Happy Valley's position that the EAA is not clear, and that the parties were operating under the assumption that CIBC at least was excluded from the EAA.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Happy Valley contends that Mr. Good did not go through the EAA line by line with Mr. Smith, as Mr. Good claimed he did, because the obvious mistake about the interest rate would have been noticed.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Happy Valley says Mr. Good, in his position of experience, should have foreseen the problems that prevented CMHC from insuring the project and should not have misled Mr. Smith into believing CMHC was a sure thing. He should have explained the entire process to Mr. Smith, including his exploratory conversations with the potential investors, so that Mr. Smith could have made an informed decision before signing the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Happy Valley also submits that the EAA does not cover deposit insurance, and that the Lombard arrangement was never pleaded, surfacing for the first time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Happy Valley seeks rescission of the agreement in its counterclaim; its Statement of Defence pleads release of the EAA, waiver, and estoppel. The latter arguments are based on the conversations testified to by Mr. Smith and Mr. Bassett in which Mr. Good told them he had no commitment from CMHC, they told him they had to make other arrangements, and he acquiesced. Happy Valley asks the court to find that the conversations between Mr. Smith, Mr. Basset, and Mr. Good took place as Mr. Smith and Mr. Bassett recalled them; that is that Mr. Good was told Happy Valley was going to have to use CIBC for their financing, accepted that communication, raised no objection, and did not mention the EAA. Happy Valley submits that if Mr. Good felt he had the right to participate in the CIBC financing, that was the time to declare it. Mr. Good did not, and therefore Happy Valley contends that Mr. Good waived Citifund's rights under the EAA.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Findings of Fact and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From the plaintiff's point of view, this case rests on one document, the EAA, with its "entire agreement clause." On the other hand, the defendant alleges that there are conversations or understandings between the parties that are crucial to its defence. Therefore, there are findings of credibility to be made by the court with respect to certain events and recollections.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 did not find either Mr. Good or Mr. Smith to be entirely reliable, but neither appeared to me to be deliberately misleading the court. Their respective memories were sometimes conveniently selective and/or vague, and seemed to be motivated by wishful thinking prompted by hindsight. Four years have passed and neither Mr. Smith nor Mr. Good kept notes of ongoing discussions. Once the pre-sales event was completed, the atmosphere surrounding events appears to have been characterized by excitement and by the surprising and sudden realization that the project was not only viable but likely extremely profitable. Details, conversations, and documents that in the context of this litigation have become significant were not seen that way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Was Mr. Smith misled by the commitment letter into signing the EAA?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 first set of factual issues arises in connection with the defendant's allegation that Mr. Smith was misled into entering into the EAA by statements made by Mr. Good which were emphasized by the commitment letter.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It is not clear what Mr. Good meant by his evidence that he went through the EAA with Mr. Smith line by line, but if it means he read it through entirely with Mr. Smith, explaining each line, then I am not satisfied the conversation occurred as Mr. Good recalled it. The mistake in interest rates would have surfaced had that been done. As well, if such a lengthy discussion had taken place, it would have been clear whether Mr. Bassett was there or not. Mr. Good thought he was but does not remember any specific participation. Mr. Bassett says he was not present for such a conversation and was never presented with the document, and I accept that evidence. It is not likely the parties would be involved in litigation now if Mr. Smith had sought Mr. Bassett's advice before signing the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On the other hand, it is clear that Mr. Smith did not read the document carefully himself before signing it, nor did he discuss it with Mr. Bassett, although he said on discovery that he signed it in Mr. Bassett's presence.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Mr. Smith's evidence that he was assured by Mr. Good that a lender was in place, that CMHC approval was virtually assured, and that the funds would be available in 60 days is supported by the commitment letter and by Mr. Good's subsequent letter to Mr. Basset of November 2, 2005. Although 60 days is not mentioned in the correspondence, it is nevertheless clear from the continued communications that Mr. Good had given Mr. Smith the impression that the money would be forthcoming in a timely fashion. I accept that Mr. Good gave these assurances, but he did so in good faith (Happy Valley did not pursue its pleaded allegation of dishonesty in making the representations), based on his past experience with CMHC and his view of the strength of this project. That Mr. Good's faith in the project was justified is supported by the ease with which Mr. Smith later obtained CIBC financing.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The ambiguity in the information provided by Mr. Good to Mr. Smith continued at trial. In examination in chief, Mr. Good was asked by Mr. McEwan if he had an "investor client," that is, a lender, committed to the project, as is stated in the first sentence of the commitment letter. Mr. Good did not answer directly. He said he had had discussions, but needed CMHC approval. If CMHC approval was obtained, he could say with great certainty "they would fund." The court asked him to clarify his answer to the question: did he have a specific lender? His answer was equivocal, in that he said "Yes, we do. We have a group called Maple Mortgage Trust and we talked to a number of others. But that was my main source." In cross examination he agreed the first sentence in the letter says a lender is committed. He did not have a committed lender; he had a couple of lenders to whom he was talking, and thought there was no question there would be funds once CMHC approval was in place. The answer to Mr. McEwan's question, then, should have been "no we did not have a lender committed to this project but we were certain we could get one, once we had CMHC approval."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In addition to the verbal assurances of Mr. Good, Happy Valley relies on the commitment letter to support its position that Mr. Smith was misled into entering into the EAA with Citifund.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Citifund says it relies only on the EAA; it does not rely on the commitment letter, and neither did Mr. Smith. Mr. Smith admitted he was only interested in the figures contained in the letter. As well, the letter says there are many conditions precedent to the release of funds, primarily provision of all the documentation and information listed in it. Mr. Smith must have known, as he had been told by all the potential lenders, that such information was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Citifund argued that, despite the statement that there was an investor in place, the last paragraph of the commitment letter made it clear to Mr. Smith that the provision of funds hinged on CMHC approval. However, taken in the context of the entire letter, that paragraph is by no means clear: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approval is subject to final approval by the investor and the terms laid out by the CMHC in their Certificate of Insurance, to be issued, and may be subject to change.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First, there was no investor in place, despite Citifund's certainty that, had CMHC approval been obtained, Maple Mortgages would have provided the money. Second, CMHC was not committed to the project and no Certificate of Insurance was in the offing.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Under "Insured Mortgages" the commitment letter says "This financing will be subject to review and approval of this commitment letter by CMHC." But the letter as it stands could not have been reviewed by CMHC because there was no lender in place. The letter's basic premise is that a lender is in place, but that could not be true until CMHC had given its approval, and that had not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xml:space="preserve">  The plaintiff argues that Happy Valley did not plead reliance on the commitment letter. It is correct that the pleadings do not refer specifically to the letter. The defendant alleges in its pleadings,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that Citifund represented that it had CMHC approval and also that it was capable of securing less costly CMHC financing. In the letter, Citifund represented that it had a lender in place when it did not. In my view, not much turns on this. Mr. Good made it clear to Mr. Smith that he was confident that he could obtain CMHC financing. The letter goes further and states that it had an investor in place, which could not have been true. The essence of the defendant's position is the same. Mr. Good assured Mr. Smith that less costly CMHC financing would be forthcoming, something that could not occur without a lender being in place. Such was Mr. Good's confidence that he sent out the commitment letter containing statements that were not 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Mr. Esler said MCAP would not send out such a commitment letter until they had CMHC approval. Their agency agreement drafts, sent to Mr. Smith on August 26, 2005 and September 6, 2005, made it clear that they could not offer a commitment; they were setting out terms under which their investors were prepared to entertain a loan application. They offered to market the mortgage and gave the numbers for a CMHC model and a conventional model.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Citifund, however, despite being in the same position as MCAP with CMHC, put together an allegedly final commitment letter which was untrue and which it could not live up to, and now seeks to rely on conditions contained in it to avoid being faced with the statements in its first paragraph. Citifund's attempt to rely only on the EAA and its "entire agreement" clause must be looked at in this context because both documents were presented to Mr. Smith at the same time and as part of the same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xml:space="preserve">  Citifund relies on </w:t>
      </w:r>
      <w:r>
        <w:rPr>
          <w:rFonts w:ascii="arial" w:eastAsia="arial" w:hAnsi="arial" w:cs="arial"/>
          <w:i/>
          <w:color w:val="000000"/>
          <w:sz w:val="20"/>
          <w:lang w:val="en-US" w:eastAsia="en-US" w:bidi="ar-SA"/>
        </w:rPr>
        <w:t>Queen v. Cognos Inc.</w:t>
      </w:r>
      <w:r>
        <w:rPr>
          <w:rFonts w:ascii="arial" w:eastAsia="arial" w:hAnsi="arial" w:cs="arial"/>
          <w:color w:val="000000"/>
          <w:sz w:val="20"/>
          <w:lang w:val="en-US" w:eastAsia="en-US" w:bidi="ar-SA"/>
        </w:rPr>
        <w:t xml:space="preserve"> </w:t>
      </w:r>
      <w:hyperlink r:id="rId14" w:history="1">
        <w:r>
          <w:rPr>
            <w:rFonts w:ascii="arial" w:eastAsia="arial" w:hAnsi="arial" w:cs="arial"/>
            <w:i/>
            <w:color w:val="0077CC"/>
            <w:sz w:val="20"/>
            <w:u w:val="single"/>
            <w:shd w:val="clear" w:color="auto" w:fill="FFFFFF"/>
            <w:lang w:val="en-US" w:eastAsia="en-US" w:bidi="ar-SA"/>
          </w:rPr>
          <w:t>[1993] 1 S.C.R. 87</w:t>
        </w:r>
      </w:hyperlink>
      <w:r>
        <w:rPr>
          <w:rFonts w:ascii="arial" w:eastAsia="arial" w:hAnsi="arial" w:cs="arial"/>
          <w:color w:val="000000"/>
          <w:sz w:val="20"/>
          <w:lang w:val="en-US" w:eastAsia="en-US" w:bidi="ar-SA"/>
        </w:rPr>
        <w:t>, para. 33, for a statement of the elements of negligent misrepresentation:</w:t>
      </w:r>
      <w:r>
        <w:rPr>
          <w:rFonts w:ascii="arial" w:eastAsia="arial" w:hAnsi="arial" w:cs="arial"/>
          <w:sz w:val="20"/>
          <w:lang w:val="en-US" w:eastAsia="en-US" w:bidi="ar-SA"/>
        </w:rPr>
        <w:cr/>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must be a duty of care based on a "special relationship" between the representor and the representee;</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representation in question must be untrue, inaccurate, or misleading;</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representor must have acted negligently in making the misrepresentation;</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representee must have relied, in a reasonable manner, on the negligent misrepresentation;</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reliance must have been detrimental to the representee in the sense that damages resulted.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xml:space="preserve">  Citifund argues that no special relationship exists in the circumstances here which involve two experienced commercial parties seeking to do business together. There was no representation other than an expression of optimism that CMHC would insure the loan in the future, subject to the provision of information by Mr. Smith. That expression of optimism was not negligent. Any alleged reliance by Mr. Smith on Mr. Good's statements regarding CMHC financing, could not be reasonable, since the application and the approval depended on information to be obtained from Mr. Smith himself. As well, Mr. Smith admits that he did not read the documents; he cannot allege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behalf of Citifund to escape the consequences of his own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Finally, Mr. Smith suffered no damages as a result of entering into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Happy Valley submits that Mr. Good owed Mr. Smith a duty to exercise due diligence with respect to the representations he made because of his profession and because Mr. Smith had no experience with large projects or with CMHC. Mr. Smith's inexperience was known to Mr. Good. Mr. Good failed to exercise reasonable care to ensure the representations were accurate and not misleading.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Happy Valley says Mr. Good knew that Mr. Smith had been dealing with his own bank, but he consistently represented that Citifund could save Mr. Smith approximately $400,000 in loan costs. Mr. Good, despite having made only preliminary enquiries of CMHC, represented to Smith that CMHC was keen on the project. He then represented that he had a lender in place, even though he knew he could not get one unless the project were approved by CMHC. Mr. Good should have known that Mr. Smith's lack of experience would be a concern to CMHC. Mr. Good failed to explain to Mr. Smith the limitations and requirements of the process. He knew Mr. Smith was interested only in the costs of financing, and assured him that CMHC approval was perfunctory. Mr. Smith accepted these representations and signed the EAA and commitment letter without reading them carefully.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On the issue of resulting damages, Happy Valley says it is only by Mr. Smith's prompt action in re-establishing contact with CIBC - the very breach that Citifund alleges - that he was able to avoid sustaining substantial loss. By relying on Citifund, Mr. Smith was put in a situation in which the project was in jeopardy, and he had no choice but to mitigate his damages by obtaining financing from CIBC.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This is clearly a situation where both parties are at fault. Mr. Good misled Mr. Smith into believing Citifund had a lender in place and could obtain huge savings in financing for Happy Valley through his assurances that CMHC approval was a mere formality when he had not researched CMHC's position and their approval was not in his control. He supported his bid for Mr. Smith's business by a misleading, in fact, false commitment letter. The letter of November 2, 2005 to Mr. Basset subsequent to the signing of the EAA repeats the erroneous statement that there was an investor who had approved the financing.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On the other hand, Mr. Smith admits he did not read the documents he signed and I am satisfied he did not go through them with Mr. Bassett. It is somewhat unusual that Happy Valley's counsel relies on Mr. Smith's failure to read the documents as an excuse for blaming Mr. Good. Despite not reading the documents carefully, Mr. Smith must have realized that an application had to be made to CMHC and that their approval was conditional on receipt of satisfactory information from him, because he sent the application fee and the information to Mr. Good to be forwarded to CMHC. Of course, he had been assured repeatedly that this approval was virtually assured.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Mr. Smith's reliance on Mr. Good's ability to provide less costly and timely financing seems to rest partially on his apparent belief that Citifund was a lending institution, not a mortgage broker, although he said he eventually understood Mr. Good was a broker. This misguided belief is further evidence of Mr. Smith's carelessness in focussing only on numbers and not on the overall relationship he was entering into, although the repeated statements that an investor was in place and Mr. Good's failure to discuss the actual lenders with him could have contributed to his confusion.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Citifund alleges that Mr. Smith's failure to read the documents shows that he did not rely on them, thereby defeating his claim in negligent misrepresentation. Yet had Mr. Smith read them carefully and absorbed them, he may not have signed them. He would have seen that the commitment letter contained a number of unsupported and untrue statements and that the EAA contained mistakes. Had Mr. Smith actually understood how misleading the commitment letter was - that is, had he understood that despite what the letter said, there was no investor in place and there would not be one until CMHC approval was obtained - he would have appreciated that the prospects of obtaining financing under the EAA were far from certain. Had he read and understood the EAA, he would have seen how circumscribed he was if Citifund and CMHC did not come through on Mr. Good's assurance.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On the issue of the alleged ambiguity in the EAA, the reference in the first paragraph to the consideration being "CCC's agreeing to pursue a loan ... in accordance with the Guidelines" is indeed at odds with the breadth of the list of events that would trigger the commission. Each paragraph, read carefully, is clear enough, but is not necessarily compatible with the document as a whole because the commission would be triggered even if the desirable CMHC-insured terms were not obtained by Citifund. As well, it is at odds with the commitment letter which clearly refers only to a CMHC loan. In any event, Mr. Smith did not testify that he read the document and thought it meant something other than it did. He did not read it and simply gave it no thought, once he was up against the wall with no financing and mounting costs to pay. He obviously considered that it was always open to him to go back to his bank, but he did not say that the EAA led him to think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The result is a strange one: Citifund's commitment letter was fundamentally misleading; in fact it was untrue. However, Mr. Smith did not read it and so did not rely on it to enter into the EAA. Should Citifund be allowed to escape the consequences of its misleading statements because Mr. Smith did not read the document?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In my view, it should not. Although Mr. Smith did not read the document, he did listen to and rely on Mr. Good. He accepted Mr. Good's statement that Cififund could provide funding at a substantial savings in a timely manner, and that CMHC approval was a virtual certainty. That representation was not valid. Without that representation Mr. Smith would not have signed the EAA. Whether or not Mr. Smith read the commitment letter, the letter is in accord with and supports that 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However, Mr. Smith is not without blame. He was cavalier and careless in his dealings. He should never have simply relied on verbal representations and signed documents in a project of this size and importance without reading them and understanding them. He had legal advice literally at his doorstep but he did not seek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xml:space="preserve">  The concept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can apply to a case of negligent misrepresentation (see </w:t>
      </w:r>
      <w:r>
        <w:rPr>
          <w:rFonts w:ascii="arial" w:eastAsia="arial" w:hAnsi="arial" w:cs="arial"/>
          <w:i/>
          <w:color w:val="000000"/>
          <w:sz w:val="20"/>
          <w:lang w:val="en-US" w:eastAsia="en-US" w:bidi="ar-SA"/>
        </w:rPr>
        <w:t>Avco Financial Services Realty Ltd. v. Norman</w:t>
      </w:r>
      <w:r>
        <w:rPr>
          <w:rFonts w:ascii="arial" w:eastAsia="arial" w:hAnsi="arial" w:cs="arial"/>
          <w:color w:val="000000"/>
          <w:sz w:val="20"/>
          <w:lang w:val="en-US" w:eastAsia="en-US" w:bidi="ar-SA"/>
        </w:rPr>
        <w:t xml:space="preserve"> </w:t>
      </w:r>
      <w:hyperlink r:id="rId136" w:history="1">
        <w:r>
          <w:rPr>
            <w:rFonts w:ascii="arial" w:eastAsia="arial" w:hAnsi="arial" w:cs="arial"/>
            <w:i/>
            <w:color w:val="0077CC"/>
            <w:sz w:val="20"/>
            <w:u w:val="single"/>
            <w:shd w:val="clear" w:color="auto" w:fill="FFFFFF"/>
            <w:lang w:val="en-US" w:eastAsia="en-US" w:bidi="ar-SA"/>
          </w:rPr>
          <w:t>(2003), 64 O.R. (3d) 239</w:t>
        </w:r>
      </w:hyperlink>
      <w:r>
        <w:rPr>
          <w:rFonts w:ascii="arial" w:eastAsia="arial" w:hAnsi="arial" w:cs="arial"/>
          <w:color w:val="000000"/>
          <w:sz w:val="20"/>
          <w:lang w:val="en-US" w:eastAsia="en-US" w:bidi="ar-SA"/>
        </w:rPr>
        <w:t xml:space="preserve"> (C.A.), accepted by the British Columbia Court of Appeal in </w:t>
      </w:r>
      <w:r>
        <w:rPr>
          <w:rFonts w:ascii="arial" w:eastAsia="arial" w:hAnsi="arial" w:cs="arial"/>
          <w:i/>
          <w:color w:val="000000"/>
          <w:sz w:val="20"/>
          <w:lang w:val="en-US" w:eastAsia="en-US" w:bidi="ar-SA"/>
        </w:rPr>
        <w:t>Chapeskie v. CIBC</w:t>
      </w:r>
      <w:r>
        <w:rPr>
          <w:rFonts w:ascii="arial" w:eastAsia="arial" w:hAnsi="arial" w:cs="arial"/>
          <w:color w:val="000000"/>
          <w:sz w:val="20"/>
          <w:lang w:val="en-US" w:eastAsia="en-US" w:bidi="ar-SA"/>
        </w:rPr>
        <w:t xml:space="preserve">, </w:t>
      </w:r>
      <w:hyperlink r:id="rId137" w:history="1">
        <w:r>
          <w:rPr>
            <w:rFonts w:ascii="arial" w:eastAsia="arial" w:hAnsi="arial" w:cs="arial"/>
            <w:i/>
            <w:color w:val="0077CC"/>
            <w:sz w:val="20"/>
            <w:u w:val="single"/>
            <w:shd w:val="clear" w:color="auto" w:fill="FFFFFF"/>
            <w:lang w:val="en-US" w:eastAsia="en-US" w:bidi="ar-SA"/>
          </w:rPr>
          <w:t>2004 BCCA 154</w:t>
        </w:r>
      </w:hyperlink>
      <w:r>
        <w:rPr>
          <w:rFonts w:ascii="arial" w:eastAsia="arial" w:hAnsi="arial" w:cs="arial"/>
          <w:color w:val="000000"/>
          <w:sz w:val="20"/>
          <w:lang w:val="en-US" w:eastAsia="en-US" w:bidi="ar-SA"/>
        </w:rPr>
        <w:t xml:space="preserve">). However, the concept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cannot relate to the reasonableness of the reliance. That issue falls to be decided on the main question of whether there was reasonable reliance on the misrepresentation. The issue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arises in the consideration of whether the relevant party failed to consider that it may harm itself if it did not act reasonably and prudently. Neither party addressed this issue, each treating this case as "all or nothing" for their respective positions.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Here, Mr. Smith reasonably relied on Mr. Good's verbal representations. However, the commitment letter contained other and more misleading statements. Citifund should not have the advantage of the fact that Mr. Smith did not read their misleading statements. However, Mr. Smith did not act prudently or reasonably in signing the documents without reading them. Had he read the commitment letter and fully understood the misstatements it contained, he would likely not have entered into the EAA in its present form. Had he sought legal advice with respect to the EAA, he would have avoided his present predicament. Therefore he failed to act prudently in his own interests.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The irony is, all Mr. Smith had to do was terminate the EAA in writing, on ten days notice, while having regard to the references in the EAA to Citifund's rights that would continue after the termination of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xml:space="preserve">  This brings me to the issue of whether there was a release or a waiver of rights under the EAA, and given the conclusion I have reached on that point, it is not necessary to deal further with the question of the extent to which a claim for breach of contract is affected by the existence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a defence of negligent misrepresentation. However, the facts and conclusions on that aspect are part of the relevant circumstances in the consideration of the next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Rescission, release, waiver, and estoppel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Rescission is raised in the counterclaim. Although Citifund pre-emptively argued against it in its submissions, Happy Valley appears to acknowledge that the parties cannot be put back into their original positions, and did not pursue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The second crucial issue from the defendant's point of view, therefore, is whether the EAA was still operating after the conversations between Mr. Smith, Mr. Basset, and Mr. Good in late 2005 and early 2006, notwithstanding the lack of a formal termination.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xml:space="preserve">  The EAA required ten days notice of termination. The defendant does not allege that the contract was formally terminated, but says it was released from it by a complete failure of consideration and by the acknowledgment by Mr. Good that the EAA was incapable of being fulfilled, or alternatively that Citifund waived its rights under the contract and is estopped from relying on it. Little if any argument was made on the issue of release. The defendant concentrated on waiver, and agreed that the law is as set out in the case relied on by the plaintiff: </w:t>
      </w:r>
      <w:r>
        <w:rPr>
          <w:rFonts w:ascii="arial" w:eastAsia="arial" w:hAnsi="arial" w:cs="arial"/>
          <w:i/>
          <w:color w:val="000000"/>
          <w:sz w:val="20"/>
          <w:lang w:val="en-US" w:eastAsia="en-US" w:bidi="ar-SA"/>
        </w:rPr>
        <w:t>Saskatchewan River Bungalows Ltd. v. Maritime Life Assurance Co.</w:t>
      </w:r>
      <w:r>
        <w:rPr>
          <w:rFonts w:ascii="arial" w:eastAsia="arial" w:hAnsi="arial" w:cs="arial"/>
          <w:color w:val="000000"/>
          <w:sz w:val="20"/>
          <w:lang w:val="en-US" w:eastAsia="en-US" w:bidi="ar-SA"/>
        </w:rPr>
        <w:t xml:space="preserve"> </w:t>
      </w:r>
      <w:hyperlink r:id="rId138" w:history="1">
        <w:r>
          <w:rPr>
            <w:rFonts w:ascii="arial" w:eastAsia="arial" w:hAnsi="arial" w:cs="arial"/>
            <w:i/>
            <w:color w:val="0077CC"/>
            <w:sz w:val="20"/>
            <w:u w:val="single"/>
            <w:shd w:val="clear" w:color="auto" w:fill="FFFFFF"/>
            <w:lang w:val="en-US" w:eastAsia="en-US" w:bidi="ar-SA"/>
          </w:rPr>
          <w:t>[1994] 2 S.C.R. 490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The facts of that case are not helpful here. However, at para. 19, the SCC sets out the law with respect to waiver: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Waiver occurs where one party to a contract or to proceedings takes steps which amount to foregoing reliance on some known right or defect in the performance of the other party [citations omitted]. The elements of waiver were described in </w:t>
      </w:r>
      <w:r>
        <w:rPr>
          <w:rFonts w:ascii="arial" w:eastAsia="arial" w:hAnsi="arial" w:cs="arial"/>
          <w:i/>
          <w:color w:val="000000"/>
          <w:sz w:val="20"/>
          <w:lang w:val="en-US" w:eastAsia="en-US" w:bidi="ar-SA"/>
        </w:rPr>
        <w:t>Federal Business Development Bank v. Steinbock Developments Corp.</w:t>
      </w:r>
      <w:r>
        <w:rPr>
          <w:rFonts w:ascii="arial" w:eastAsia="arial" w:hAnsi="arial" w:cs="arial"/>
          <w:color w:val="000000"/>
          <w:sz w:val="20"/>
          <w:lang w:val="en-US" w:eastAsia="en-US" w:bidi="ar-SA"/>
        </w:rPr>
        <w:t xml:space="preserve"> </w:t>
      </w:r>
      <w:hyperlink r:id="rId139" w:history="1">
        <w:r>
          <w:rPr>
            <w:rFonts w:ascii="arial" w:eastAsia="arial" w:hAnsi="arial" w:cs="arial"/>
            <w:i/>
            <w:color w:val="0077CC"/>
            <w:sz w:val="20"/>
            <w:u w:val="single"/>
            <w:shd w:val="clear" w:color="auto" w:fill="FFFFFF"/>
            <w:lang w:val="en-US" w:eastAsia="en-US" w:bidi="ar-SA"/>
          </w:rPr>
          <w:t>(1983), 42 A.R. 231</w:t>
        </w:r>
      </w:hyperlink>
      <w:r>
        <w:rPr>
          <w:rFonts w:ascii="arial" w:eastAsia="arial" w:hAnsi="arial" w:cs="arial"/>
          <w:color w:val="000000"/>
          <w:sz w:val="20"/>
          <w:lang w:val="en-US" w:eastAsia="en-US" w:bidi="ar-SA"/>
        </w:rPr>
        <w:t xml:space="preserve"> (C.A.)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essentials of waiver are thus full knowledge of the deficiency which might be relied upon and the unequivocal intention to relinquish the right to rely on it. That intention may be expressed in a formal legal document, it may be expressed in some informal fashion or it may be inferred from conduct. In whatever fashion the intention to relinquish the right is communicated, however, the conscious intention to do so is what must be ascertained.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Waiver will be found only where the evidence demonstrates that the party waiving had (1) a full knowledge of rights; and (2) an unequivocal and conscious intention to abandon them. The creation of such a stringent test is justified since no consideration moves from the party in whose favour a waiver operates. An overly broad interpretation of waiver would undermine the requirements of contractual consideration.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The issue with respect to waiver in the present case is not whether Mr. Good specifically agreed to waive his commission because the right to the commission had not accrued; it is whether he waived the right to ten days written notice terminating the contract, and whether he waived the rights specified in the contract which were to continue even after the termination of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In my view he did. His intention to relinquish the right to receive ten days written notice is evident from the conversations he had with Mr. Smith and Mr. Bassett, and from his subsequent conduct. All of this evidence is consistent with his acceptance that Citifund waived its rights under the EAA in all respects, despite the lack of written notice of termination.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I accept Mr. Bassett's evidence that once he and Mr. Smith confirmed with Mr. Good that Citifund had not obtained CMHC approval, they told Mr. Good that they would have to proceed with obtaining financing from CIBC, and that Mr. Good, although disappointed, accepted this and did not raise the EAA.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The evidence differs as to when this conversation took place. Mr. Bassett said he believed it was late November. Mr. Smith said a conversation took place then in which he learned there was no commitment from CMHC, but there was a further conversation in January in which he told Mr. Good he would be going elsewhere for financing. Mr. Good denied any conversation of this type. He maintained that CMHC never turned the project down, but rather that Mr. Smith finally just gave up because he was not happy with CMHC's requirements.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I do not accept Mr. Good's testimony that the parties simply continued to wait for CMHC approval, that CMHC never actually rejected the application, or that Mr. Smith finally said that he did not want to use CMHC and was content with Mr. Good's suggestion in mid-December that he begin to approach banks to see if he could get conventional financing.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Although the precise timing is not crucial, it makes sense, given all the evidence, that the initial conversation in which Mr. Good was advised that Happy Valley would be making other arrangements took place as Mr. Bassett recalls it, just prior to Mr. Smith entering into the initial application with CIBC on November 24, 2005, and that there was a further conversation in January in which Mr. Good was told a deal had been made with CIBC.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The finding that this conversation took place as described by Mr. Bassett must be considered in the context of all of the circumstances: the earlier representations of Mr. Good; the contents of the commitment letter which is exclusively concerned with a CMHC loan; the expectation on all sides of CMHC approval which did not come to fruition; the now obviously mistaken impression, created by Citifund, that there was a lender in place when there was not, the passage of time since the units had been sold; and the evident growing need for timely financing.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Mere silence or confusion is not enough to cause a waiver. In this case, there was a conversation in which the essential elements were discussed: Citifund's failure to obtain CMHC approval, Happy Valley's need to make other arrangements, and Mr. Good's acceptance of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Given the circumstances that existed at that time, as well as the entire history of the communications between the parties, Mr. Good's acceptance that Mr. Smith had to make other arrangements and his failure to insist on maintaining the EAA at that time constitute a waiver. Mr. Good had no alternative plan and no other realistic option. He had assured Mr. Smith that he could get him cheap financing. He was so sure of it that he made the acquisition of a unit for his company dependent on it. He was not able to do so. The evidence as to the entire course of dealings between the parties discloses that Mr. Good had pursued one objective only: the CMHC-insured loan. That option was no longer possible and he had no alternative but to accept that Citifund's rights under the EAA were at an 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Citifund argues that Happy Valley cannot maintain that the legal relationship under which it was operating with Citifund was altered because neither Mr. Smith nor Mr. Good referred to the EAA and Mr. Bassett was not aware of it. Therefore the EAA must be taken to continue to govern their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Citifund also submits that, even if a conversation took place in which Mr. Good was told that Mr. Smith would have to make other arrangements, Mr. Good could fairly expect those other arrangements would be made through him because of the EAA. Citifund suggests that Mr. Good would not have pursued conventional financing into January if he thought the agreement had 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However, all of the parties' subsequent conduct is consistent with the mutual understanding that the relationship between Happy Valley and Citifund as governed by the EAA was over, despite the lack of written termination. It may be that Mr. Smith did not even turn his mind to the 10 day termination requirement, not having read the agreement with care, but Mr. Good is presumed to have been aware of it and to have waived it by his acceptance of Mr. Smith's intention to pursue financing elsewhere.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In my view, the fact that Mr. Good did make some contact with banks in January does not support his contention that Citifund thought it was still operating under the EAA. For one thing, Mr. Good knew that the project needed financing quickly; that need would be even more urgent by mid-December. He knew that he could not provide the type of financing he had anticipated. It would be incumbent upon him, if he really thought he was still the exclusive financing agent, to make every effort to get financing in place and to assure Mr. Smith he was doing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It is not plausible that Mr. Good would believe that Mr. Smith was happy to rely only upon a mid-December suggestion that Mr. Good should begin to pursue conventional financing. Cold calls to other banks by Mr. Good were not going to help Mr. Smith by that time. Mr. Good may well have offered to do this since he had let Mr. Smith down respecting CMHC, and there would be no reason for Mr. Smith not to acquiesce, given the circumstances he was in - although he denies ever receiving that call - but Mr. Good knew that Mr. Smith was getting very concerned based on the regular phone calls he admitted to receiving from him in the previous weeks. Even so, Mr. Good did not sent out letters to banks for several more weeks, and when he did, he covered most major lending institutions except CIBC, the bank Mr. Good said he knew Mr. Smith had been talking to earlier in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Leaving CIBC out of the list of banks that Mr. Good approached creates a situation in which the very bank that Mr. Good knew Mr. Smith had talked to previously was not asked to submit a proposal. If Mr. Good was of the view that they were still operating under the agreement, there would be no reason to leave out CIBC and every reason to include it, since he knew it was the best chance of obtaining financing quickly. This further supports the defendant's position that Mr. Good was told Mr. Smith had to make other arrangements, and was either told or assumed Mr. Smith would be going back to CIBC, and accepted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According to Mr. Basset, Mr. Good was discouraged and disappointed. He may have wished to assist Mr. Smith in a general way subsequently, although he did not put much effort into it. However, he could not have been operating under the assumption that if he got financing from a conventional institution, Happy Valley would owe him $232,000. The only reason a payment of such a large commission makes sense would be if Mr. Good were able to obtain a loan for Happy Valley on terms that would save it $400,000.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I do not overlook Mr. Bassett's testimony that he knew nothing of the EAA and if he had known, he would have provided appropriate advice - that is, he would have taken steps to ensure the EAA was terminated, or he would have referred Mr. Good to CIBC. Any lawyer would have ensured such steps were taken, of course, to guard against the possibility of litigation such as this. However, that does not undermine the effect of the conversations and subsequent conduct by which Mr. Good waived his rights under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I am satisfied that both Mr. Smith and Mr. Good were operating on the same assumption after the conversations: the EAA was not governing anymore, despite the lack of a formal letter of termination. This is further reflected by Mr. Good's email of February 7, 2006. He was not asserting a claim under the contract which he said he had gone through line by line with Mr. Smith; he was claiming compensation for having structured the loan and saved interest charges, which must refer to the savings occasioned by the Lombard loan.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At para. 27 of</w:t>
      </w:r>
      <w:r>
        <w:rPr>
          <w:rFonts w:ascii="arial" w:eastAsia="arial" w:hAnsi="arial" w:cs="arial"/>
          <w:i/>
          <w:color w:val="000000"/>
          <w:sz w:val="20"/>
          <w:lang w:val="en-US" w:eastAsia="en-US" w:bidi="ar-SA"/>
        </w:rPr>
        <w:t xml:space="preserve"> Saskatchewan River Bungalows</w:t>
      </w:r>
      <w:r>
        <w:rPr>
          <w:rFonts w:ascii="arial" w:eastAsia="arial" w:hAnsi="arial" w:cs="arial"/>
          <w:color w:val="000000"/>
          <w:sz w:val="20"/>
          <w:lang w:val="en-US" w:eastAsia="en-US" w:bidi="ar-SA"/>
        </w:rPr>
        <w:t>, the SCC notes that waiver can be retracted if reasonable notice is given to the party in whose favour it operates. Retraction can be accomplished by informal communication. In the circumstances here, there was no communication or conduct that could be construed as a retraction of Citifund's waiver of reliance on formal termination of the EAA. To the contrary, all the subsequent conduct is supportive of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xml:space="preserve">  Citifund cites </w:t>
      </w:r>
      <w:r>
        <w:rPr>
          <w:rFonts w:ascii="arial" w:eastAsia="arial" w:hAnsi="arial" w:cs="arial"/>
          <w:i/>
          <w:color w:val="000000"/>
          <w:sz w:val="20"/>
          <w:lang w:val="en-US" w:eastAsia="en-US" w:bidi="ar-SA"/>
        </w:rPr>
        <w:t>Hrynenko v. Hrynenko</w:t>
      </w:r>
      <w:r>
        <w:rPr>
          <w:rFonts w:ascii="arial" w:eastAsia="arial" w:hAnsi="arial" w:cs="arial"/>
          <w:color w:val="000000"/>
          <w:sz w:val="20"/>
          <w:lang w:val="en-US" w:eastAsia="en-US" w:bidi="ar-SA"/>
        </w:rPr>
        <w:t xml:space="preserve"> </w:t>
      </w:r>
      <w:hyperlink r:id="rId140" w:history="1">
        <w:r>
          <w:rPr>
            <w:rFonts w:ascii="arial" w:eastAsia="arial" w:hAnsi="arial" w:cs="arial"/>
            <w:i/>
            <w:color w:val="0077CC"/>
            <w:sz w:val="20"/>
            <w:u w:val="single"/>
            <w:shd w:val="clear" w:color="auto" w:fill="FFFFFF"/>
            <w:lang w:val="en-US" w:eastAsia="en-US" w:bidi="ar-SA"/>
          </w:rPr>
          <w:t>(1998), 58 B.C.L.R. (3d) 258</w:t>
        </w:r>
      </w:hyperlink>
      <w:r>
        <w:rPr>
          <w:rFonts w:ascii="arial" w:eastAsia="arial" w:hAnsi="arial" w:cs="arial"/>
          <w:color w:val="000000"/>
          <w:sz w:val="20"/>
          <w:lang w:val="en-US" w:eastAsia="en-US" w:bidi="ar-SA"/>
        </w:rPr>
        <w:t xml:space="preserve"> at para. 46, in which the Court of Appeal states that before a person can be held to be estopped as a result of mere inaction, he must be shown to be under a legal duty to take action of some kind.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Here, the EAA ostensibly requires immediate payment of the commission upon the alleged breaches of the triggering events. At no time did Citifund demand the payment of the commission or refer to the EAA until this action was filed, more than a year after its last communication with Mr. Smith. Given the conversation between Mr. Smith, Mr. Bassett, and Mr. Good, all of the surrounding circumstances, and the subsequent conduct of both Mr. Good and Mr. Smith, it is not open to Citifund to support its present position by its inaction in the year following the alleged breach - that is, to take the position that, having been the victim of a contractual breach, it was entitled to simply sit back and let the contractual interest accrue to its present considerable amount without demanding its commission.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There are certain rights under the EAA that purport to continue after the contract is terminated, and to trigger the right to a commission. It follows from the discussion above that, despite these rights ostensibly remaining outstanding even after the contract is terminated, the waiver of rights encompasses them as well. The EAA in its entirety ceased to operate as a result of the waiver.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In any event, none of them are applicable to the circumstances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First, paragraph (a) of the EAA provides for the triggering of the commission if a commitment to loan is given during the term of the agreement, whether accepted before or after termination. That did not occur here. There was no commitment given by CIBC until after Citifund had waived its rights under the agreement and the EAA was at an 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Paragraph (d) provides for Citifund's entitlement to the commission if a commitment to loan is given at any time if Citifund's efforts were an effective cause of it. Mr. Good agreed that he had nothing to do with the relationship between Mr. Smith and CIBC. Despite this acknowledgement, however, Citifund argues that it was an effective cause of the loan with CIBC because its eventual terms were structured around the loan from Lombard which was arranged by Mr. Good, and in fact, the final arrangements were quite close to the original Guideline loan proposed by Citifund.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However, it is the commitment to loan that must relate to Citifund's efforts, not the terms of the loan. That is evident from reading all of the triggering clauses. Mr. Good was not an effective cause of the commitment to loan received from CIBC, even though the actual loan amount was affected by the deal with Lombard.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Paragraph (e) refers to a lender being introduced to the Borrower during the term of the agreement and providing a commitment to lend on any terms, accepted at any time. That does not apply here either, as Mr. Smith and CIBC were dealing with each other long before the EAA was signed.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Aside from the triggering clauses, the EAA requires Happy Valley to refer to Citifund all enquiries for lending on the property received during the EAA. On this basis, Happy Valley should have referred the letters received from CIBC and MCAP during October and November to Mr. Good. However, failure to do so does not trigger a commission, unlike the events specified earlier in the EAA. Any number of potential lenders could send enquiries which would lead nowhere, but which would have to be forwarded to Citifund pursuant to this paragraph. If this conduct gives rise to damages, it would appear to be the $5,000 liquidated damages from the deposit which was required but never made. However, the waiver of rights under the contract encompasses this issue as well, given Mr. Good's acquiescence and acceptance when given notice by Mr. Bassett and Mr. Smith of the very conduct that would trigger it: making other arrangements.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The Lombard financing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I now turn to Citifund's position that the Lombard mortgage triggers the entire commission under the EAA.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I do not accept Mr. Smith's evidence that he obtained the Lombard deposit insurance on his own. I accept Mr. Good's evidence on that issue, and it is supported by that of Mr. Place. The immediate access to $3 million and the ability to use an additional $9 million at the lower rates set by Lombard was a great advantage to the defendant. Not only did Happy Valley get a large loan at low rates immediately, but the loan it eventually obtained from CIBC was substantially smaller than originally anticipated. Happy Valley obtained those advantages as a result of the efforts of Mr. Good.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Citifund says the Lombard mortgage triggers the operation of the EAA on its own. Regardless of the release of the contract in late November, that mortgage was put on the property in early November during the term of the agreement. That a commission might arise as a result of this move was not raised at the time; no invoice was ever submitted for it, neither was it pleaded.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It is arguable on the face of the EAA that this mortgage triggers the entire commission, but the contract must be read in a manner that makes sense of it as a whole. A logical interpretation would not include a commission of $232,000 (which is predicated upon and calculated from a loan of $49,793,000 being obtained) arising from the placing of a mortgage in respect of a loan of $12 million. Such a result would be nonsensical and is not consistent with the specified consideration in the EAA: pursuing the loan under the Guidelines.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xml:space="preserve">  I note the recent statement by the Supreme Court of Canada in </w:t>
      </w:r>
      <w:r>
        <w:rPr>
          <w:rFonts w:ascii="arial" w:eastAsia="arial" w:hAnsi="arial" w:cs="arial"/>
          <w:i/>
          <w:color w:val="000000"/>
          <w:sz w:val="20"/>
          <w:lang w:val="en-US" w:eastAsia="en-US" w:bidi="ar-SA"/>
        </w:rPr>
        <w:t>Tercon Contractors Ltd. v. British Columbia (Transportation and Highways)</w:t>
      </w:r>
      <w:r>
        <w:rPr>
          <w:rFonts w:ascii="arial" w:eastAsia="arial" w:hAnsi="arial" w:cs="arial"/>
          <w:color w:val="000000"/>
          <w:sz w:val="20"/>
          <w:lang w:val="en-US" w:eastAsia="en-US" w:bidi="ar-SA"/>
        </w:rPr>
        <w:t xml:space="preserve">, </w:t>
      </w:r>
      <w:hyperlink r:id="rId141" w:history="1">
        <w:r>
          <w:rPr>
            <w:rFonts w:ascii="arial" w:eastAsia="arial" w:hAnsi="arial" w:cs="arial"/>
            <w:i/>
            <w:color w:val="0077CC"/>
            <w:sz w:val="20"/>
            <w:u w:val="single"/>
            <w:shd w:val="clear" w:color="auto" w:fill="FFFFFF"/>
            <w:lang w:val="en-US" w:eastAsia="en-US" w:bidi="ar-SA"/>
          </w:rPr>
          <w:t>2010 SCC 4</w:t>
        </w:r>
      </w:hyperlink>
      <w:r>
        <w:rPr>
          <w:rFonts w:ascii="arial" w:eastAsia="arial" w:hAnsi="arial" w:cs="arial"/>
          <w:color w:val="000000"/>
          <w:sz w:val="20"/>
          <w:lang w:val="en-US" w:eastAsia="en-US" w:bidi="ar-SA"/>
        </w:rPr>
        <w:t xml:space="preserve"> at para. 64. Although the decision deals with a different contractual problem and analysis, its statement of the law is useful: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key principle of contractual interpretation here is that the words of one provision must not be read in isolation but should be considered in harmony with the rest of the contract and in light of its purposes and commercial context.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xml:space="preserve">  It is equally arguable that Mr. Good is entitled to some compensation for the efforts he put in and the savings he acquired for Happy Valley, much as he expressed in his email of February 7, 2006. The parties were operating at the time under an agreement covering the entire loan scenario which is why Mr. Good put in the effort he did to get the Lombard financing. However, the defendant points out that there is no such pleading, nor is there a claim for </w:t>
      </w:r>
      <w:r>
        <w:rPr>
          <w:rFonts w:ascii="arial" w:eastAsia="arial" w:hAnsi="arial" w:cs="arial"/>
          <w:i/>
          <w:color w:val="000000"/>
          <w:sz w:val="20"/>
          <w:lang w:val="en-US" w:eastAsia="en-US" w:bidi="ar-SA"/>
        </w:rPr>
        <w:t>quantum meruit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xml:space="preserve">  The issue was squarely raised at the commencement of trial and full evidence was called on it. However, I am of the view that the court should not address a claim in </w:t>
      </w:r>
      <w:r>
        <w:rPr>
          <w:rFonts w:ascii="arial" w:eastAsia="arial" w:hAnsi="arial" w:cs="arial"/>
          <w:i/>
          <w:color w:val="000000"/>
          <w:sz w:val="20"/>
          <w:lang w:val="en-US" w:eastAsia="en-US" w:bidi="ar-SA"/>
        </w:rPr>
        <w:t>quantum meruit</w:t>
      </w:r>
      <w:r>
        <w:rPr>
          <w:rFonts w:ascii="arial" w:eastAsia="arial" w:hAnsi="arial" w:cs="arial"/>
          <w:color w:val="000000"/>
          <w:sz w:val="20"/>
          <w:lang w:val="en-US" w:eastAsia="en-US" w:bidi="ar-SA"/>
        </w:rPr>
        <w:t xml:space="preserve"> when the case has been pleaded and argued only in contract, unless the parties have an opportunity to make further submissions on whether the pleadings should be amended, and if so, on the merits of the claim and the amount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The Goodstone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The circumstances surrounding the agreement on the unit are not clear. Mr. Smith was consistent in his evidence that, until the success of the pre-sales event on September 10, 2005, he was not certain he could obtain financing. He did not even have a joint venture by that time. He had not entered into any arrangement with Citifund and was still speaking to MCAP and CIBC on the issue of financing. However, even while denying any deal related to a deduction from commission, Mr. Smith could not explain why he would throw in a free boat slip worth $20,000 for a broker with whom he had no relationship. Nor could he explain the note from the realtor regarding the deduction, which was, according to the cover note by the realtor, dictated by Mr. Smith himself. He was obviously operating under the assumption that if the project proceeded, he would take the favourable terms offered by Citifund and the deposit by deduction would follow.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I am inclined to accept Mr. Good's evidence that an agreement had been reached prior to the sales event to allow him to pay the deposit on a unit through a deduction from the anticipated commission on the loan, despite the sloppiness of the documentation. In fact, when the commission was demanded by the realtor, he referred to the agreement but offered to write a cheque himself, despite the arrangement. There was no evidence as to the response to that proposal, but it appears that Mr. Good was not asked to write a cheque and the contract was later terminated because the deposit had not been paid.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The deposit through deduction hinged on the commission from the loan contemplated and described by Citifund. The loan as contemplated was never obtained. However, in fairness, the final resolution of Goodstone's claim should await the outcome of the issue pertaining to Lombard.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The claim under the EAA is dismissed on the basis that Citifund waived its rights under the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xml:space="preserve">  The parties are invited to make further submissions on the issue of whether the pleadings should be amended to include a claim in </w:t>
      </w:r>
      <w:r>
        <w:rPr>
          <w:rFonts w:ascii="arial" w:eastAsia="arial" w:hAnsi="arial" w:cs="arial"/>
          <w:i/>
          <w:color w:val="000000"/>
          <w:sz w:val="20"/>
          <w:lang w:val="en-US" w:eastAsia="en-US" w:bidi="ar-SA"/>
        </w:rPr>
        <w:t>quantum meruit</w:t>
      </w:r>
      <w:r>
        <w:rPr>
          <w:rFonts w:ascii="arial" w:eastAsia="arial" w:hAnsi="arial" w:cs="arial"/>
          <w:color w:val="000000"/>
          <w:sz w:val="20"/>
          <w:lang w:val="en-US" w:eastAsia="en-US" w:bidi="ar-SA"/>
        </w:rPr>
        <w:t xml:space="preserve"> in respect of Mr. Good's efforts in obtaining the Lombard insurance, and if the amendments are allowed, on the merits of such a claim and the amount of damages. The effect of any determination respecting the Lombard issue on the claim by Goodstone should be addressed at that time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Counsel may arrange a time to make these submissions through the Registry.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 HUMPHRIES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57" style="position:absolute;z-index:25181798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42"/>
          <w:headerReference w:type="default" r:id="rId143"/>
          <w:footerReference w:type="even" r:id="rId144"/>
          <w:footerReference w:type="default" r:id="rId145"/>
          <w:headerReference w:type="first" r:id="rId146"/>
          <w:footerReference w:type="first" r:id="rId14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48" w:history="1">
        <w:r>
          <w:rPr>
            <w:rFonts w:ascii="arial" w:eastAsia="arial" w:hAnsi="arial" w:cs="arial"/>
            <w:b/>
            <w:bCs/>
            <w:i/>
            <w:color w:val="0077CC"/>
            <w:kern w:val="32"/>
            <w:sz w:val="28"/>
            <w:szCs w:val="32"/>
            <w:u w:val="single"/>
            <w:shd w:val="clear" w:color="auto" w:fill="FFFFFF"/>
            <w:lang w:val="en-US" w:eastAsia="en-US" w:bidi="ar-SA"/>
          </w:rPr>
          <w:t>Coast Realty Group (Campbell River) Ltd. v. Neilson Island Holdings Inc., [2015] B.C.J. No. 219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P.G. Voith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30-31,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11,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12-4338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Victoria</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[2015] B.C.J. No. 219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2015 BCSC 187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Coast Realty Group (Campbell River) Ltd., Plaintiff, and Neilson Island Holdings Inc., Christopher Lefevre, New Pismo Holdings Inc., Embark Investment Trust and Embark Holdings Corp.,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(117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58" style="position:absolute;z-index:2516654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44" w:name="Keywords_6"/>
      <w:bookmarkEnd w:id="44"/>
      <w:r>
        <w:rPr>
          <w:rFonts w:ascii="arial" w:eastAsia="arial" w:hAnsi="arial" w:cs="arial"/>
          <w:b/>
          <w:color w:val="000000"/>
          <w:sz w:val="20"/>
          <w:lang w:val="en-US" w:eastAsia="en-US" w:bidi="ar-SA"/>
        </w:rPr>
        <w:t>Commercial law — Personal property — Choses in action — Equitable assignment — Effect of assignment — Action by plaintiff to recover real estate commission allowed — Plaintiff entered into listing contract for property owned by Holdings, of which Lefevre was director — Listing contract assigned commission to plaintiff — Listing contract created equitable assignment of commission to plaintiff and imposed trust obligation on Holdings, which breached obligation by refusing to pay commission — Lefevre was personally liable for commission — He knew of assignment and that plaintiff's rights would be prejudiced if sale proceeds were dispersed.</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Contracts — Parties — Equitable assignments — Effect of assignment — Action by plaintiff to recover real estate commission allowed — Plaintiff entered into listing contract for property owned by Holdings, of which Lefevre was director — Listing contract assigned commission to plaintiff — Listing contract created equitable assignment of commission to plaintiff and imposed trust obligation on Holdings, which breached obligation by refusing to pay commission — Lefevre was personally liable for commission — He knew of assignment and that plaintiff's rights would be prejudiced if sale proceeds were dispersed.</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Corporations, partnerships and associations law — Corporations — Directors and officers — Personal liability of directors to persons other than the corporation — Action by plaintiff to recover real estate commission allowed — Plaintiff entered into listing contract for property owned by Holdings, of which Lefevre was director — Listing contract assigned commission to plaintiff — Listing contract created equitable assignment of commission to plaintiff and imposed trust obligation on Holdings, which breached obligation by refusing to pay commission — Lefevre was personally liable for commission — He knew of assignment and that plaintiff's rights would be prejudiced if sale proceeds were dispersed.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45" w:name="Case Summary_6"/>
            <w:bookmarkEnd w:id="4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plaintiff to recover a real estate commission. The plaintiff real estate brokerage entered into a multiple listing contract for a property owned by Holdings, of which Lefevre was a director. The listing contract provided that the plaintiff would receive a commission if a contract of sale were entered into and assigned the commission to the plaintiff. A potential buyer called the plaintiff to inquire about the property and arranged to have a friend view it. Lefevre saw the friend, asked to speak to the potential buyer directly and negotiated the sale with him. Holdings paid the sales proceeds to companies that lent it money for its purchase of the property. Holdings refused the plaintiff's request for the commission, claiming that the plaintiff did not provide the required services.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46" w:name="Holdings of Court_4"/>
            <w:bookmarkEnd w:id="46"/>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Holdings breached the listing contract by refusing to pay the commission. The plaintiff performed the listing contract. The buyer told Lefevre that the plaintiff introduced the buyer to the property. Lefevre never told the plaintiff that it was not performing until it claimed the commission. The commission was based on success, not effort. The companies that received the sale proceeds were not unjustly enriched. There was a "juristic reason" for the enrichment, as the companies were entitled to be repaid their loans. Lefevre did not induce a breach of contract. There was no independent wrong or unlawful conduct by him, given that he was a director of Holdings. The listing contract created an equitable assignment of the commission to the plaintiff and imposed a trust obligation on Holdings, which breached the obligation by refusing to pay the commission. Lefevre was personally liable for the commission. He knew of the assignment and that the plaintiff's rights would be prejudiced if the sale proceeds were fully dispersed.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47" w:name="Legislation Cited_3"/>
      <w:bookmarkEnd w:id="4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59" style="position:absolute;z-index:2517166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Law and Equity Act, </w:t>
      </w:r>
      <w:hyperlink r:id="rId149" w:history="1">
        <w:r>
          <w:rPr>
            <w:rFonts w:ascii="arial" w:eastAsia="arial" w:hAnsi="arial" w:cs="arial"/>
            <w:i/>
            <w:color w:val="0077CC"/>
            <w:sz w:val="20"/>
            <w:u w:val="single"/>
            <w:shd w:val="clear" w:color="auto" w:fill="FFFFFF"/>
            <w:lang w:val="en-US" w:eastAsia="en-US" w:bidi="ar-SA"/>
          </w:rPr>
          <w:t>R.S.B.C. 1996, c. 253, s. 36</w:t>
        </w:r>
      </w:hyperlink>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48" w:name="Counsel_6"/>
      <w:bookmarkEnd w:id="48"/>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60" style="position:absolute;z-index:2517678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Patrick G. Guy.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L. John Alexander, Isabel Gowda.</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49" w:name="Judgment_6"/>
      <w:bookmarkEnd w:id="49"/>
      <w:r>
        <w:pict>
          <v:line id="_x0000_s1061" style="position:absolute;z-index:25181900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50" w:name="P.G. VOITH J."/>
            <w:bookmarkEnd w:id="50"/>
            <w:r>
              <w:rPr>
                <w:rFonts w:ascii="arial" w:eastAsia="arial" w:hAnsi="arial" w:cs="arial"/>
                <w:b/>
                <w:color w:val="000000"/>
                <w:sz w:val="30"/>
                <w:lang w:val="en-US" w:eastAsia="en-US" w:bidi="ar-SA"/>
              </w:rPr>
              <w:t>P.G. VOITH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Overview and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Coast Realty Group (Campbell River) Ltd. ("Coast"), seeks to recover a real estate commission in the amount of $66,875, plus GST (the "Commission"), from the defendants. The Commission arises from the sale of Neilson Island, near Tofino, on the West Coast of Vancouver Island (the "Property"). The Commission is owed to it, Coast says, under a Multiple Listing Contract made with the defendant Neilson Island Holdings Inc. ("Holdings") on January 20, 2012 (the "Listing Agreement"). The following central issues arise:</w:t>
      </w:r>
      <w:r>
        <w:rPr>
          <w:rFonts w:ascii="arial" w:eastAsia="arial" w:hAnsi="arial" w:cs="arial"/>
          <w:sz w:val="20"/>
          <w:lang w:val="en-US" w:eastAsia="en-US" w:bidi="ar-SA"/>
        </w:rPr>
        <w:cr/>
      </w:r>
    </w:p>
    <w:p>
      <w:pPr>
        <w:numPr>
          <w:numId w:val="7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 the terms of the Listing Agreement reflect the agreement that was made between Coast and Holdings?; and</w:t>
      </w:r>
    </w:p>
    <w:p>
      <w:pPr>
        <w:numPr>
          <w:numId w:val="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Do any of the various causes of action, brought by Coast against the defendants, other than Holdings, provide it with a basis for recovering the Commission against one of those third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r>
        <w:rPr>
          <w:rFonts w:ascii="arial" w:eastAsia="arial" w:hAnsi="arial" w:cs="arial"/>
          <w:sz w:val="20"/>
          <w:lang w:val="en-US" w:eastAsia="en-US" w:bidi="ar-SA"/>
        </w:rPr>
        <w:cr/>
      </w:r>
    </w:p>
    <w:p>
      <w:pPr>
        <w:numPr>
          <w:numId w:val="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Coast is a licensed real-estate brokerage company. Mr. Handja is a licensed real-estate broker who worked for Coast at all material times. Mr. Handja had been a broker since 1993, and he specialized in the marketing and sale of waterfront properties in coastal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Holdings is a British Columbia company that was incorporated for the purposes of acquiring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At all material times, Holdings had two directors; the defendant Christopher Lefevre and John MacKay.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defendant, New Pismo Holdings Inc. ("New Pismo"), is a British Columbia company. Mr. Lefevre is a director of New Pismo. New Pismo lent monies to Holdings for the acquisition and the maintenance of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defendant, Embark Holdings Corp. ("Embark Corp."), is a British Columbia company. Mr. MacKay is a director of Embark Corp. Embark Corp. acts as trustee for the Defendant, Embark Investment Trust. Embark Corp. lent monies to Holdings for the acquisition and the maintenance of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Lefevre is also a licensed real-estate broker and the director of Lefevre &amp; Company Property Agents Ltd ("Lefevre &amp; Company").</w:t>
      </w:r>
      <w:r>
        <w:rPr>
          <w:rFonts w:ascii="arial" w:eastAsia="arial" w:hAnsi="arial" w:cs="arial"/>
          <w:sz w:val="20"/>
          <w:lang w:val="en-US" w:eastAsia="en-US" w:bidi="ar-SA"/>
        </w:rPr>
        <w:cr/>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Key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Holdings bought the Property on January 15, 2007. At that time, each of New Pismo and Embank Corp. provided Holdings with some of the funds required to complete the purchase. The balance of the purchase monies were obtained by way of a mortgage from the Bank of Montreal.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December 2011, Mr. Handja was approached by Mr. Schwartz, a realtor who worked with Re/Max Mid-Island Realty ("Re/Max"), about co-listing the Property. Mr. Schwartz and Re/Max had had the Property listed for sale, off and on, for much of the time since the latter part of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Between January 16 and January 20, 2012, Messrs. Handja, Schwartz and Lefevre, exchanged various emails in which the terms of an acceptable agreement between them were negotiated. The Listing Agreement was executed on January 20, 2012. The parties to the Listing Agreement are Coast, as "Listing Brokerage" and Holdings as "Seller", though Mr. Schwartz, on behalf of Re/Max, also signed the Listing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Listing Agreement provided Coast with the listing for the Property for a period of slightly more than one year, or from January 25, 2012 to January 31, 2013. The listing price for the Property was $1.45 million.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Listing Agreement contained the following further specific terms:</w:t>
      </w:r>
      <w:r>
        <w:rPr>
          <w:rFonts w:ascii="arial" w:eastAsia="arial" w:hAnsi="arial" w:cs="arial"/>
          <w:sz w:val="20"/>
          <w:lang w:val="en-US" w:eastAsia="en-US" w:bidi="ar-SA"/>
        </w:rPr>
        <w:cr/>
      </w:r>
    </w:p>
    <w:p>
      <w:pPr>
        <w:numPr>
          <w:numId w:val="5"/>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LISTING AUTHORITY AND TERM</w:t>
      </w:r>
    </w:p>
    <w:p>
      <w:pPr>
        <w:numPr>
          <w:numId w:val="6"/>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Seller hereby lists exclusively with the Listing Brokerage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LISTING BROKERAGE'S REMUNERATION: The Seller agrees:</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To pay to the Listing Brokerage a gross commission of 7% of the Selling Price of the sale price of the Property, plus applicable Harmonized Sales Tax and any other applicable tax in respect of the commission (commission + tax = remuneration) if:</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legally enforceable contract of sale between the Seller and a Buyer is entered into during the term of this Contract; or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0"/>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remuneration due to the Listing Brokerage shall be payable on the earlier of the date the sale is completed, or the completion date, or where no contract of sale has been entered into seven (7) days after written demand by the Listing Brokerage; and</w:t>
      </w:r>
    </w:p>
    <w:p>
      <w:pPr>
        <w:numPr>
          <w:numId w:val="11"/>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to assist in obtaining a buyer for the Property, the Listing Brokerage will offer to Cooperating Brokerages a portion of the Listing Brokerage's commission in the amount of 1.5% of the Selling Price of the sale price of the Property, plus applicable Harmonized Sales Tax and other applicable tax in respect of that portion of the commission.</w:t>
      </w:r>
    </w:p>
    <w:p>
      <w:pPr>
        <w:numPr>
          <w:numId w:val="12"/>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ASSIGNMENT OF REMUNERATION: The Seller hereby irrevocably:</w:t>
      </w:r>
    </w:p>
    <w:p>
      <w:pPr>
        <w:numPr>
          <w:numId w:val="13"/>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Assigns to the Listing Brokerage from the proceeds of sale of the Property, the amount of remuneration due to the Listing Brokerage and authorizes the Listing Brokerage to retain from the deposit monies the amount of the Listing Brokerage's remuneration;</w:t>
      </w:r>
    </w:p>
    <w:p>
      <w:pPr>
        <w:numPr>
          <w:numId w:val="14"/>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Acknowledges that the Listing Brokerage may assign to a Cooperating Brokerage all or part of the remuneration due to the Listing Brokerage; and</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Directs, or agrees to sign such documents as may be required by the Listing Brokerage irrevocably directing a Lawyer or Notary Public acting for the Seller or a buyer, to pay the remuneration due to the Listing Brokerage, or the net amount remaining after the deposit monies held in trust have been credited against the remuneration due to the Listing Brokerage, to the Listing Brokerage and a Cooperating Brokerage, where applicable, by separate cheques to the Listing Brokerage and the Cooperating Brokerage.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SELLER AGREES AS FOLLOWS:</w:t>
      </w:r>
    </w:p>
    <w:p>
      <w:pPr>
        <w:numPr>
          <w:numId w:val="1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To promptly advise the Listing Brokerage, of and refer to the Listing Brokerage, all inquiries for the purchase of the Property, and to deliver to the Listing Brokerage all offers to purchase which may be received during the term of this exclusive Contract or arising by reason of it; and</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accept an offer made during the term of this Contract by a person ready, willing and able to purchase on the terms set out in this Contract.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MISCELLANEOUS PROVISIONS: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parties acknowledge that this Contract fully sets out the terms of the agreement between them.</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ENTIRE AGREEMENT - THIS LISTING CONTRACT MEANS AND INCLUDES THIS AGREEMENT AND THE SELLER'S PROPERTY DISCLOSURE STATEMENT (WHEN ATTACHED AND SIGNED BY THE SELLER): The Seller acknowledges having read and understood this Contract; that it accurately describes the agreement with the Listing Brokerage; and that a copy of it has been received by the Seller this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Coast also agreed to provide certain specific services that are described in Appendix A to the Listing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Coast thereafter listed the Property on the MLS service, and also placed the Property on various websites including www.bcoceanfront.com.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On about June 10, 2012, Mr. Handja received a telephone call inquiring about the Property from a Mr. Delen. Mr. Delen is an American who was resident in North Carolina. In the period that followed, Messrs. Handja and Delen spoke on the phone several times, and Mr. Handja sent Mr. Delen information about the Property and about the market for comparable properties.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Delen arranged to have a friend, Mr. Thompson, view the Property, though neither Mr. Handja nor Mr. Schwartz was able to accompany Mr. Thompson when he did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Delen, who has filed an affidavit, has deposed that Mr. Thompson told him he took his boat to view the Property, and while he doing so, he was seen by Mr. Lefevre. Mr. Lefevre thereafter contacted Mr. Thompson and told him that he wished to speak to Mr. Delen about the Property directly.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Delen has also deposed that he spoke with Mr. Lefevre on the telephone, that he told Mr. Lefevre that he had originally learned about the Property through Mr. Handja's website, that he had spoken with Mr. Handja and received information about the Property and other islands from Mr. Handja. In response, Mr. Lefevre said, or used words to the effect of, "don't worry, that's my problem, not yours". This conversation likely took place about June 20, 2012. Between June 21 and June 24, Messrs. Delen and Lefevre had further email communications and negotiated the sale of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 observe that Mr. Lefevre has deposed that Mr. Thompson was the one who first initiated contact with him. This position was not pressed before me. It also does not align with the narrative that was described by Mr. Delen, or with Mr. Delen's response, when he first spoke to Mr. Lefevre.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Handja and Mr. Delen spoke again on July 5, 2012. In that conversation, Mr. Delen informed Mr. Handja that the purchase of the Property was proceeding. Mr. Handja reassured Mr. Delen he would not interfere with the transaction and would claim his commission after the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purchase completed on July 27, 2012, with Mr. Delen, or more accurately the company that he had incorporated for that purpose, paying $1,337,500 for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Handja learned the Property had sold on August 8, 2012. By letter dated August 13, 2012, Coast requested payment of $104,860 as the Commission. This figure was comprised of the $29,960, inclusive of tax, that was owed to Re/Max, and the $74,900, inclusive of tax, that was owed to Coast.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By letter and cheque dated August 14, 2012, Lefevre and Company paid Mr. Schwartz and Re/Max $11,703.12, plus HST, for a total of $13,107.49. It was conceded before me that this figure bears no relationship to any earlier agreement, and appears to have been determined somewhat arbitrarily.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By letter dated August 16, 2012, Holdings advised Coast that Coast would not be paid a commission, as it had "failed to provide services in the manner required and, as such, is in breach of its obligations".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solicitors for Mr. Schwartz and Re/Max have communicated that, so long as Coast does not seek to recover Mr. Schwartz's/Re/Max's portion of the Commission, they do not seek any further commission from Holdings.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The parties agree this matter is amenable to being determined by a summary trial, though there are some inconsistencies in the evidence. I agree this is so. The plaintiff has conducted a discovery of Mr. Lefevre. Those factual disputes that do exist can be resolved on the basis of the record before me. The amounts in dispute also militate in favour of an efficient and cost-effective resolution to the dispute; </w:t>
      </w:r>
      <w:r>
        <w:rPr>
          <w:rFonts w:ascii="arial" w:eastAsia="arial" w:hAnsi="arial" w:cs="arial"/>
          <w:i/>
          <w:color w:val="000000"/>
          <w:sz w:val="20"/>
          <w:lang w:val="en-US" w:eastAsia="en-US" w:bidi="ar-SA"/>
        </w:rPr>
        <w:t>Hryniak v. Mauldin</w:t>
      </w:r>
      <w:r>
        <w:rPr>
          <w:rFonts w:ascii="arial" w:eastAsia="arial" w:hAnsi="arial" w:cs="arial"/>
          <w:color w:val="000000"/>
          <w:sz w:val="20"/>
          <w:lang w:val="en-US" w:eastAsia="en-US" w:bidi="ar-SA"/>
        </w:rPr>
        <w:t xml:space="preserve">, </w:t>
      </w:r>
      <w:hyperlink r:id="rId150" w:history="1">
        <w:r>
          <w:rPr>
            <w:rFonts w:ascii="arial" w:eastAsia="arial" w:hAnsi="arial" w:cs="arial"/>
            <w:i/>
            <w:color w:val="0077CC"/>
            <w:sz w:val="20"/>
            <w:u w:val="single"/>
            <w:shd w:val="clear" w:color="auto" w:fill="FFFFFF"/>
            <w:lang w:val="en-US" w:eastAsia="en-US" w:bidi="ar-SA"/>
          </w:rPr>
          <w:t>2014 SCC 7</w:t>
        </w:r>
      </w:hyperlink>
      <w:r>
        <w:rPr>
          <w:rFonts w:ascii="arial" w:eastAsia="arial" w:hAnsi="arial" w:cs="arial"/>
          <w:color w:val="000000"/>
          <w:sz w:val="20"/>
          <w:lang w:val="en-US" w:eastAsia="en-US" w:bidi="ar-SA"/>
        </w:rPr>
        <w:t xml:space="preserve"> at paras. 57-58.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 1: Did the Listing Agreement Reflect the Agreement Made Between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defendants do not, in their amended response to civil claim, argue that no contract was made between Coast and Holdings. Rather, they argue that the Listing Agreement does not reflect what they have called the "Correct Agreement" made between the parties. The payment terms contained in the Correct Agreement are described and defined in the amended response to civil claim:</w:t>
      </w:r>
      <w:r>
        <w:rPr>
          <w:rFonts w:ascii="arial" w:eastAsia="arial" w:hAnsi="arial" w:cs="arial"/>
          <w:sz w:val="20"/>
          <w:lang w:val="en-US" w:eastAsia="en-US" w:bidi="ar-SA"/>
        </w:rPr>
        <w:cr/>
      </w:r>
    </w:p>
    <w:p>
      <w:pPr>
        <w:numPr>
          <w:numId w:val="2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By way of an agreement made between Holdings, Re/ Max and Coast Reality Group (Campbell River) Ltd. ("Coast"), in or about the third week of January 2012, the parties agreed that Re/Max and Coast would have a joint listing at a maximum commission of 6.5% of the sale price of the Lands, with Coast earning a 2.5% "co-listing broker" commission, Re/Max earning a 2.5% "co-listing broker" commission and a 1.5% commission to the selling broker. The term of the agreement was until January 31, 2013. (the "Correct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defendants argue that these terms are found in a series of emails that predated the Listing Agreement. Those emails, some of which are relatively lengthy, address three key issues:</w:t>
      </w:r>
      <w:r>
        <w:rPr>
          <w:rFonts w:ascii="arial" w:eastAsia="arial" w:hAnsi="arial" w:cs="arial"/>
          <w:sz w:val="20"/>
          <w:lang w:val="en-US" w:eastAsia="en-US" w:bidi="ar-SA"/>
        </w:rPr>
        <w:cr/>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listing price for the Property;</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length or duration of the listing that Mr. Schwartz/Re/Max and Mr. Handja/Coast would receive; and</w:t>
      </w:r>
    </w:p>
    <w:p>
      <w:pPr>
        <w:numPr>
          <w:numId w:val="2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commission that would be paid to Mr. Schwartz/Re/ Max, Mr. Handja/Coast and any other potential selling broker.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There is no argument about the first two of these issues -- or that the Listing Agreement properly reflects the agreement of the parties on these issues. The dispute relates to the third matter -- the issue of commission. This issue arises, the defendants argue, because of two matters:</w:t>
      </w:r>
      <w:r>
        <w:rPr>
          <w:rFonts w:ascii="arial" w:eastAsia="arial" w:hAnsi="arial" w:cs="arial"/>
          <w:sz w:val="20"/>
          <w:lang w:val="en-US" w:eastAsia="en-US" w:bidi="ar-SA"/>
        </w:rPr>
        <w:cr/>
      </w:r>
    </w:p>
    <w:p>
      <w:pPr>
        <w:numPr>
          <w:numId w:val="2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amount of the global commission payable; and</w:t>
      </w:r>
    </w:p>
    <w:p>
      <w:pPr>
        <w:numPr>
          <w:numId w:val="2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How that global commission was to be split.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defendants assert that the Correct Agreement contemplated a "maximum commission" of 6.5% with Coast earning a 2.5% co-listing broker commission, Re/Max earning a 2.5% co-listing broker commission and a 1.5% commission to the selling broker.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relevant email exchanges consist, in part, of the following communications:</w:t>
      </w:r>
      <w:r>
        <w:rPr>
          <w:rFonts w:ascii="arial" w:eastAsia="arial" w:hAnsi="arial" w:cs="arial"/>
          <w:sz w:val="20"/>
          <w:lang w:val="en-US" w:eastAsia="en-US" w:bidi="ar-SA"/>
        </w:rPr>
        <w:cr/>
      </w:r>
    </w:p>
    <w:p>
      <w:pPr>
        <w:numPr>
          <w:numId w:val="2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January 13, 2012, from Mr. Lefevre to Mr. Handja: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Please simply drop me a short email with your listing proposal -- suggested price, requested commission, term of listing plus promotion.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 this in hand I will consider and assess my options. I am trusting that you have made a "fair" agreement with Jim Schwartz who is valuable on the ground.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will await. I would like to make a decision next week.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Thank you.</w:t>
      </w:r>
    </w:p>
    <w:p>
      <w:pPr>
        <w:numPr>
          <w:numId w:val="2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January 16, 2012, from Mr. Handja to Mr. Lefevre: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First off, yes Jim and I have come to mutually agreeable terms, which will actually earn him 50% more commission than what he had originally asked for under his listing agreement with you. Of course, this only holds true if you are going to be agreeable to the commission that I am going to ask you for, which is 8% of the selling price. This will be divided as follows: 2% offered to a selling broker, 2.5% to Jim on the listing side and 3.5 to Ed Handja/Coast Realty.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What I'm going to suggest is a listing price of $1.4M, or very close to that and see what types of offers we attract. Even a full price offer is still going to leave you a little short at the end of the day, given your costs on top of the $1.3 purchase price, time and commissions on this sale. What I can tell you is if the Buyer flows through me, which is reasonably likely, I can certainly cut a little slack on selling side, typically 25%. But let's jump off that bridge when we get to it.</w:t>
      </w:r>
    </w:p>
    <w:p>
      <w:pPr>
        <w:numPr>
          <w:numId w:val="3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January 17, 2012, from Mr. Lefevre to Mr. Handja: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Thank you for your notes of January 16th.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in agreement with the following:</w:t>
      </w:r>
    </w:p>
    <w:p>
      <w:pPr>
        <w:numPr>
          <w:numId w:val="3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List $1.45</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Commission 6.5% split however you wish</w:t>
      </w:r>
    </w:p>
    <w:p>
      <w:pPr>
        <w:numPr>
          <w:numId w:val="3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Listing period - which is realistic - 6-9 months.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Agreement to be made as to what fee is required to you and Jim if I bring my own buyer to the table during the listing period.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Please advise ASAP.</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Thank you.</w:t>
      </w:r>
    </w:p>
    <w:p>
      <w:pPr>
        <w:numPr>
          <w:numId w:val="3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January 17, 2012, from Mr. Handja to Mr. Lefevre: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for commission, again, I stated as a co list, my fee is greatly reduced rather than listing this on my own. I typically always have 4 - 5% on my end and that is because of my cost of doing business, which far exceeds that of any other realtor on the Island, that I am aware of and I have yet to find someone who is willing to anti up the same so I structure my commission splits accordingly. I have no problem co listing with Jim. I do believe he brings good knowledge and value to the whole exercise. So, I would ask that we stay at 8%, which in the overall picture, we're only talking $20,000 more in cost to you (so easy for me to say) maintaining 3.5% to me on the listing side, none of which matters until we actually have a deal. We also have to leave something reasonable on the selling side to encourage other realtors. Your question regarding if you bring a buyer to the table through your own contacts or efforts, I would automatically reduce the commission, 2%, reflecting the 'selling side'. And if your buyer makes everyone's life easy, I would even consider knocking another 1/2 point off of my end. Again, we'll jump off that bridge when we get to it.</w:t>
      </w:r>
    </w:p>
    <w:p>
      <w:pPr>
        <w:numPr>
          <w:numId w:val="3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January 17, 2012, from Mr. Lefevre to Mr. Handja: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Jan 17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951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w:t>
            </w:r>
          </w:p>
        </w:tc>
        <w:tc>
          <w:tcPr>
            <w:tcW w:w="931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Chris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defendants argue that a different global commission is reflected in this exchange of emails between Messrs. Handja and Lefevre than is reflected in the Listing Agreement. This is partly true. Mr. Handja did try to negotiate a global commission of 8%. Mr. Lefevre tried to negotiate a 6.5% commission. Mr. Lefevre's final email response, dated January 17, 2012, however, curtly responds "7%". The Listing Agreement, that was signed three days later, uses the 7% figure. There is simply no principled basis to vary the terms of the Listing Agreement as it relates to the global commission that is payable.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Listing Agreement is clear and unambiguous. The Listing Agreement, at cl. 13, contains an "entire agreement" clause. In cl. 12D, the parties acknowledge that the Listing Agreement "fully sets out the terms of the agreement between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Based on the email exchanges I have referred to, the defendants also argue either that no arrangement was reached on what portion of the global commission was properly payable to Coast, or if an agreement was reached, that Coast was entitled to, at most, a commission of 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suggestion that no agreement was reached on Coast's share of the 7% commission, again, is based on several assertions. First, it is argued that Coast left the issue of what a selling broker might receive, or of what Lefevre &amp; Company might receive unresolved -- in Mr. Handja's words, "we'll jump off that bridge when we get to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Second, and in a related vein, the Listing Agreement does not itself expressly address how the 7% commission would be allocated between Coast and Re/Max.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Listing Agreement at cls. 4A, 5C, expressly states that the Listing Brokerage (here Coast) would pay a 1.5% commission to "Cooperating Brokerages" defined as "other brokerages acting for a prospective buyer". In this case, Mr. Lefevre and Lefevre &amp; Company did not act for a "prospective buyer". Mr. Delen was never the client of either Mr. Lefevre or of Lefevre &amp;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Similarly, cl. 5A(ii) of the Listing Agreement confirms that a legally-enforceable contract of sale arises between "the Seller and a Buyer, who is </w:t>
      </w:r>
      <w:r>
        <w:rPr>
          <w:rFonts w:ascii="arial" w:eastAsia="arial" w:hAnsi="arial" w:cs="arial"/>
          <w:color w:val="000000"/>
          <w:sz w:val="20"/>
          <w:u w:val="single"/>
          <w:lang w:val="en-US" w:eastAsia="en-US" w:bidi="ar-SA"/>
        </w:rPr>
        <w:t>introduced</w:t>
      </w:r>
      <w:r>
        <w:rPr>
          <w:rFonts w:ascii="arial" w:eastAsia="arial" w:hAnsi="arial" w:cs="arial"/>
          <w:color w:val="000000"/>
          <w:sz w:val="20"/>
          <w:lang w:val="en-US" w:eastAsia="en-US" w:bidi="ar-SA"/>
        </w:rPr>
        <w:t xml:space="preserve"> to the Property or to the Seller, by the Listing Brokerage, a Cooperating Brokerage, or any other person, including the Seller" (emphasis added). In this case, Mr. Delen was introduced to the Property by Coast.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It is worth noting that under cl. 8A of the Listing Agreement, Holdings agreed to refer "all inquiries for the purchase of the Property" to Coast. Here the converse occurred. Mr. Lefevre actually interfered with the dealings between Mr. Handja and Mr. Delen. Mr. Lefevre dealt directly with Mr. Delen only because he contacted Mr. Delen directly and intervened in the negotiations that would otherwise have taken place between Mr. Delen and Coast.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Quite apart from the fact that the terms of the Listing Agreement are unambiguous, I consider that the exchange of emails between the parties is actually consistent with the Listing Agreement. Those emails were directed to what would happen if Mr. Lefevre brought "a buyer to the table through your own contacts or efforts". That scenario was never engaged. Again, Mr. Delen was never Mr. Lefevre's buyer. Mr. Lefevre never brought "a buyer to the 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second issue raised by the defendants, the division of the commission, is similarly without merit. It is true that the Listing Agreement only identifies Coast as the Listing Brokerage. Mr. Schwartz/Re/Max are not otherwise identified in the body of the Listing Agreement, though Mr. Schwartz/Re/Max signed the Listing Agreement. Similarly, it is true that the Listing Agreement does not itself expressly address the portion of the global 7% commission that each of Coast and Re/Max respectively would receive if the Property were sold.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Instead, the Listing Agreement states that Coast is to receive a commission of 7% on the sale of the Property, subject to the 1.5% commission that might make its way, at some point, to some unidentified Cooperating Brokerage.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arrangement between Coast and Re/Max was a separate matter. In a separate exchange of emails dated January 18 and 19, 2012, Mr. Handja and Mr. Schwartz came to an agreement on how to split the 7% commission that Mr. Lefevre was offering. Under this agreement, Re/Max was to receive 2%, 1.5% would go to the selling broker, and 3.5% was to go to Coast. Hence, if Mr. Handja found a purchaser, he/Coast, would receive a commission of 5%, while Mr. Schwartz/Re/Max would receive a commission of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These written communications are consistent with the uncontradicted affidavit evidence of Mr. Handja as to the agreement that Coast reached with Re/Max. Further, this agreement is consistent with Coast's internal and contemporaneous records, which address Re/Max's share of the commission in the event the Property sold. Finally, it is clear that the internal arrangement made between Coast and Re/Max was a matter that was of no moment to Mr. Lefevre. He cared about his exposure to pay a maximum commission on the sale of the Property. He did not care about the specific terms of the arrangement between Coast and Re/Max.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Mr. Lefevre's January 13, 2012, email noted, "I am trusting that you made a 'fair' agreement with Jim Schwartz". Mr. Handja responded "yes Jim and I have come to mutually agreeable terms." Mr. Lefevre's email of January 17, 2012, at which time he was proposing a commission of 6.5%, again noted that that commission, as between Coast and Re/Max, was to be "split however you wish".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 return to the defendants' alternate submission - that being that Coast is entitled to, at most, 2.5%. This calculation is based on a set of figures that do not accord with the evidence. The defendants' written submissions state:</w:t>
      </w:r>
      <w:r>
        <w:rPr>
          <w:rFonts w:ascii="arial" w:eastAsia="arial" w:hAnsi="arial" w:cs="arial"/>
          <w:sz w:val="20"/>
          <w:lang w:val="en-US" w:eastAsia="en-US" w:bidi="ar-SA"/>
        </w:rPr>
        <w:cr/>
      </w:r>
    </w:p>
    <w:p>
      <w:pPr>
        <w:numPr>
          <w:numId w:val="3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Despite this, the Defendants take no position with respect to a claim against Holdings for a commission of 2.5%, on the basis that there is a co-listing with no other evidence or agreement by either company that the listing commission was anything but equal, and that Mr. Handja clearly agreed to at least a 2% commission to a selling realtor. 7% minus 2% leaves 5% to be paid equally to Coast and Re/Max.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foregoing submissions are flawed in the two respects I have already addressed. The 2% figure was to go to a selling realtor. Mr. Lefevre was not a selling realtor. He negotiated the sale with Mr. Delen because he intervened in the already ongoing dealings between Messrs. Handja and Delen. Furthermore, Coast and Re/Max did not agree to split the 7% commission on an "equal" basis. That evidence is uncontradicted. Finally, it is worth observing that the calculation reflected in para. 26 of the defendants' written submissions is premised on a 7% commission (as reflected in the Listing Agreement), and not the 6.5% commission that was purportedly negotiated under the Correct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 am satisfied that the Listing Agreement reflected the agreement made between Coast and Holdings. The separate arrangement between Coast and Re/Max provided for a commission of 2% to Re/Max. Furthermore, Coast should have received both the 3.5% base commission, and as selling agent, a further 1.5% commission. Thus, a commission of 5%, plus applicable taxes, was payable by Holdings to Coast. That 5% commission gives rise to the $66,875 (plus GST) figure that is claimed by Coast in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091"/>
        <w:gridCol w:w="731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04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u w:val="single"/>
                <w:lang w:val="en-US" w:eastAsia="en-US" w:bidi="ar-SA"/>
              </w:rPr>
              <w:t>Issue 2:</w:t>
            </w:r>
          </w:p>
        </w:tc>
        <w:tc>
          <w:tcPr>
            <w:tcW w:w="716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u w:val="single"/>
                <w:lang w:val="en-US" w:eastAsia="en-US" w:bidi="ar-SA"/>
              </w:rPr>
              <w:t>Did Coast Perform under the Listing Agreement?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position that Coast was only entitled to a commission of 2.5% was not the defendants' original position. The proposition that Coast, in all of the circumstances, was owed a commission of 2.5% only emerged, as I understand it, in the application before me. The defendants' original position, as reflected in Mr. Lefevre's letter of August 16, 2012, and as advanced in the response to civil claim filed on behalf of their defendants, is that Coast failed to perform under the "Correct Agreement", and accordingly, was not entitled to any commission. This position was not argued in any meaningful way before me. Nevertheless, it is necessary that I briefly address the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defendants' written submissions argue that "[a]t the material time, Holdings had no evidence that Coast contributed to the sale of the Lands". This is simply not so. Mr. Lefevre was expressly told by Mr. Delen that he had been introduced to the Property by Mr. Handja.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defendants, in their pleadings, and Mr. Lefevre, in his affidavit material, also allege various breaches of the Listing Agreement. It is argued that Mr. Handja did not do some of the things required of him in Appendix A to the Listing Agreement, and/or that he did not, in any event, do very much work to earn a commission.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 consider that this issue is also without any merit. Mr. Lefevre never advised Mr. Handja that he was not performing, or that he was underperforming, until Mr. Handja claimed the Commission. I do not intend to go through the specific allegations of breach that are contained in the pleadings individually. Most are unsupported by the evidence. But a few examples are worth referring to as illustrative of the matters that are raised under this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It is alleged that Coast, in an information package it prepared, "substantially misrepresented the Lands, was inaccurate and/or false and misleading thereby exposing Holdings to significant liability". There are no particulars provided of these "substantial misrepresentations". Holdings never brought any such concern to Coast's attention at any time. The Property was sold to Mr. Delen, or his company, without any apparent concern on their part about any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Holdings originally took the position Mr. Handja did not put a sign on the Property. Before me, it was conceded that he had done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Holdings took the position that Mr. Handja/Coast did not report to it often enough. Again, Mr. Lefevre never raised this issue with Mr. Handja prior to the Property being sold. Furthermore, what exactly Mr. Handja would report on, with any frequency, is not clear to me. The Property had languished on the market for five years. All parties understood the Property would be sold to a unique buyer, and an extended time might pass before that buyer surfaced. Mr. Handja's emails to Mr. Lefevre expressly address this fact. The extended term under the Listing Agreement similarly reflects this reality.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Though the issue of Coast having breached the Listing Agreement was not pressed before me, the defendants did argue, for reasons that will become apparent, that Mr. Lefevre, </w:t>
      </w:r>
      <w:r>
        <w:rPr>
          <w:rFonts w:ascii="arial" w:eastAsia="arial" w:hAnsi="arial" w:cs="arial"/>
          <w:i/>
          <w:color w:val="000000"/>
          <w:sz w:val="20"/>
          <w:lang w:val="en-US" w:eastAsia="en-US" w:bidi="ar-SA"/>
        </w:rPr>
        <w:t>bona fide,</w:t>
      </w:r>
      <w:r>
        <w:rPr>
          <w:rFonts w:ascii="arial" w:eastAsia="arial" w:hAnsi="arial" w:cs="arial"/>
          <w:color w:val="000000"/>
          <w:sz w:val="20"/>
          <w:lang w:val="en-US" w:eastAsia="en-US" w:bidi="ar-SA"/>
        </w:rPr>
        <w:t xml:space="preserve"> believed that he was entitled to withhold Coast's commission on account of its failure to perform. I have addressed this submission later in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Finally, I consider that Holding's submissions, which were directed to Coast having "underperformed", or of not having marketed the Property more aggressively, or of not having gone out to the Property more often, are equally misconceived. Again, the Property sat on the market for approximately five years. Presumably, Mr. Lefevre had approached Mr. Handja because he hoped that Mr. Handja and Coast would do better. It was Mr. Handja, or his website, that secured a prospective purchaser for the Property. Mr. Handja's compensation was based on success, rather than effort. The Listing Agreement provided that the 7% commission payable under that agreement would become due if "a legally enforceable contract of sale between the Buyer and Seller is entered into during the term of this Contract". Such a contract of sale was, in fact, entered into on or about July 27,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091"/>
        <w:gridCol w:w="731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04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u w:val="single"/>
                <w:lang w:val="en-US" w:eastAsia="en-US" w:bidi="ar-SA"/>
              </w:rPr>
              <w:t>Issue 3:</w:t>
            </w:r>
          </w:p>
        </w:tc>
        <w:tc>
          <w:tcPr>
            <w:tcW w:w="716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u w:val="single"/>
                <w:lang w:val="en-US" w:eastAsia="en-US" w:bidi="ar-SA"/>
              </w:rPr>
              <w:t>Recovery of the Commission from Third Parties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Coast advances various causes of action in an effort to recover the Commission from parties other than Holdings. This is because the sales proceeds were paid out by Holdings to various third parties shortly after Mr. Delen, or his company, paid Holdings for the Property. The details of those payments are relevant. Mr. Nairn, the controller for Mr. Lefevre, has deposed:</w:t>
      </w:r>
      <w:r>
        <w:rPr>
          <w:rFonts w:ascii="arial" w:eastAsia="arial" w:hAnsi="arial" w:cs="arial"/>
          <w:sz w:val="20"/>
          <w:lang w:val="en-US" w:eastAsia="en-US" w:bidi="ar-SA"/>
        </w:rPr>
        <w:cr/>
      </w:r>
    </w:p>
    <w:p>
      <w:pPr>
        <w:numPr>
          <w:numId w:val="3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January 1, 2007, Messrs. Lefevre and MacKay Incorporated Holdings;</w:t>
      </w:r>
    </w:p>
    <w:p>
      <w:pPr>
        <w:numPr>
          <w:numId w:val="3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Holdings acquired the Property on January 15, 2007, for $1.3 million;</w:t>
      </w:r>
    </w:p>
    <w:p>
      <w:pPr>
        <w:numPr>
          <w:numId w:val="3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funds for the acquisition of the Property came from a mortgage, in favour of the Bank of Montréal for $650,000, and loans from New Pismo and from Embark Corp.;</w:t>
      </w:r>
    </w:p>
    <w:p>
      <w:pPr>
        <w:numPr>
          <w:numId w:val="4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total, including deposits, the initial loan for the purchase of the Property, and yearly contributions, each of New Pismo and Embark Corp., had contributed approximately $512,109 by the time the Property was sold to Mr. Delen;</w:t>
      </w:r>
    </w:p>
    <w:p>
      <w:pPr>
        <w:numPr>
          <w:numId w:val="41"/>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Of the $1,315,120 in sale proceeds that Holdings received, it paid the Bank of Montréal $531,676.95 for the amounts outstanding on its mortgage. Each of New Pismo and Embark Corp. received $380,517 in repayment for the loans they had made to Holdings, and each suffered a loss of approximately $131,592;</w:t>
      </w:r>
    </w:p>
    <w:p>
      <w:pPr>
        <w:numPr>
          <w:numId w:val="42"/>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August 8, 2012, Holdings also paid $50,000 to various third parties on account of various forms of remaining indebtedness in relation to the Property. These monies were used, inter alia, to pay Re/Max, taxes and management fees; and</w:t>
      </w:r>
    </w:p>
    <w:p>
      <w:pPr>
        <w:numPr>
          <w:numId w:val="43"/>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Messrs. Lefevre and Mackay resigned as directors of Holdings on August 31,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It is to be recalled that, on or about August 13, 2012, Coast contacted Holdings and presented its invoice for $104,860. Coast filed its notice of civil claim on December 19, 2012.</w:t>
      </w:r>
      <w:r>
        <w:rPr>
          <w:rFonts w:ascii="arial" w:eastAsia="arial" w:hAnsi="arial" w:cs="arial"/>
          <w:sz w:val="20"/>
          <w:lang w:val="en-US" w:eastAsia="en-US" w:bidi="ar-SA"/>
        </w:rPr>
        <w:cr/>
      </w:r>
    </w:p>
    <w:p>
      <w:pPr>
        <w:numPr>
          <w:numId w:val="4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Unjust Enrichment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plaintiff's amended notice of civil claim alleges that, by reason of the receipt of portions of the net sales proceeds from the sale of the Property, each of New Pismo and Embark Corp. was "unjustly enriched by 50% of the amount of the commission payable to Coast".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An action in unjust enrichment requires that each of three elements be present:</w:t>
      </w:r>
      <w:r>
        <w:rPr>
          <w:rFonts w:ascii="arial" w:eastAsia="arial" w:hAnsi="arial" w:cs="arial"/>
          <w:sz w:val="20"/>
          <w:lang w:val="en-US" w:eastAsia="en-US" w:bidi="ar-SA"/>
        </w:rPr>
        <w:cr/>
      </w:r>
    </w:p>
    <w:p>
      <w:pPr>
        <w:numPr>
          <w:numId w:val="4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 enrichment of a respondent;</w:t>
      </w:r>
    </w:p>
    <w:p>
      <w:pPr>
        <w:numPr>
          <w:numId w:val="4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corresponding deprivation of the claimant; and</w:t>
      </w:r>
    </w:p>
    <w:p>
      <w:pPr>
        <w:numPr>
          <w:numId w:val="4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absence of a juristic reason for the enrichment.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See </w:t>
      </w:r>
      <w:r>
        <w:rPr>
          <w:rFonts w:ascii="arial" w:eastAsia="arial" w:hAnsi="arial" w:cs="arial"/>
          <w:i/>
          <w:color w:val="000000"/>
          <w:sz w:val="20"/>
          <w:lang w:val="en-US" w:eastAsia="en-US" w:bidi="ar-SA"/>
        </w:rPr>
        <w:t>Pacific National Investments Ltd. v. Victoria (City)</w:t>
      </w:r>
      <w:r>
        <w:rPr>
          <w:rFonts w:ascii="arial" w:eastAsia="arial" w:hAnsi="arial" w:cs="arial"/>
          <w:color w:val="000000"/>
          <w:sz w:val="20"/>
          <w:lang w:val="en-US" w:eastAsia="en-US" w:bidi="ar-SA"/>
        </w:rPr>
        <w:t xml:space="preserve">, </w:t>
      </w:r>
      <w:hyperlink r:id="rId151" w:history="1">
        <w:r>
          <w:rPr>
            <w:rFonts w:ascii="arial" w:eastAsia="arial" w:hAnsi="arial" w:cs="arial"/>
            <w:i/>
            <w:color w:val="0077CC"/>
            <w:sz w:val="20"/>
            <w:u w:val="single"/>
            <w:shd w:val="clear" w:color="auto" w:fill="FFFFFF"/>
            <w:lang w:val="en-US" w:eastAsia="en-US" w:bidi="ar-SA"/>
          </w:rPr>
          <w:t>2004 SCC 75</w:t>
        </w:r>
      </w:hyperlink>
      <w:r>
        <w:rPr>
          <w:rFonts w:ascii="arial" w:eastAsia="arial" w:hAnsi="arial" w:cs="arial"/>
          <w:color w:val="000000"/>
          <w:sz w:val="20"/>
          <w:lang w:val="en-US" w:eastAsia="en-US" w:bidi="ar-SA"/>
        </w:rPr>
        <w:t xml:space="preserve"> at para. 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In the present case, leaving aside any other considerations, Coast is unable to make out the third of these requirements. In </w:t>
      </w:r>
      <w:r>
        <w:rPr>
          <w:rFonts w:ascii="arial" w:eastAsia="arial" w:hAnsi="arial" w:cs="arial"/>
          <w:i/>
          <w:color w:val="000000"/>
          <w:sz w:val="20"/>
          <w:lang w:val="en-US" w:eastAsia="en-US" w:bidi="ar-SA"/>
        </w:rPr>
        <w:t>Pacific National</w:t>
      </w:r>
      <w:r>
        <w:rPr>
          <w:rFonts w:ascii="arial" w:eastAsia="arial" w:hAnsi="arial" w:cs="arial"/>
          <w:color w:val="000000"/>
          <w:sz w:val="20"/>
          <w:lang w:val="en-US" w:eastAsia="en-US" w:bidi="ar-SA"/>
        </w:rPr>
        <w:t>, Binnie J., for the Court, explained the content and meaning of "juristic reason" and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23 The use of the expression "juristic reason" in this connection emphasizes that "unjust" is to be addressed as a matter of law and legal reasoning rather than a free-floating conscience that may risk being overly subjective; see L. Smith, "The Mystery of 'Juristic Reason'" (2000), 12 S.C.L.R. (2d) 211, at p. 219. This third step has to some extent been redefined and reformulated in </w:t>
      </w:r>
      <w:r>
        <w:rPr>
          <w:rFonts w:ascii="arial" w:eastAsia="arial" w:hAnsi="arial" w:cs="arial"/>
          <w:i/>
          <w:color w:val="000000"/>
          <w:sz w:val="20"/>
          <w:lang w:val="en-US" w:eastAsia="en-US" w:bidi="ar-SA"/>
        </w:rPr>
        <w:t xml:space="preserve">Garland, </w:t>
      </w:r>
      <w:hyperlink r:id="rId152" w:history="1">
        <w:r>
          <w:rPr>
            <w:rFonts w:ascii="arial" w:eastAsia="arial" w:hAnsi="arial" w:cs="arial"/>
            <w:i/>
            <w:color w:val="0077CC"/>
            <w:sz w:val="20"/>
            <w:u w:val="single"/>
            <w:shd w:val="clear" w:color="auto" w:fill="FFFFFF"/>
            <w:lang w:val="en-US" w:eastAsia="en-US" w:bidi="ar-SA"/>
          </w:rPr>
          <w:t>[2004] 1 SCR 629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at paras. 44-46. There are now two stages to the juristic reason inquiry. At the first stage, a claimant (here the appellant) must show that there is no juristic reason within the established categories that would deny it recovery. The established categories are the existence of a contract, disposition of law, donative intent, and "other valid common law, equitable or statutory obligatio[n]" (</w:t>
      </w:r>
      <w:r>
        <w:rPr>
          <w:rFonts w:ascii="arial" w:eastAsia="arial" w:hAnsi="arial" w:cs="arial"/>
          <w:i/>
          <w:color w:val="000000"/>
          <w:sz w:val="20"/>
          <w:lang w:val="en-US" w:eastAsia="en-US" w:bidi="ar-SA"/>
        </w:rPr>
        <w:t>Garland</w:t>
      </w:r>
      <w:r>
        <w:rPr>
          <w:rFonts w:ascii="arial" w:eastAsia="arial" w:hAnsi="arial" w:cs="arial"/>
          <w:color w:val="000000"/>
          <w:sz w:val="20"/>
          <w:lang w:val="en-US" w:eastAsia="en-US" w:bidi="ar-SA"/>
        </w:rPr>
        <w:t xml:space="preserve">, at para. 44). The categories may be added to over time (para. 46). On proving that none of these limited categorical reasons exist to deny recovery, the plaintiff (here the appellant) will have made out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of unjust enrichment. It will have demonstrated "a positive reason for reversing the defendant's enrichment" (</w:t>
      </w:r>
      <w:r>
        <w:rPr>
          <w:rFonts w:ascii="arial" w:eastAsia="arial" w:hAnsi="arial" w:cs="arial"/>
          <w:i/>
          <w:color w:val="000000"/>
          <w:sz w:val="20"/>
          <w:lang w:val="en-US" w:eastAsia="en-US" w:bidi="ar-SA"/>
        </w:rPr>
        <w:t>Smith</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at p. 244).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In this case, each of New Pismo and Embark Corp. had contributed funds, by way of a shareholder's loan, to Holdings for the initial purchase of the Property and each continued to make contributions, by way of shareholder's loan, to Holdings over the ensuing years. They were entitled to be repaid the loans they had made. There was a "juristic reason" that grounded their receipt, from Holdings, of a portion of the sales proceeds from the sale of the Property.</w:t>
      </w:r>
      <w:r>
        <w:rPr>
          <w:rFonts w:ascii="arial" w:eastAsia="arial" w:hAnsi="arial" w:cs="arial"/>
          <w:sz w:val="20"/>
          <w:lang w:val="en-US" w:eastAsia="en-US" w:bidi="ar-SA"/>
        </w:rPr>
        <w:cr/>
      </w:r>
    </w:p>
    <w:p>
      <w:pPr>
        <w:numPr>
          <w:numId w:val="4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Quantum Meruit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There was a passing reference to the doctrine of </w:t>
      </w:r>
      <w:r>
        <w:rPr>
          <w:rFonts w:ascii="arial" w:eastAsia="arial" w:hAnsi="arial" w:cs="arial"/>
          <w:i/>
          <w:color w:val="000000"/>
          <w:sz w:val="20"/>
          <w:lang w:val="en-US" w:eastAsia="en-US" w:bidi="ar-SA"/>
        </w:rPr>
        <w:t>quantum meruit</w:t>
      </w:r>
      <w:r>
        <w:rPr>
          <w:rFonts w:ascii="arial" w:eastAsia="arial" w:hAnsi="arial" w:cs="arial"/>
          <w:color w:val="000000"/>
          <w:sz w:val="20"/>
          <w:lang w:val="en-US" w:eastAsia="en-US" w:bidi="ar-SA"/>
        </w:rPr>
        <w:t xml:space="preserve"> during the course of the parties' submissions; though, there is no reference to this cause of action in the plaintiff's pleadings or in its notice of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Bond Development Corp. v. Esquimalt (Township)</w:t>
      </w:r>
      <w:r>
        <w:rPr>
          <w:rFonts w:ascii="arial" w:eastAsia="arial" w:hAnsi="arial" w:cs="arial"/>
          <w:color w:val="000000"/>
          <w:sz w:val="20"/>
          <w:lang w:val="en-US" w:eastAsia="en-US" w:bidi="ar-SA"/>
        </w:rPr>
        <w:t xml:space="preserve">, </w:t>
      </w:r>
      <w:hyperlink r:id="rId153" w:history="1">
        <w:r>
          <w:rPr>
            <w:rFonts w:ascii="arial" w:eastAsia="arial" w:hAnsi="arial" w:cs="arial"/>
            <w:i/>
            <w:color w:val="0077CC"/>
            <w:sz w:val="20"/>
            <w:u w:val="single"/>
            <w:shd w:val="clear" w:color="auto" w:fill="FFFFFF"/>
            <w:lang w:val="en-US" w:eastAsia="en-US" w:bidi="ar-SA"/>
          </w:rPr>
          <w:t>2006 BCCA 248</w:t>
        </w:r>
      </w:hyperlink>
      <w:r>
        <w:rPr>
          <w:rFonts w:ascii="arial" w:eastAsia="arial" w:hAnsi="arial" w:cs="arial"/>
          <w:color w:val="000000"/>
          <w:sz w:val="20"/>
          <w:lang w:val="en-US" w:eastAsia="en-US" w:bidi="ar-SA"/>
        </w:rPr>
        <w:t>, Huddart J.A.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[22] A claim for </w:t>
      </w:r>
      <w:r>
        <w:rPr>
          <w:rFonts w:ascii="arial" w:eastAsia="arial" w:hAnsi="arial" w:cs="arial"/>
          <w:i/>
          <w:color w:val="000000"/>
          <w:sz w:val="20"/>
          <w:lang w:val="en-US" w:eastAsia="en-US" w:bidi="ar-SA"/>
        </w:rPr>
        <w:t>quantum meruit</w:t>
      </w:r>
      <w:r>
        <w:rPr>
          <w:rFonts w:ascii="arial" w:eastAsia="arial" w:hAnsi="arial" w:cs="arial"/>
          <w:color w:val="000000"/>
          <w:sz w:val="20"/>
          <w:lang w:val="en-US" w:eastAsia="en-US" w:bidi="ar-SA"/>
        </w:rPr>
        <w:t xml:space="preserve"> is for reasonable remuneration for the services provided, "the amount it deserves" or "what the job is worth" (</w:t>
      </w:r>
      <w:r>
        <w:rPr>
          <w:rFonts w:ascii="arial" w:eastAsia="arial" w:hAnsi="arial" w:cs="arial"/>
          <w:i/>
          <w:color w:val="000000"/>
          <w:sz w:val="20"/>
          <w:lang w:val="en-US" w:eastAsia="en-US" w:bidi="ar-SA"/>
        </w:rPr>
        <w:t>Ketza Construction Corp. v. Mickey</w:t>
      </w:r>
      <w:r>
        <w:rPr>
          <w:rFonts w:ascii="arial" w:eastAsia="arial" w:hAnsi="arial" w:cs="arial"/>
          <w:color w:val="000000"/>
          <w:sz w:val="20"/>
          <w:lang w:val="en-US" w:eastAsia="en-US" w:bidi="ar-SA"/>
        </w:rPr>
        <w:t xml:space="preserve">, </w:t>
      </w:r>
      <w:hyperlink r:id="rId154" w:history="1">
        <w:r>
          <w:rPr>
            <w:rFonts w:ascii="arial" w:eastAsia="arial" w:hAnsi="arial" w:cs="arial"/>
            <w:i/>
            <w:color w:val="0077CC"/>
            <w:sz w:val="20"/>
            <w:u w:val="single"/>
            <w:shd w:val="clear" w:color="auto" w:fill="FFFFFF"/>
            <w:lang w:val="en-US" w:eastAsia="en-US" w:bidi="ar-SA"/>
          </w:rPr>
          <w:t>2000 YTCA 4</w:t>
        </w:r>
      </w:hyperlink>
      <w:r>
        <w:rPr>
          <w:rFonts w:ascii="arial" w:eastAsia="arial" w:hAnsi="arial" w:cs="arial"/>
          <w:color w:val="000000"/>
          <w:sz w:val="20"/>
          <w:lang w:val="en-US" w:eastAsia="en-US" w:bidi="ar-SA"/>
        </w:rPr>
        <w:t xml:space="preserve"> at para. 13). Thus, the trial judge was correct when he noted at para. 102 that, "[q]uantum meruit involves consideration of the amount and value of the services rendered, not potential profit." The amount to which a plaintiff is entitled on the basis of unjust enrichment is the value of the benefit obtained by the defendant, and not the loss to the plaintiff assessed as if the contract were fulfilled. If Bond is entitled to restitution it is to be for the value of benefit it conferred upon Esquimalt; that is, the market value of the development services it provided. That value must be determined from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Apart from the plaintiff's failure to plead this cause of action, it failed to lead any evidence of what the value of its services was, or what the "amount it deserves" is. There is no basis, then, to properly consider this claim.</w:t>
      </w:r>
      <w:r>
        <w:rPr>
          <w:rFonts w:ascii="arial" w:eastAsia="arial" w:hAnsi="arial" w:cs="arial"/>
          <w:sz w:val="20"/>
          <w:lang w:val="en-US" w:eastAsia="en-US" w:bidi="ar-SA"/>
        </w:rPr>
        <w:cr/>
      </w:r>
    </w:p>
    <w:p>
      <w:pPr>
        <w:numPr>
          <w:numId w:val="4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Inducing Breach of Contract and Intentional Interference with Economic Interests by Unlawful Means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Coast's amended notice of civil claim alleges:</w:t>
      </w:r>
      <w:r>
        <w:rPr>
          <w:rFonts w:ascii="arial" w:eastAsia="arial" w:hAnsi="arial" w:cs="arial"/>
          <w:sz w:val="20"/>
          <w:lang w:val="en-US" w:eastAsia="en-US" w:bidi="ar-SA"/>
        </w:rPr>
        <w:cr/>
      </w:r>
    </w:p>
    <w:p>
      <w:pPr>
        <w:numPr>
          <w:numId w:val="5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Lefevre, with knowledge of the terms of the MLS Contract made between Holdings and Coast, and with the intention to prevent performance of the MLS contract, wrongfully and without the lawful right to do so caused Holdings to breach the MLS Contract with Coast and to refuse to perform the MLS Contract or wrongfully prevented Holdings from performing its obligation to pay Coast under the MLS Contract.</w:t>
      </w:r>
    </w:p>
    <w:p>
      <w:pPr>
        <w:numPr>
          <w:numId w:val="5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Particulars of Lefevre's conduct inducing Holdings to breach the MLS Contract and/or preventing Holdings from performing the MLS Contract include:</w:t>
      </w:r>
    </w:p>
    <w:p>
      <w:pPr>
        <w:numPr>
          <w:numId w:val="5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Lefevre is the principal and guiding mind of Holdings,</w:t>
      </w:r>
    </w:p>
    <w:p>
      <w:pPr>
        <w:numPr>
          <w:numId w:val="5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Lefevre executed the MLS Contract as authorized signatory for Holdings,</w:t>
      </w:r>
    </w:p>
    <w:p>
      <w:pPr>
        <w:numPr>
          <w:numId w:val="5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Lefevre as principal and guiding mind of Holdings caused Holdings to not pay the commission owed to Coast under the MLS Contract.</w:t>
      </w:r>
    </w:p>
    <w:p>
      <w:pPr>
        <w:numPr>
          <w:numId w:val="5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Inducing Breach of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Super-Save Enterprises Ltd. v. Del's Propane Ltd.</w:t>
      </w:r>
      <w:r>
        <w:rPr>
          <w:rFonts w:ascii="arial" w:eastAsia="arial" w:hAnsi="arial" w:cs="arial"/>
          <w:color w:val="000000"/>
          <w:sz w:val="20"/>
          <w:lang w:val="en-US" w:eastAsia="en-US" w:bidi="ar-SA"/>
        </w:rPr>
        <w:t xml:space="preserve">, </w:t>
      </w:r>
      <w:hyperlink r:id="rId155" w:history="1">
        <w:r>
          <w:rPr>
            <w:rFonts w:ascii="arial" w:eastAsia="arial" w:hAnsi="arial" w:cs="arial"/>
            <w:i/>
            <w:color w:val="0077CC"/>
            <w:sz w:val="20"/>
            <w:u w:val="single"/>
            <w:shd w:val="clear" w:color="auto" w:fill="FFFFFF"/>
            <w:lang w:val="en-US" w:eastAsia="en-US" w:bidi="ar-SA"/>
          </w:rPr>
          <w:t>2004 BCCA 183</w:t>
        </w:r>
      </w:hyperlink>
      <w:r>
        <w:rPr>
          <w:rFonts w:ascii="arial" w:eastAsia="arial" w:hAnsi="arial" w:cs="arial"/>
          <w:color w:val="000000"/>
          <w:sz w:val="20"/>
          <w:lang w:val="en-US" w:eastAsia="en-US" w:bidi="ar-SA"/>
        </w:rPr>
        <w:t xml:space="preserve"> at para. 2, Lambert J.A. set out the elements that underlie the tort of inducing breach of contract: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establish liability for the tort of inducing breach of contract the plaintiff must prove all of the following elements:</w:t>
      </w:r>
    </w:p>
    <w:p>
      <w:pPr>
        <w:numPr>
          <w:numId w:val="5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existence of a contract;</w:t>
      </w:r>
    </w:p>
    <w:p>
      <w:pPr>
        <w:numPr>
          <w:numId w:val="5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was or can be assumed to have been aware of the existence of the contract;</w:t>
      </w:r>
    </w:p>
    <w:p>
      <w:pPr>
        <w:numPr>
          <w:numId w:val="5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intended to cause the breach; and</w:t>
      </w:r>
    </w:p>
    <w:p>
      <w:pPr>
        <w:numPr>
          <w:numId w:val="5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caused or induced a breach; and</w:t>
      </w:r>
    </w:p>
    <w:p>
      <w:pPr>
        <w:numPr>
          <w:numId w:val="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suffered damage as a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I need not consider Coast's ability to address these various elements of the tort. This is because Coast is unable to address the limitations or restrictions identified by McCardie J., at 505-506 in the seminal case of </w:t>
      </w:r>
      <w:r>
        <w:rPr>
          <w:rFonts w:ascii="arial" w:eastAsia="arial" w:hAnsi="arial" w:cs="arial"/>
          <w:i/>
          <w:color w:val="000000"/>
          <w:sz w:val="20"/>
          <w:lang w:val="en-US" w:eastAsia="en-US" w:bidi="ar-SA"/>
        </w:rPr>
        <w:t>Said v. Butt</w:t>
      </w:r>
      <w:r>
        <w:rPr>
          <w:rFonts w:ascii="arial" w:eastAsia="arial" w:hAnsi="arial" w:cs="arial"/>
          <w:color w:val="000000"/>
          <w:sz w:val="20"/>
          <w:lang w:val="en-US" w:eastAsia="en-US" w:bidi="ar-SA"/>
        </w:rPr>
        <w:t>, [1920] 3 K.B. 497, where, in connection with a cause of action against a "servant" for inducing a breach of contract on the part of his "master",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servant who causes a breach of his master's contract with a third person seems to stand in a wholly different position. He is not a stranger. </w:t>
      </w:r>
      <w:r>
        <w:rPr>
          <w:rFonts w:ascii="arial" w:eastAsia="arial" w:hAnsi="arial" w:cs="arial"/>
          <w:color w:val="000000"/>
          <w:sz w:val="20"/>
          <w:u w:val="single"/>
          <w:lang w:val="en-US" w:eastAsia="en-US" w:bidi="ar-SA"/>
        </w:rPr>
        <w:t>He is the alter ego of his master. His acts are in law the acts of his employer. In such a case it is the master himself, by his agent, breaking the contract he has made</w:t>
      </w:r>
      <w:r>
        <w:rPr>
          <w:rFonts w:ascii="arial" w:eastAsia="arial" w:hAnsi="arial" w:cs="arial"/>
          <w:color w:val="000000"/>
          <w:sz w:val="20"/>
          <w:lang w:val="en-US" w:eastAsia="en-US" w:bidi="ar-SA"/>
        </w:rPr>
        <w:t xml:space="preserve">, and in my view an action against the agent under the </w:t>
      </w:r>
      <w:r>
        <w:rPr>
          <w:rFonts w:ascii="arial" w:eastAsia="arial" w:hAnsi="arial" w:cs="arial"/>
          <w:i/>
          <w:color w:val="000000"/>
          <w:sz w:val="20"/>
          <w:lang w:val="en-US" w:eastAsia="en-US" w:bidi="ar-SA"/>
        </w:rPr>
        <w:t>Lumley v. Gye</w:t>
      </w:r>
      <w:r>
        <w:rPr>
          <w:rFonts w:ascii="arial" w:eastAsia="arial" w:hAnsi="arial" w:cs="arial"/>
          <w:color w:val="000000"/>
          <w:sz w:val="20"/>
          <w:lang w:val="en-US" w:eastAsia="en-US" w:bidi="ar-SA"/>
        </w:rPr>
        <w:t xml:space="preserve"> principle must therefore fail, just as it would fail if brought against the master himself for wrongfully procuring a breach of his own contract.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hold that if a servant acting bona fide within the scope of his authority procures or causes the breach of a contract between his employer and a third person, </w:t>
      </w:r>
      <w:r>
        <w:rPr>
          <w:rFonts w:ascii="arial" w:eastAsia="arial" w:hAnsi="arial" w:cs="arial"/>
          <w:color w:val="000000"/>
          <w:sz w:val="20"/>
          <w:u w:val="single"/>
          <w:lang w:val="en-US" w:eastAsia="en-US" w:bidi="ar-SA"/>
        </w:rPr>
        <w:t>he does not thereby become liable to an action of tort at the suit of the person whose contract has thereby been broken</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 Footnotes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These comments have long been extended to directors who act on behalf of a company. Thus, in </w:t>
      </w:r>
      <w:r>
        <w:rPr>
          <w:rFonts w:ascii="arial" w:eastAsia="arial" w:hAnsi="arial" w:cs="arial"/>
          <w:i/>
          <w:color w:val="000000"/>
          <w:sz w:val="20"/>
          <w:lang w:val="en-US" w:eastAsia="en-US" w:bidi="ar-SA"/>
        </w:rPr>
        <w:t>Density Group Limited v. HK Hotels LLC</w:t>
      </w:r>
      <w:r>
        <w:rPr>
          <w:rFonts w:ascii="arial" w:eastAsia="arial" w:hAnsi="arial" w:cs="arial"/>
          <w:color w:val="000000"/>
          <w:sz w:val="20"/>
          <w:lang w:val="en-US" w:eastAsia="en-US" w:bidi="ar-SA"/>
        </w:rPr>
        <w:t xml:space="preserve">, </w:t>
      </w:r>
      <w:hyperlink r:id="rId156" w:history="1">
        <w:r>
          <w:rPr>
            <w:rFonts w:ascii="arial" w:eastAsia="arial" w:hAnsi="arial" w:cs="arial"/>
            <w:i/>
            <w:color w:val="0077CC"/>
            <w:sz w:val="20"/>
            <w:u w:val="single"/>
            <w:shd w:val="clear" w:color="auto" w:fill="FFFFFF"/>
            <w:lang w:val="en-US" w:eastAsia="en-US" w:bidi="ar-SA"/>
          </w:rPr>
          <w:t>2014 ONCA 605</w:t>
        </w:r>
      </w:hyperlink>
      <w:r>
        <w:rPr>
          <w:rFonts w:ascii="arial" w:eastAsia="arial" w:hAnsi="arial" w:cs="arial"/>
          <w:color w:val="000000"/>
          <w:sz w:val="20"/>
          <w:lang w:val="en-US" w:eastAsia="en-US" w:bidi="ar-SA"/>
        </w:rPr>
        <w:t>, MacFarland J.A., for the court, succinctly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[188] In assessing the inducing breach of contract claim, the key question is whether the </w:t>
      </w:r>
      <w:r>
        <w:rPr>
          <w:rFonts w:ascii="arial" w:eastAsia="arial" w:hAnsi="arial" w:cs="arial"/>
          <w:i/>
          <w:color w:val="000000"/>
          <w:sz w:val="20"/>
          <w:lang w:val="en-US" w:eastAsia="en-US" w:bidi="ar-SA"/>
        </w:rPr>
        <w:t>Said v. Butt</w:t>
      </w:r>
      <w:r>
        <w:rPr>
          <w:rFonts w:ascii="arial" w:eastAsia="arial" w:hAnsi="arial" w:cs="arial"/>
          <w:color w:val="000000"/>
          <w:sz w:val="20"/>
          <w:lang w:val="en-US" w:eastAsia="en-US" w:bidi="ar-SA"/>
        </w:rPr>
        <w:t xml:space="preserve"> defence is available to Mr. Kallan on the facts of this case. As outlined above, the </w:t>
      </w:r>
      <w:r>
        <w:rPr>
          <w:rFonts w:ascii="arial" w:eastAsia="arial" w:hAnsi="arial" w:cs="arial"/>
          <w:i/>
          <w:color w:val="000000"/>
          <w:sz w:val="20"/>
          <w:lang w:val="en-US" w:eastAsia="en-US" w:bidi="ar-SA"/>
        </w:rPr>
        <w:t>Said v. Butt</w:t>
      </w:r>
      <w:r>
        <w:rPr>
          <w:rFonts w:ascii="arial" w:eastAsia="arial" w:hAnsi="arial" w:cs="arial"/>
          <w:color w:val="000000"/>
          <w:sz w:val="20"/>
          <w:lang w:val="en-US" w:eastAsia="en-US" w:bidi="ar-SA"/>
        </w:rPr>
        <w:t xml:space="preserve"> principle affords a defence to an officer, director or employee who causes his or her company to breach an agreement, provided the individual acts </w:t>
      </w:r>
      <w:r>
        <w:rPr>
          <w:rFonts w:ascii="arial" w:eastAsia="arial" w:hAnsi="arial" w:cs="arial"/>
          <w:i/>
          <w:color w:val="000000"/>
          <w:sz w:val="20"/>
          <w:lang w:val="en-US" w:eastAsia="en-US" w:bidi="ar-SA"/>
        </w:rPr>
        <w:t>bona fide</w:t>
      </w:r>
      <w:r>
        <w:rPr>
          <w:rFonts w:ascii="arial" w:eastAsia="arial" w:hAnsi="arial" w:cs="arial"/>
          <w:color w:val="000000"/>
          <w:sz w:val="20"/>
          <w:lang w:val="en-US" w:eastAsia="en-US" w:bidi="ar-SA"/>
        </w:rPr>
        <w:t xml:space="preserve"> within his or her authority. It is not available as a defence to an individual who engages in dishonest conduct in inducing breach of contact.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The application and ambit of the </w:t>
      </w:r>
      <w:r>
        <w:rPr>
          <w:rFonts w:ascii="arial" w:eastAsia="arial" w:hAnsi="arial" w:cs="arial"/>
          <w:i/>
          <w:color w:val="000000"/>
          <w:sz w:val="20"/>
          <w:lang w:val="en-US" w:eastAsia="en-US" w:bidi="ar-SA"/>
        </w:rPr>
        <w:t>Said v. Butt</w:t>
      </w:r>
      <w:r>
        <w:rPr>
          <w:rFonts w:ascii="arial" w:eastAsia="arial" w:hAnsi="arial" w:cs="arial"/>
          <w:color w:val="000000"/>
          <w:sz w:val="20"/>
          <w:lang w:val="en-US" w:eastAsia="en-US" w:bidi="ar-SA"/>
        </w:rPr>
        <w:t xml:space="preserve"> principle was recently addressed, at some length, in </w:t>
      </w:r>
      <w:r>
        <w:rPr>
          <w:rFonts w:ascii="arial" w:eastAsia="arial" w:hAnsi="arial" w:cs="arial"/>
          <w:i/>
          <w:color w:val="000000"/>
          <w:sz w:val="20"/>
          <w:lang w:val="en-US" w:eastAsia="en-US" w:bidi="ar-SA"/>
        </w:rPr>
        <w:t>Merit Consultants International Ltd. v. Chandler</w:t>
      </w:r>
      <w:r>
        <w:rPr>
          <w:rFonts w:ascii="arial" w:eastAsia="arial" w:hAnsi="arial" w:cs="arial"/>
          <w:color w:val="000000"/>
          <w:sz w:val="20"/>
          <w:lang w:val="en-US" w:eastAsia="en-US" w:bidi="ar-SA"/>
        </w:rPr>
        <w:t xml:space="preserve">, </w:t>
      </w:r>
      <w:hyperlink r:id="rId157" w:history="1">
        <w:r>
          <w:rPr>
            <w:rFonts w:ascii="arial" w:eastAsia="arial" w:hAnsi="arial" w:cs="arial"/>
            <w:i/>
            <w:color w:val="0077CC"/>
            <w:sz w:val="20"/>
            <w:u w:val="single"/>
            <w:shd w:val="clear" w:color="auto" w:fill="FFFFFF"/>
            <w:lang w:val="en-US" w:eastAsia="en-US" w:bidi="ar-SA"/>
          </w:rPr>
          <w:t>2014 BCCA 121</w:t>
        </w:r>
      </w:hyperlink>
      <w:r>
        <w:rPr>
          <w:rFonts w:ascii="arial" w:eastAsia="arial" w:hAnsi="arial" w:cs="arial"/>
          <w:color w:val="000000"/>
          <w:sz w:val="20"/>
          <w:lang w:val="en-US" w:eastAsia="en-US" w:bidi="ar-SA"/>
        </w:rPr>
        <w:t xml:space="preserve">. The following portions of </w:t>
      </w:r>
      <w:r>
        <w:rPr>
          <w:rFonts w:ascii="arial" w:eastAsia="arial" w:hAnsi="arial" w:cs="arial"/>
          <w:i/>
          <w:color w:val="000000"/>
          <w:sz w:val="20"/>
          <w:lang w:val="en-US" w:eastAsia="en-US" w:bidi="ar-SA"/>
        </w:rPr>
        <w:t>Merit</w:t>
      </w:r>
      <w:r>
        <w:rPr>
          <w:rFonts w:ascii="arial" w:eastAsia="arial" w:hAnsi="arial" w:cs="arial"/>
          <w:color w:val="000000"/>
          <w:sz w:val="20"/>
          <w:lang w:val="en-US" w:eastAsia="en-US" w:bidi="ar-SA"/>
        </w:rPr>
        <w:t xml:space="preserve"> are both relevant and dispositive of this particular cause of action. Referring to </w:t>
      </w:r>
      <w:r>
        <w:rPr>
          <w:rFonts w:ascii="arial" w:eastAsia="arial" w:hAnsi="arial" w:cs="arial"/>
          <w:i/>
          <w:color w:val="000000"/>
          <w:sz w:val="20"/>
          <w:lang w:val="en-US" w:eastAsia="en-US" w:bidi="ar-SA"/>
        </w:rPr>
        <w:t>ScotiaMcleod v. Peoples Jewellers</w:t>
      </w:r>
      <w:r>
        <w:rPr>
          <w:rFonts w:ascii="arial" w:eastAsia="arial" w:hAnsi="arial" w:cs="arial"/>
          <w:color w:val="000000"/>
          <w:sz w:val="20"/>
          <w:lang w:val="en-US" w:eastAsia="en-US" w:bidi="ar-SA"/>
        </w:rPr>
        <w:t xml:space="preserve"> </w:t>
      </w:r>
      <w:hyperlink r:id="rId158" w:history="1">
        <w:r>
          <w:rPr>
            <w:rFonts w:ascii="arial" w:eastAsia="arial" w:hAnsi="arial" w:cs="arial"/>
            <w:i/>
            <w:color w:val="0077CC"/>
            <w:sz w:val="20"/>
            <w:u w:val="single"/>
            <w:shd w:val="clear" w:color="auto" w:fill="FFFFFF"/>
            <w:lang w:val="en-US" w:eastAsia="en-US" w:bidi="ar-SA"/>
          </w:rPr>
          <w:t>(1995), 129 D.L.R. (4th) 711</w:t>
        </w:r>
      </w:hyperlink>
      <w:r>
        <w:rPr>
          <w:rFonts w:ascii="arial" w:eastAsia="arial" w:hAnsi="arial" w:cs="arial"/>
          <w:color w:val="000000"/>
          <w:sz w:val="20"/>
          <w:lang w:val="en-US" w:eastAsia="en-US" w:bidi="ar-SA"/>
        </w:rPr>
        <w:t xml:space="preserve"> (Ont. C.A.), Newbury J.A.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[17] Finlayson J.A. for the Court of Appeal noted that the cause of action pleaded had been "predicated on personal liability arising </w:t>
      </w:r>
      <w:r>
        <w:rPr>
          <w:rFonts w:ascii="arial" w:eastAsia="arial" w:hAnsi="arial" w:cs="arial"/>
          <w:i/>
          <w:color w:val="000000"/>
          <w:sz w:val="20"/>
          <w:lang w:val="en-US" w:eastAsia="en-US" w:bidi="ar-SA"/>
        </w:rPr>
        <w:t>out of the actions of Peoples</w:t>
      </w:r>
      <w:r>
        <w:rPr>
          <w:rFonts w:ascii="arial" w:eastAsia="arial" w:hAnsi="arial" w:cs="arial"/>
          <w:color w:val="000000"/>
          <w:sz w:val="20"/>
          <w:lang w:val="en-US" w:eastAsia="en-US" w:bidi="ar-SA"/>
        </w:rPr>
        <w:t>" (my emphasis). He observed: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decided cases in which employees and officers of companies have been found personally liable for actions ostensibly carried out under a corporate name are fact-specific. </w:t>
      </w:r>
      <w:r>
        <w:rPr>
          <w:rFonts w:ascii="arial" w:eastAsia="arial" w:hAnsi="arial" w:cs="arial"/>
          <w:i/>
          <w:color w:val="000000"/>
          <w:sz w:val="20"/>
          <w:lang w:val="en-US" w:eastAsia="en-US" w:bidi="ar-SA"/>
        </w:rPr>
        <w:t>In the absence of findings of fraud, deceit, dishonesty or want of authority on the part of employees or officers, they are also rare</w:t>
      </w:r>
      <w:r>
        <w:rPr>
          <w:rFonts w:ascii="arial" w:eastAsia="arial" w:hAnsi="arial" w:cs="arial"/>
          <w:color w:val="000000"/>
          <w:sz w:val="20"/>
          <w:lang w:val="en-US" w:eastAsia="en-US" w:bidi="ar-SA"/>
        </w:rPr>
        <w:t xml:space="preserve">. Those cases in which the corporate veil has been pierced usually involve transactions where the use of the corporate structure was a sham from the outset or was an afterthought to a deal which had gone sour. ... In every case, however, </w:t>
      </w:r>
      <w:r>
        <w:rPr>
          <w:rFonts w:ascii="arial" w:eastAsia="arial" w:hAnsi="arial" w:cs="arial"/>
          <w:i/>
          <w:color w:val="000000"/>
          <w:sz w:val="20"/>
          <w:lang w:val="en-US" w:eastAsia="en-US" w:bidi="ar-SA"/>
        </w:rPr>
        <w:t>the facts giving rise to personal liability were specifically pleaded. Absent allegations which fit within the categories described above, officers or employees of limited companies are protected from personal liability unless it can be shown that their actions are themselves tortious or exhibit a separate identity or interest from that of the company so as to make the act or conduct complained of their own</w:t>
      </w:r>
      <w:r>
        <w:rPr>
          <w:rFonts w:ascii="arial" w:eastAsia="arial" w:hAnsi="arial" w:cs="arial"/>
          <w:color w:val="000000"/>
          <w:sz w:val="20"/>
          <w:lang w:val="en-US" w:eastAsia="en-US" w:bidi="ar-SA"/>
        </w:rPr>
        <w:t>. [At 720; emphasis added.]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further: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 hold the directors of Peoples personally liable, there must be some activity on their part that </w:t>
      </w:r>
      <w:r>
        <w:rPr>
          <w:rFonts w:ascii="arial" w:eastAsia="arial" w:hAnsi="arial" w:cs="arial"/>
          <w:i/>
          <w:color w:val="000000"/>
          <w:sz w:val="20"/>
          <w:lang w:val="en-US" w:eastAsia="en-US" w:bidi="ar-SA"/>
        </w:rPr>
        <w:t>takes them out of the role of directing minds</w:t>
      </w:r>
      <w:r>
        <w:rPr>
          <w:rFonts w:ascii="arial" w:eastAsia="arial" w:hAnsi="arial" w:cs="arial"/>
          <w:color w:val="000000"/>
          <w:sz w:val="20"/>
          <w:lang w:val="en-US" w:eastAsia="en-US" w:bidi="ar-SA"/>
        </w:rPr>
        <w:t xml:space="preserve"> of the corporation. [At 721; emphasis added.]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result, the Court struck out the action as against certain officers of Peoples, but allowed it to proceed as against two directors and senior executives who had been "involved in making certain representations personally which were relied upon by the appellants". (At 724-5.)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references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Newbury J.A. further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[21] In </w:t>
      </w:r>
      <w:r>
        <w:rPr>
          <w:rFonts w:ascii="arial" w:eastAsia="arial" w:hAnsi="arial" w:cs="arial"/>
          <w:i/>
          <w:color w:val="000000"/>
          <w:sz w:val="20"/>
          <w:lang w:val="en-US" w:eastAsia="en-US" w:bidi="ar-SA"/>
        </w:rPr>
        <w:t xml:space="preserve">XY v. Zhu, </w:t>
      </w:r>
      <w:hyperlink r:id="rId159" w:history="1">
        <w:r>
          <w:rPr>
            <w:rFonts w:ascii="arial" w:eastAsia="arial" w:hAnsi="arial" w:cs="arial"/>
            <w:i/>
            <w:color w:val="0077CC"/>
            <w:sz w:val="20"/>
            <w:u w:val="single"/>
            <w:shd w:val="clear" w:color="auto" w:fill="FFFFFF"/>
            <w:lang w:val="en-US" w:eastAsia="en-US" w:bidi="ar-SA"/>
          </w:rPr>
          <w:t>[2013] B.C.J. No. 1624</w:t>
        </w:r>
      </w:hyperlink>
      <w:r>
        <w:rPr>
          <w:rFonts w:ascii="arial" w:eastAsia="arial" w:hAnsi="arial" w:cs="arial"/>
          <w:color w:val="000000"/>
          <w:sz w:val="20"/>
          <w:lang w:val="en-US" w:eastAsia="en-US" w:bidi="ar-SA"/>
        </w:rPr>
        <w:t xml:space="preserve">, we also referred to this court's decisions in </w:t>
      </w:r>
      <w:r>
        <w:rPr>
          <w:rFonts w:ascii="arial" w:eastAsia="arial" w:hAnsi="arial" w:cs="arial"/>
          <w:i/>
          <w:color w:val="000000"/>
          <w:sz w:val="20"/>
          <w:lang w:val="en-US" w:eastAsia="en-US" w:bidi="ar-SA"/>
        </w:rPr>
        <w:t>Hildebrand v. Fox</w:t>
      </w:r>
      <w:r>
        <w:rPr>
          <w:rFonts w:ascii="arial" w:eastAsia="arial" w:hAnsi="arial" w:cs="arial"/>
          <w:color w:val="000000"/>
          <w:sz w:val="20"/>
          <w:lang w:val="en-US" w:eastAsia="en-US" w:bidi="ar-SA"/>
        </w:rPr>
        <w:t xml:space="preserve">[,] </w:t>
      </w:r>
      <w:hyperlink r:id="rId160" w:history="1">
        <w:r>
          <w:rPr>
            <w:rFonts w:ascii="arial" w:eastAsia="arial" w:hAnsi="arial" w:cs="arial"/>
            <w:i/>
            <w:color w:val="0077CC"/>
            <w:sz w:val="20"/>
            <w:u w:val="single"/>
            <w:shd w:val="clear" w:color="auto" w:fill="FFFFFF"/>
            <w:lang w:val="en-US" w:eastAsia="en-US" w:bidi="ar-SA"/>
          </w:rPr>
          <w:t>2008 BCCA 434</w:t>
        </w:r>
      </w:hyperlink>
      <w:r>
        <w:rPr>
          <w:rFonts w:ascii="arial" w:eastAsia="arial" w:hAnsi="arial" w:cs="arial"/>
          <w:color w:val="000000"/>
          <w:sz w:val="20"/>
          <w:lang w:val="en-US" w:eastAsia="en-US" w:bidi="ar-SA"/>
        </w:rPr>
        <w:t xml:space="preserve">, which involved a claim against a school board employee, and </w:t>
      </w:r>
      <w:r>
        <w:rPr>
          <w:rFonts w:ascii="arial" w:eastAsia="arial" w:hAnsi="arial" w:cs="arial"/>
          <w:i/>
          <w:color w:val="000000"/>
          <w:sz w:val="20"/>
          <w:lang w:val="en-US" w:eastAsia="en-US" w:bidi="ar-SA"/>
        </w:rPr>
        <w:t>The Owners, Strata Plan No. VIS3578 v. John A. Neilson Architects Inc.</w:t>
      </w:r>
      <w:r>
        <w:rPr>
          <w:rFonts w:ascii="arial" w:eastAsia="arial" w:hAnsi="arial" w:cs="arial"/>
          <w:color w:val="000000"/>
          <w:sz w:val="20"/>
          <w:lang w:val="en-US" w:eastAsia="en-US" w:bidi="ar-SA"/>
        </w:rPr>
        <w:t xml:space="preserve">[,] </w:t>
      </w:r>
      <w:hyperlink r:id="rId161" w:history="1">
        <w:r>
          <w:rPr>
            <w:rFonts w:ascii="arial" w:eastAsia="arial" w:hAnsi="arial" w:cs="arial"/>
            <w:i/>
            <w:color w:val="0077CC"/>
            <w:sz w:val="20"/>
            <w:u w:val="single"/>
            <w:shd w:val="clear" w:color="auto" w:fill="FFFFFF"/>
            <w:lang w:val="en-US" w:eastAsia="en-US" w:bidi="ar-SA"/>
          </w:rPr>
          <w:t>2010 BCCA 329</w:t>
        </w:r>
      </w:hyperlink>
      <w:r>
        <w:rPr>
          <w:rFonts w:ascii="arial" w:eastAsia="arial" w:hAnsi="arial" w:cs="arial"/>
          <w:color w:val="000000"/>
          <w:sz w:val="20"/>
          <w:lang w:val="en-US" w:eastAsia="en-US" w:bidi="ar-SA"/>
        </w:rPr>
        <w:t>. In the latter case, Neilson J.A. stated for the Court: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fact that a director, officer or employee was acting within the course of employment and the corporation is vicariously liable for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does not preclude a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employee personally. However, in my view, the </w:t>
      </w:r>
      <w:r>
        <w:rPr>
          <w:rFonts w:ascii="arial" w:eastAsia="arial" w:hAnsi="arial" w:cs="arial"/>
          <w:i/>
          <w:color w:val="000000"/>
          <w:sz w:val="20"/>
          <w:lang w:val="en-US" w:eastAsia="en-US" w:bidi="ar-SA"/>
        </w:rPr>
        <w:t xml:space="preserve">London Drugs, </w:t>
      </w:r>
      <w:r>
        <w:rPr>
          <w:rFonts w:ascii="arial" w:eastAsia="arial" w:hAnsi="arial" w:cs="arial"/>
          <w:i/>
          <w:color w:val="000000"/>
          <w:sz w:val="20"/>
          <w:lang w:val="en-US" w:eastAsia="en-US" w:bidi="ar-SA"/>
        </w:rPr>
        <w:t>[1992] 3 SCR 299</w:t>
      </w:r>
      <w:r>
        <w:rPr>
          <w:rFonts w:ascii="arial" w:eastAsia="arial" w:hAnsi="arial" w:cs="arial"/>
          <w:color w:val="000000"/>
          <w:sz w:val="20"/>
          <w:lang w:val="en-US" w:eastAsia="en-US" w:bidi="ar-SA"/>
        </w:rPr>
        <w:t xml:space="preserve"> principle requires that claim against </w:t>
      </w:r>
      <w:r>
        <w:rPr>
          <w:rFonts w:ascii="arial" w:eastAsia="arial" w:hAnsi="arial" w:cs="arial"/>
          <w:i/>
          <w:color w:val="000000"/>
          <w:sz w:val="20"/>
          <w:lang w:val="en-US" w:eastAsia="en-US" w:bidi="ar-SA"/>
        </w:rPr>
        <w:t>the individual must be based on the breach of a duty of care that would support an action against the individual personally. The material facts that support that personal claim in tort must be specifically pleaded to establish a possible cause of action</w:t>
      </w:r>
      <w:r>
        <w:rPr>
          <w:rFonts w:ascii="arial" w:eastAsia="arial" w:hAnsi="arial" w:cs="arial"/>
          <w:color w:val="000000"/>
          <w:sz w:val="20"/>
          <w:lang w:val="en-US" w:eastAsia="en-US" w:bidi="ar-SA"/>
        </w:rPr>
        <w:t xml:space="preserve"> under R. 15(5)(a)(iii). [At para. 66.]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[22] In </w:t>
      </w:r>
      <w:r>
        <w:rPr>
          <w:rFonts w:ascii="arial" w:eastAsia="arial" w:hAnsi="arial" w:cs="arial"/>
          <w:i/>
          <w:color w:val="000000"/>
          <w:sz w:val="20"/>
          <w:lang w:val="en-US" w:eastAsia="en-US" w:bidi="ar-SA"/>
        </w:rPr>
        <w:t>XY v. Zhu</w:t>
      </w:r>
      <w:r>
        <w:rPr>
          <w:rFonts w:ascii="arial" w:eastAsia="arial" w:hAnsi="arial" w:cs="arial"/>
          <w:color w:val="000000"/>
          <w:sz w:val="20"/>
          <w:lang w:val="en-US" w:eastAsia="en-US" w:bidi="ar-SA"/>
        </w:rPr>
        <w:t xml:space="preserve"> itself, we concluded that: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it appears to be the law in Canada that as long as tortious conduct on the part of an employee or agent of a corporation (or any other employer) is </w:t>
      </w:r>
      <w:r>
        <w:rPr>
          <w:rFonts w:ascii="arial" w:eastAsia="arial" w:hAnsi="arial" w:cs="arial"/>
          <w:i/>
          <w:color w:val="000000"/>
          <w:sz w:val="20"/>
          <w:lang w:val="en-US" w:eastAsia="en-US" w:bidi="ar-SA"/>
        </w:rPr>
        <w:t>properly pleaded and proven as an "independent" tort</w:t>
      </w:r>
      <w:r>
        <w:rPr>
          <w:rFonts w:ascii="arial" w:eastAsia="arial" w:hAnsi="arial" w:cs="arial"/>
          <w:color w:val="000000"/>
          <w:sz w:val="20"/>
          <w:lang w:val="en-US" w:eastAsia="en-US" w:bidi="ar-SA"/>
        </w:rPr>
        <w:t xml:space="preserve"> by the employee or agent, the wrongdoer can be held personally liable notwithstanding that he or she may have been acting in the best interests of (and at the behest of) the employer or principal. I see no reason in principle or policy why such liability should be restricted to cases involving physical damage (as </w:t>
      </w:r>
      <w:r>
        <w:rPr>
          <w:rFonts w:ascii="arial" w:eastAsia="arial" w:hAnsi="arial" w:cs="arial"/>
          <w:i/>
          <w:color w:val="000000"/>
          <w:sz w:val="20"/>
          <w:lang w:val="en-US" w:eastAsia="en-US" w:bidi="ar-SA"/>
        </w:rPr>
        <w:t>Said v. Butt</w:t>
      </w:r>
      <w:r>
        <w:rPr>
          <w:rFonts w:ascii="arial" w:eastAsia="arial" w:hAnsi="arial" w:cs="arial"/>
          <w:color w:val="000000"/>
          <w:sz w:val="20"/>
          <w:lang w:val="en-US" w:eastAsia="en-US" w:bidi="ar-SA"/>
        </w:rPr>
        <w:t xml:space="preserve"> may have suggested in 1920), or to claims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 referred to in </w:t>
      </w:r>
      <w:r>
        <w:rPr>
          <w:rFonts w:ascii="arial" w:eastAsia="arial" w:hAnsi="arial" w:cs="arial"/>
          <w:i/>
          <w:color w:val="000000"/>
          <w:sz w:val="20"/>
          <w:lang w:val="en-US" w:eastAsia="en-US" w:bidi="ar-SA"/>
        </w:rPr>
        <w:t>London Drugs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Hildebrand</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Neilson</w:t>
      </w:r>
      <w:r>
        <w:rPr>
          <w:rFonts w:ascii="arial" w:eastAsia="arial" w:hAnsi="arial" w:cs="arial"/>
          <w:color w:val="000000"/>
          <w:sz w:val="20"/>
          <w:lang w:val="en-US" w:eastAsia="en-US" w:bidi="ar-SA"/>
        </w:rPr>
        <w:t xml:space="preserve">.) Certainly the Ontario Court of Appeal did not so restrict it in </w:t>
      </w:r>
      <w:r>
        <w:rPr>
          <w:rFonts w:ascii="arial" w:eastAsia="arial" w:hAnsi="arial" w:cs="arial"/>
          <w:i/>
          <w:color w:val="000000"/>
          <w:sz w:val="20"/>
          <w:lang w:val="en-US" w:eastAsia="en-US" w:bidi="ar-SA"/>
        </w:rPr>
        <w:t>ADGA</w:t>
      </w:r>
      <w:r>
        <w:rPr>
          <w:rFonts w:ascii="arial" w:eastAsia="arial" w:hAnsi="arial" w:cs="arial"/>
          <w:color w:val="000000"/>
          <w:sz w:val="20"/>
          <w:lang w:val="en-US" w:eastAsia="en-US" w:bidi="ar-SA"/>
        </w:rPr>
        <w:t>. ... [At para. 73.]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[23] Without attempting to reconcile all the case law, it seems to me that the case at bar lies at the far 'no liability' end of the spectrum of directors' personal liability. No "independent" or "personal" tort was pleaded and no allegation was made that the Directors had acted other than </w:t>
      </w:r>
      <w:r>
        <w:rPr>
          <w:rFonts w:ascii="arial" w:eastAsia="arial" w:hAnsi="arial" w:cs="arial"/>
          <w:i/>
          <w:color w:val="000000"/>
          <w:sz w:val="20"/>
          <w:lang w:val="en-US" w:eastAsia="en-US" w:bidi="ar-SA"/>
        </w:rPr>
        <w:t>bona fide</w:t>
      </w:r>
      <w:r>
        <w:rPr>
          <w:rFonts w:ascii="arial" w:eastAsia="arial" w:hAnsi="arial" w:cs="arial"/>
          <w:color w:val="000000"/>
          <w:sz w:val="20"/>
          <w:lang w:val="en-US" w:eastAsia="en-US" w:bidi="ar-SA"/>
        </w:rPr>
        <w:t xml:space="preserve"> in the best interests of Redfern and Redcorp. More importantly, it cannot be said on the evidence before the Court that the conduct of the Directors exhibited a "separate identity or interest" from that of the companies; that there was some activity that took the Directors "out of the role of directing minds of the corporation", as referred to in </w:t>
      </w:r>
      <w:r>
        <w:rPr>
          <w:rFonts w:ascii="arial" w:eastAsia="arial" w:hAnsi="arial" w:cs="arial"/>
          <w:i/>
          <w:color w:val="000000"/>
          <w:sz w:val="20"/>
          <w:lang w:val="en-US" w:eastAsia="en-US" w:bidi="ar-SA"/>
        </w:rPr>
        <w:t>ScotiaMcLeod</w:t>
      </w:r>
      <w:r>
        <w:rPr>
          <w:rFonts w:ascii="arial" w:eastAsia="arial" w:hAnsi="arial" w:cs="arial"/>
          <w:color w:val="000000"/>
          <w:sz w:val="20"/>
          <w:lang w:val="en-US" w:eastAsia="en-US" w:bidi="ar-SA"/>
        </w:rPr>
        <w:t xml:space="preserve"> at 720; nor that the conduct complained of consisted of physical injury, property damage or nuisance as referred to in </w:t>
      </w:r>
      <w:r>
        <w:rPr>
          <w:rFonts w:ascii="arial" w:eastAsia="arial" w:hAnsi="arial" w:cs="arial"/>
          <w:i/>
          <w:color w:val="000000"/>
          <w:sz w:val="20"/>
          <w:lang w:val="en-US" w:eastAsia="en-US" w:bidi="ar-SA"/>
        </w:rPr>
        <w:t>ADGA</w:t>
      </w:r>
      <w:r>
        <w:rPr>
          <w:rFonts w:ascii="arial" w:eastAsia="arial" w:hAnsi="arial" w:cs="arial"/>
          <w:color w:val="000000"/>
          <w:sz w:val="20"/>
          <w:lang w:val="en-US" w:eastAsia="en-US" w:bidi="ar-SA"/>
        </w:rPr>
        <w:t xml:space="preserve"> at para. 26, or fraud or dishonesty, as referred to by Professors P. Burns and J. Blom in </w:t>
      </w:r>
      <w:r>
        <w:rPr>
          <w:rFonts w:ascii="arial" w:eastAsia="arial" w:hAnsi="arial" w:cs="arial"/>
          <w:i/>
          <w:color w:val="000000"/>
          <w:sz w:val="20"/>
          <w:lang w:val="en-US" w:eastAsia="en-US" w:bidi="ar-SA"/>
        </w:rPr>
        <w:t>Economic Interests in Canadian Tort Law</w:t>
      </w:r>
      <w:r>
        <w:rPr>
          <w:rFonts w:ascii="arial" w:eastAsia="arial" w:hAnsi="arial" w:cs="arial"/>
          <w:color w:val="000000"/>
          <w:sz w:val="20"/>
          <w:lang w:val="en-US" w:eastAsia="en-US" w:bidi="ar-SA"/>
        </w:rPr>
        <w:t xml:space="preserve"> (2009) at 76. (See also </w:t>
      </w:r>
      <w:r>
        <w:rPr>
          <w:rFonts w:ascii="arial" w:eastAsia="arial" w:hAnsi="arial" w:cs="arial"/>
          <w:i/>
          <w:color w:val="000000"/>
          <w:sz w:val="20"/>
          <w:lang w:val="en-US" w:eastAsia="en-US" w:bidi="ar-SA"/>
        </w:rPr>
        <w:t>ScotiaMcLeod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Kepic v. Tecumseh Road Builders</w:t>
      </w:r>
      <w:r>
        <w:rPr>
          <w:rFonts w:ascii="arial" w:eastAsia="arial" w:hAnsi="arial" w:cs="arial"/>
          <w:color w:val="000000"/>
          <w:sz w:val="20"/>
          <w:lang w:val="en-US" w:eastAsia="en-US" w:bidi="ar-SA"/>
        </w:rPr>
        <w:t xml:space="preserve"> </w:t>
      </w:r>
      <w:hyperlink r:id="rId162" w:history="1">
        <w:r>
          <w:rPr>
            <w:rFonts w:ascii="arial" w:eastAsia="arial" w:hAnsi="arial" w:cs="arial"/>
            <w:i/>
            <w:color w:val="0077CC"/>
            <w:sz w:val="20"/>
            <w:u w:val="single"/>
            <w:shd w:val="clear" w:color="auto" w:fill="FFFFFF"/>
            <w:lang w:val="en-US" w:eastAsia="en-US" w:bidi="ar-SA"/>
          </w:rPr>
          <w:t>(1987) 18 C.C.E.L. 218</w:t>
        </w:r>
      </w:hyperlink>
      <w:r>
        <w:rPr>
          <w:rFonts w:ascii="arial" w:eastAsia="arial" w:hAnsi="arial" w:cs="arial"/>
          <w:color w:val="000000"/>
          <w:sz w:val="20"/>
          <w:lang w:val="en-US" w:eastAsia="en-US" w:bidi="ar-SA"/>
        </w:rPr>
        <w:t xml:space="preserve"> (Ont.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Density Group,</w:t>
      </w:r>
      <w:r>
        <w:rPr>
          <w:rFonts w:ascii="arial" w:eastAsia="arial" w:hAnsi="arial" w:cs="arial"/>
          <w:color w:val="000000"/>
          <w:sz w:val="20"/>
          <w:lang w:val="en-US" w:eastAsia="en-US" w:bidi="ar-SA"/>
        </w:rPr>
        <w:t xml:space="preserve"> at para. 189, MacFarland J.A. referred to, and upheld the trial judge's, </w:t>
      </w:r>
      <w:hyperlink r:id="rId163" w:history="1">
        <w:r>
          <w:rPr>
            <w:rFonts w:ascii="arial" w:eastAsia="arial" w:hAnsi="arial" w:cs="arial"/>
            <w:i/>
            <w:color w:val="0077CC"/>
            <w:sz w:val="20"/>
            <w:u w:val="single"/>
            <w:shd w:val="clear" w:color="auto" w:fill="FFFFFF"/>
            <w:lang w:val="en-US" w:eastAsia="en-US" w:bidi="ar-SA"/>
          </w:rPr>
          <w:t>[2012] O.J. No. 3378</w:t>
        </w:r>
      </w:hyperlink>
      <w:r>
        <w:rPr>
          <w:rFonts w:ascii="arial" w:eastAsia="arial" w:hAnsi="arial" w:cs="arial"/>
          <w:color w:val="000000"/>
          <w:sz w:val="20"/>
          <w:lang w:val="en-US" w:eastAsia="en-US" w:bidi="ar-SA"/>
        </w:rPr>
        <w:t xml:space="preserve">, finding, that there had been "no independent [tortious] or unlawful conduct [by the director] and he [was] entitled to rely upon the </w:t>
      </w:r>
      <w:r>
        <w:rPr>
          <w:rFonts w:ascii="arial" w:eastAsia="arial" w:hAnsi="arial" w:cs="arial"/>
          <w:i/>
          <w:color w:val="000000"/>
          <w:sz w:val="20"/>
          <w:lang w:val="en-US" w:eastAsia="en-US" w:bidi="ar-SA"/>
        </w:rPr>
        <w:t>Said v. Butt</w:t>
      </w:r>
      <w:r>
        <w:rPr>
          <w:rFonts w:ascii="arial" w:eastAsia="arial" w:hAnsi="arial" w:cs="arial"/>
          <w:color w:val="000000"/>
          <w:sz w:val="20"/>
          <w:lang w:val="en-US" w:eastAsia="en-US" w:bidi="ar-SA"/>
        </w:rPr>
        <w:t xml:space="preserve"> principle".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In this case, neither Coast's amended notice of civil claim, nor its' application materials, identify any independent wrong or unlawful conduct on the part of Mr. Lefevre that would take his conduct outside of the </w:t>
      </w:r>
      <w:r>
        <w:rPr>
          <w:rFonts w:ascii="arial" w:eastAsia="arial" w:hAnsi="arial" w:cs="arial"/>
          <w:i/>
          <w:color w:val="000000"/>
          <w:sz w:val="20"/>
          <w:lang w:val="en-US" w:eastAsia="en-US" w:bidi="ar-SA"/>
        </w:rPr>
        <w:t>Said v. Butt</w:t>
      </w:r>
      <w:r>
        <w:rPr>
          <w:rFonts w:ascii="arial" w:eastAsia="arial" w:hAnsi="arial" w:cs="arial"/>
          <w:color w:val="000000"/>
          <w:sz w:val="20"/>
          <w:lang w:val="en-US" w:eastAsia="en-US" w:bidi="ar-SA"/>
        </w:rPr>
        <w:t xml:space="preserve"> exception. As such, Coast cannot succeed under this cause of action.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ii) Interference With Economic Relations by</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 xml:space="preserve"> Unlawful Means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bot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Counsel for Coast accepted, before me, that there were difficulties associated with Coast pursuing this course of action. This tort also has numerous constituent elements; see </w:t>
      </w:r>
      <w:r>
        <w:rPr>
          <w:rFonts w:ascii="arial" w:eastAsia="arial" w:hAnsi="arial" w:cs="arial"/>
          <w:i/>
          <w:color w:val="000000"/>
          <w:sz w:val="20"/>
          <w:lang w:val="en-US" w:eastAsia="en-US" w:bidi="ar-SA"/>
        </w:rPr>
        <w:t>Canuck Security Services Ltd. v. Gill</w:t>
      </w:r>
      <w:r>
        <w:rPr>
          <w:rFonts w:ascii="arial" w:eastAsia="arial" w:hAnsi="arial" w:cs="arial"/>
          <w:color w:val="000000"/>
          <w:sz w:val="20"/>
          <w:lang w:val="en-US" w:eastAsia="en-US" w:bidi="ar-SA"/>
        </w:rPr>
        <w:t xml:space="preserve">, </w:t>
      </w:r>
      <w:hyperlink r:id="rId164" w:history="1">
        <w:r>
          <w:rPr>
            <w:rFonts w:ascii="arial" w:eastAsia="arial" w:hAnsi="arial" w:cs="arial"/>
            <w:i/>
            <w:color w:val="0077CC"/>
            <w:sz w:val="20"/>
            <w:u w:val="single"/>
            <w:shd w:val="clear" w:color="auto" w:fill="FFFFFF"/>
            <w:lang w:val="en-US" w:eastAsia="en-US" w:bidi="ar-SA"/>
          </w:rPr>
          <w:t>2013 BCSC 893</w:t>
        </w:r>
      </w:hyperlink>
      <w:r>
        <w:rPr>
          <w:rFonts w:ascii="arial" w:eastAsia="arial" w:hAnsi="arial" w:cs="arial"/>
          <w:color w:val="000000"/>
          <w:sz w:val="20"/>
          <w:lang w:val="en-US" w:eastAsia="en-US" w:bidi="ar-SA"/>
        </w:rPr>
        <w:t xml:space="preserve"> at para. 189; </w:t>
      </w:r>
      <w:r>
        <w:rPr>
          <w:rFonts w:ascii="arial" w:eastAsia="arial" w:hAnsi="arial" w:cs="arial"/>
          <w:i/>
          <w:color w:val="000000"/>
          <w:sz w:val="20"/>
          <w:lang w:val="en-US" w:eastAsia="en-US" w:bidi="ar-SA"/>
        </w:rPr>
        <w:t>0856464 B.C. Ltd. v. Timberwest Forest Corp.</w:t>
      </w:r>
      <w:r>
        <w:rPr>
          <w:rFonts w:ascii="arial" w:eastAsia="arial" w:hAnsi="arial" w:cs="arial"/>
          <w:color w:val="000000"/>
          <w:sz w:val="20"/>
          <w:lang w:val="en-US" w:eastAsia="en-US" w:bidi="ar-SA"/>
        </w:rPr>
        <w:t xml:space="preserve">, </w:t>
      </w:r>
      <w:hyperlink r:id="rId165" w:history="1">
        <w:r>
          <w:rPr>
            <w:rFonts w:ascii="arial" w:eastAsia="arial" w:hAnsi="arial" w:cs="arial"/>
            <w:i/>
            <w:color w:val="0077CC"/>
            <w:sz w:val="20"/>
            <w:u w:val="single"/>
            <w:shd w:val="clear" w:color="auto" w:fill="FFFFFF"/>
            <w:lang w:val="en-US" w:eastAsia="en-US" w:bidi="ar-SA"/>
          </w:rPr>
          <w:t>2012 BCSC 597</w:t>
        </w:r>
      </w:hyperlink>
      <w:r>
        <w:rPr>
          <w:rFonts w:ascii="arial" w:eastAsia="arial" w:hAnsi="arial" w:cs="arial"/>
          <w:color w:val="000000"/>
          <w:sz w:val="20"/>
          <w:lang w:val="en-US" w:eastAsia="en-US" w:bidi="ar-SA"/>
        </w:rPr>
        <w:t xml:space="preserve"> at para. 30. One of those elements requires, as the name of the tort suggests, that the defendant interfere with the economic interests of the plaintiff by "unlawful means"; </w:t>
      </w:r>
      <w:r>
        <w:rPr>
          <w:rFonts w:ascii="arial" w:eastAsia="arial" w:hAnsi="arial" w:cs="arial"/>
          <w:i/>
          <w:color w:val="000000"/>
          <w:sz w:val="20"/>
          <w:lang w:val="en-US" w:eastAsia="en-US" w:bidi="ar-SA"/>
        </w:rPr>
        <w:t>0856464 B.C. Ltd.</w:t>
      </w:r>
      <w:r>
        <w:rPr>
          <w:rFonts w:ascii="arial" w:eastAsia="arial" w:hAnsi="arial" w:cs="arial"/>
          <w:color w:val="000000"/>
          <w:sz w:val="20"/>
          <w:lang w:val="en-US" w:eastAsia="en-US" w:bidi="ar-SA"/>
        </w:rPr>
        <w:t xml:space="preserve"> at para. 46.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In the recent decision of </w:t>
      </w:r>
      <w:r>
        <w:rPr>
          <w:rFonts w:ascii="arial" w:eastAsia="arial" w:hAnsi="arial" w:cs="arial"/>
          <w:i/>
          <w:color w:val="000000"/>
          <w:sz w:val="20"/>
          <w:lang w:val="en-US" w:eastAsia="en-US" w:bidi="ar-SA"/>
        </w:rPr>
        <w:t>A.I. Enterprises Ltd. v. Bram Enterprises Ltd.,</w:t>
      </w:r>
      <w:r>
        <w:rPr>
          <w:rFonts w:ascii="arial" w:eastAsia="arial" w:hAnsi="arial" w:cs="arial"/>
          <w:color w:val="000000"/>
          <w:sz w:val="20"/>
          <w:lang w:val="en-US" w:eastAsia="en-US" w:bidi="ar-SA"/>
        </w:rPr>
        <w:t xml:space="preserve"> </w:t>
      </w:r>
      <w:hyperlink r:id="rId166" w:history="1">
        <w:r>
          <w:rPr>
            <w:rFonts w:ascii="arial" w:eastAsia="arial" w:hAnsi="arial" w:cs="arial"/>
            <w:i/>
            <w:color w:val="0077CC"/>
            <w:sz w:val="20"/>
            <w:u w:val="single"/>
            <w:shd w:val="clear" w:color="auto" w:fill="FFFFFF"/>
            <w:lang w:val="en-US" w:eastAsia="en-US" w:bidi="ar-SA"/>
          </w:rPr>
          <w:t>2014 SCC 12</w:t>
        </w:r>
      </w:hyperlink>
      <w:r>
        <w:rPr>
          <w:rFonts w:ascii="arial" w:eastAsia="arial" w:hAnsi="arial" w:cs="arial"/>
          <w:color w:val="000000"/>
          <w:sz w:val="20"/>
          <w:lang w:val="en-US" w:eastAsia="en-US" w:bidi="ar-SA"/>
        </w:rPr>
        <w:t>, Cromwell J., for the Court,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[86] I conclude that for the purposes of the unlawful means tort, the defendant's means are "unlawful" if they support a civil action for damages or compensation by the third party, or would do so except for the fact that the third party did not suffer any loss as a result of the defendant's acts. There is no requirement that these acts not be otherwise actionable by the plaintiff against the defendant and there are no exceptions to the scope of the liability imposed by this approach.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unlawful means tort requires some conduct on the part of the defendant that would support a civil action. In this case, none of the actions of Mr. Lefevre would have presented Holdings with an independent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elements of the unlawful means tort are not satisfied, and Coast's claim with respect to this cause of action, is dismissed.</w:t>
      </w:r>
      <w:r>
        <w:rPr>
          <w:rFonts w:ascii="arial" w:eastAsia="arial" w:hAnsi="arial" w:cs="arial"/>
          <w:sz w:val="20"/>
          <w:lang w:val="en-US" w:eastAsia="en-US" w:bidi="ar-SA"/>
        </w:rPr>
        <w:cr/>
      </w:r>
    </w:p>
    <w:p>
      <w:pPr>
        <w:numPr>
          <w:numId w:val="61"/>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Equitable Assignment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amended notice of civil claim filed by Holdings states:</w:t>
      </w:r>
      <w:r>
        <w:rPr>
          <w:rFonts w:ascii="arial" w:eastAsia="arial" w:hAnsi="arial" w:cs="arial"/>
          <w:sz w:val="20"/>
          <w:lang w:val="en-US" w:eastAsia="en-US" w:bidi="ar-SA"/>
        </w:rPr>
        <w:cr/>
      </w:r>
    </w:p>
    <w:p>
      <w:pPr>
        <w:numPr>
          <w:numId w:val="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was a further term of the [Listing Agreement] that Holdings assigned the remuneration due to Coast from the proceeds of sale of the Lands, by reason of which Holdings and Lefevre held $104,860.00 of the proceeds of sale of the Lands in trust for Coast.</w:t>
      </w:r>
    </w:p>
    <w:p>
      <w:pPr>
        <w:numPr>
          <w:numId w:val="6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breach of the [Listing Agreement] and the said trust, Holdings and Mr. Lefevre have neglected and refused to pay $104,860.00 or any amount to Coast and with knowledge of the said breach of contract and trust Holdings and Mr. Lefevre paid 50% of the net proceeds of the sale of the Land to each of New Pismo and Embark Investment Trust and/or Embark Holdings Corp. that received the said proceeds with knowledge of the said breach of contract and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defendants' amended response to civil claim makes no explicit answer to the claim that the Listing Agreement served to assign the Commission due to Coast.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defendant's application response, however, though almost silent on this particular pleading, does raise several further issues that are relevant. Thus, the defendants, again, submit that the Listing Agreement does not contain the terms agreed to by the parties. The defendants also submit that, at no time prior to the receipt of Coast's invoice, did they know that Coast was claiming a commission amount, and that New Pismo and Embark Corp. had no knowledge of a breach of contract or trust. Further, the defendants submit that all of Mr. Lefevre's acts were undertaken in his capacity as a director for Holdings and so he is shielded from personal liability. This latter argument is expressly made in relation to the tort of inducing breach of contract, but it was clear, during counsel for the defendants' oral submissions, that Mr. Lefevre relied on this same issue in relation to his participation in the alleged breach of the equitable assignment of the Commission.</w:t>
      </w:r>
      <w:r>
        <w:rPr>
          <w:rFonts w:ascii="arial" w:eastAsia="arial" w:hAnsi="arial" w:cs="arial"/>
          <w:sz w:val="20"/>
          <w:lang w:val="en-US" w:eastAsia="en-US" w:bidi="ar-SA"/>
        </w:rPr>
        <w:cr/>
      </w:r>
    </w:p>
    <w:p>
      <w:pPr>
        <w:numPr>
          <w:numId w:val="6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Clause 6A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Clause 6A is clear in that it expressly assigns the "amount of remuneration due" from the "Seller" (Holdings) to the "Listing Brokerage" (Coast).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The language of cl. 6A appears to have only been judicially considered once, and this for an unrelated purpose; </w:t>
      </w:r>
      <w:r>
        <w:rPr>
          <w:rFonts w:ascii="arial" w:eastAsia="arial" w:hAnsi="arial" w:cs="arial"/>
          <w:i/>
          <w:color w:val="000000"/>
          <w:sz w:val="20"/>
          <w:lang w:val="en-US" w:eastAsia="en-US" w:bidi="ar-SA"/>
        </w:rPr>
        <w:t>Pemberton Holmes Realty Ltd. v. Miller</w:t>
      </w:r>
      <w:r>
        <w:rPr>
          <w:rFonts w:ascii="arial" w:eastAsia="arial" w:hAnsi="arial" w:cs="arial"/>
          <w:color w:val="000000"/>
          <w:sz w:val="20"/>
          <w:lang w:val="en-US" w:eastAsia="en-US" w:bidi="ar-SA"/>
        </w:rPr>
        <w:t xml:space="preserve">, </w:t>
      </w:r>
      <w:hyperlink r:id="rId167" w:history="1">
        <w:r>
          <w:rPr>
            <w:rFonts w:ascii="arial" w:eastAsia="arial" w:hAnsi="arial" w:cs="arial"/>
            <w:i/>
            <w:color w:val="0077CC"/>
            <w:sz w:val="20"/>
            <w:u w:val="single"/>
            <w:shd w:val="clear" w:color="auto" w:fill="FFFFFF"/>
            <w:lang w:val="en-US" w:eastAsia="en-US" w:bidi="ar-SA"/>
          </w:rPr>
          <w:t>2008 BCSC 1790</w:t>
        </w:r>
      </w:hyperlink>
      <w:r>
        <w:rPr>
          <w:rFonts w:ascii="arial" w:eastAsia="arial" w:hAnsi="arial" w:cs="arial"/>
          <w:color w:val="000000"/>
          <w:sz w:val="20"/>
          <w:lang w:val="en-US" w:eastAsia="en-US" w:bidi="ar-SA"/>
        </w:rPr>
        <w:t xml:space="preserve"> at para. 10. However, a publication by the British Columbia Real Estate Association (Gerry Neely, "Assignment of commission to listing agent -- notice required to be given to conveyancer, ML contract, paragraph 6", </w:t>
      </w:r>
      <w:r>
        <w:rPr>
          <w:rFonts w:ascii="arial" w:eastAsia="arial" w:hAnsi="arial" w:cs="arial"/>
          <w:i/>
          <w:color w:val="000000"/>
          <w:sz w:val="20"/>
          <w:lang w:val="en-US" w:eastAsia="en-US" w:bidi="ar-SA"/>
        </w:rPr>
        <w:t>Legally Speaking</w:t>
      </w:r>
      <w:r>
        <w:rPr>
          <w:rFonts w:ascii="arial" w:eastAsia="arial" w:hAnsi="arial" w:cs="arial"/>
          <w:color w:val="000000"/>
          <w:sz w:val="20"/>
          <w:lang w:val="en-US" w:eastAsia="en-US" w:bidi="ar-SA"/>
        </w:rPr>
        <w:t>, No. 311 (November 1999)), suggests that cl. 6A is usually used to establish a legal assignment: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licensee with a deposit that is less than the commissions has always run the risk of either losing the remainder of the commission, or being forced to sue for it, because an unhappy seller instructs his lawyer of notary public (the conveyancer) to pay all of the proceeds of sale to the seller. The avoidance of that risk is one of the reasons the ML contract includes paragraph 6, in which the seller has agreed to assign irrevocably to the listing agent from the proceeds of the sale, the remuneration due to 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However, for that assignment to be effective, notice of it must be given to the conveyancer from whom payment of the commission is expected.</w:t>
      </w:r>
    </w:p>
    <w:p>
      <w:pPr>
        <w:numPr>
          <w:numId w:val="71"/>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Legal and Equitable Assignments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Legal assignments are governed by the </w:t>
      </w:r>
      <w:r>
        <w:rPr>
          <w:rFonts w:ascii="arial" w:eastAsia="arial" w:hAnsi="arial" w:cs="arial"/>
          <w:i/>
          <w:color w:val="000000"/>
          <w:sz w:val="20"/>
          <w:lang w:val="en-US" w:eastAsia="en-US" w:bidi="ar-SA"/>
        </w:rPr>
        <w:t>Law and Equity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253</w:t>
      </w:r>
      <w:r>
        <w:rPr>
          <w:rFonts w:ascii="arial" w:eastAsia="arial" w:hAnsi="arial" w:cs="arial"/>
          <w:color w:val="000000"/>
          <w:sz w:val="20"/>
          <w:lang w:val="en-US" w:eastAsia="en-US" w:bidi="ar-SA"/>
        </w:rPr>
        <w:t xml:space="preserve"> at s. 36. For a legal assignment to be enforceable, s. 36 requires that an assignment be in writing, and that express notice of the assignment be provided to the person/entity from whom the assignee might make a claim. In this case, that latter requirement was not complied with.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A failed written legal assignment can, nevertheless, constitute or ground an equitable assignment. Thus, it is clear that the legislative recognition of legal assignments did not "affect the practice applicable to equitable assignments"; </w:t>
      </w:r>
      <w:r>
        <w:rPr>
          <w:rFonts w:ascii="arial" w:eastAsia="arial" w:hAnsi="arial" w:cs="arial"/>
          <w:i/>
          <w:color w:val="000000"/>
          <w:sz w:val="20"/>
          <w:lang w:val="en-US" w:eastAsia="en-US" w:bidi="ar-SA"/>
        </w:rPr>
        <w:t>Bercovitz Estate v. Avigdor</w:t>
      </w:r>
      <w:r>
        <w:rPr>
          <w:rFonts w:ascii="arial" w:eastAsia="arial" w:hAnsi="arial" w:cs="arial"/>
          <w:color w:val="000000"/>
          <w:sz w:val="20"/>
          <w:lang w:val="en-US" w:eastAsia="en-US" w:bidi="ar-SA"/>
        </w:rPr>
        <w:t xml:space="preserve">, </w:t>
      </w:r>
      <w:hyperlink r:id="rId168" w:history="1">
        <w:r>
          <w:rPr>
            <w:rFonts w:ascii="arial" w:eastAsia="arial" w:hAnsi="arial" w:cs="arial"/>
            <w:i/>
            <w:color w:val="0077CC"/>
            <w:sz w:val="20"/>
            <w:u w:val="single"/>
            <w:shd w:val="clear" w:color="auto" w:fill="FFFFFF"/>
            <w:lang w:val="en-US" w:eastAsia="en-US" w:bidi="ar-SA"/>
          </w:rPr>
          <w:t>[1961] O.J. No. 20</w:t>
        </w:r>
      </w:hyperlink>
      <w:r>
        <w:rPr>
          <w:rFonts w:ascii="arial" w:eastAsia="arial" w:hAnsi="arial" w:cs="arial"/>
          <w:color w:val="000000"/>
          <w:sz w:val="20"/>
          <w:lang w:val="en-US" w:eastAsia="en-US" w:bidi="ar-SA"/>
        </w:rPr>
        <w:t xml:space="preserve"> at paras. 15-16 (C.A.); see also </w:t>
      </w:r>
      <w:r>
        <w:rPr>
          <w:rFonts w:ascii="arial" w:eastAsia="arial" w:hAnsi="arial" w:cs="arial"/>
          <w:i/>
          <w:color w:val="000000"/>
          <w:sz w:val="20"/>
          <w:lang w:val="en-US" w:eastAsia="en-US" w:bidi="ar-SA"/>
        </w:rPr>
        <w:t>Dealers Finance Corp. Ltd. v. Sedgwick</w:t>
      </w:r>
      <w:r>
        <w:rPr>
          <w:rFonts w:ascii="arial" w:eastAsia="arial" w:hAnsi="arial" w:cs="arial"/>
          <w:color w:val="000000"/>
          <w:sz w:val="20"/>
          <w:lang w:val="en-US" w:eastAsia="en-US" w:bidi="ar-SA"/>
        </w:rPr>
        <w:t xml:space="preserve">, </w:t>
      </w:r>
      <w:hyperlink r:id="rId169" w:history="1">
        <w:r>
          <w:rPr>
            <w:rFonts w:ascii="arial" w:eastAsia="arial" w:hAnsi="arial" w:cs="arial"/>
            <w:i/>
            <w:color w:val="0077CC"/>
            <w:sz w:val="20"/>
            <w:u w:val="single"/>
            <w:shd w:val="clear" w:color="auto" w:fill="FFFFFF"/>
            <w:lang w:val="en-US" w:eastAsia="en-US" w:bidi="ar-SA"/>
          </w:rPr>
          <w:t>[1932] 1 D.L.R. 71</w:t>
        </w:r>
      </w:hyperlink>
      <w:r>
        <w:rPr>
          <w:rFonts w:ascii="arial" w:eastAsia="arial" w:hAnsi="arial" w:cs="arial"/>
          <w:color w:val="000000"/>
          <w:sz w:val="20"/>
          <w:lang w:val="en-US" w:eastAsia="en-US" w:bidi="ar-SA"/>
        </w:rPr>
        <w:t xml:space="preserve"> at 75 (Sask. C.A.). In I.C.F. Spry, </w:t>
      </w:r>
      <w:r>
        <w:rPr>
          <w:rFonts w:ascii="arial" w:eastAsia="arial" w:hAnsi="arial" w:cs="arial"/>
          <w:i/>
          <w:color w:val="000000"/>
          <w:sz w:val="20"/>
          <w:lang w:val="en-US" w:eastAsia="en-US" w:bidi="ar-SA"/>
        </w:rPr>
        <w:t>Equitable Remedies</w:t>
      </w:r>
      <w:r>
        <w:rPr>
          <w:rFonts w:ascii="arial" w:eastAsia="arial" w:hAnsi="arial" w:cs="arial"/>
          <w:color w:val="000000"/>
          <w:sz w:val="20"/>
          <w:lang w:val="en-US" w:eastAsia="en-US" w:bidi="ar-SA"/>
        </w:rPr>
        <w:t>, 8th ed (Sydney: Carswell, 2010) at 80-81, the author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Further, an assignee may be entitled to the specific performance of a contract where the relevant assignment is, by virtue of a statutory provision or otherwise, a legal assignment that is not for any special reason unenforceable in equity.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Laidlaw v. Hartford Fire Ins. Co.</w:t>
      </w:r>
      <w:r>
        <w:rPr>
          <w:rFonts w:ascii="arial" w:eastAsia="arial" w:hAnsi="arial" w:cs="arial"/>
          <w:color w:val="000000"/>
          <w:sz w:val="20"/>
          <w:lang w:val="en-US" w:eastAsia="en-US" w:bidi="ar-SA"/>
        </w:rPr>
        <w:t xml:space="preserve"> (1916), 29 D.L.R. 229 at 232-233 (Alta. C.A.), the court enforced a written assignment with no notice on the basis of a finding that the assignment gave the assignee a right of action. In </w:t>
      </w:r>
      <w:r>
        <w:rPr>
          <w:rFonts w:ascii="arial" w:eastAsia="arial" w:hAnsi="arial" w:cs="arial"/>
          <w:i/>
          <w:color w:val="000000"/>
          <w:sz w:val="20"/>
          <w:lang w:val="en-US" w:eastAsia="en-US" w:bidi="ar-SA"/>
        </w:rPr>
        <w:t>Taylor v. Traders Finance Corporation Ltd</w:t>
      </w:r>
      <w:r>
        <w:rPr>
          <w:rFonts w:ascii="arial" w:eastAsia="arial" w:hAnsi="arial" w:cs="arial"/>
          <w:color w:val="000000"/>
          <w:sz w:val="20"/>
          <w:lang w:val="en-US" w:eastAsia="en-US" w:bidi="ar-SA"/>
        </w:rPr>
        <w:t xml:space="preserve"> </w:t>
      </w:r>
      <w:hyperlink r:id="rId170" w:history="1">
        <w:r>
          <w:rPr>
            <w:rFonts w:ascii="arial" w:eastAsia="arial" w:hAnsi="arial" w:cs="arial"/>
            <w:i/>
            <w:color w:val="0077CC"/>
            <w:sz w:val="20"/>
            <w:u w:val="single"/>
            <w:shd w:val="clear" w:color="auto" w:fill="FFFFFF"/>
            <w:lang w:val="en-US" w:eastAsia="en-US" w:bidi="ar-SA"/>
          </w:rPr>
          <w:t>(1959), 20 D.L.R. (2d) 447</w:t>
        </w:r>
      </w:hyperlink>
      <w:r>
        <w:rPr>
          <w:rFonts w:ascii="arial" w:eastAsia="arial" w:hAnsi="arial" w:cs="arial"/>
          <w:color w:val="000000"/>
          <w:sz w:val="20"/>
          <w:lang w:val="en-US" w:eastAsia="en-US" w:bidi="ar-SA"/>
        </w:rPr>
        <w:t xml:space="preserve"> at 452 (N.B.C.A.), the court upheld an equitable assignment based on the fact that where the written assignment had failed for lack of notice "it is necessary to consider if the circumstances are such as to show... an equitable assignment". In determining whether to enforce the assignment, the foregoing courts engaged in an analysis of whether an equitable assignment was made out notwithstanding the fact that the express legal assignment that was intended had not been perfected; </w:t>
      </w:r>
      <w:r>
        <w:rPr>
          <w:rFonts w:ascii="arial" w:eastAsia="arial" w:hAnsi="arial" w:cs="arial"/>
          <w:i/>
          <w:color w:val="000000"/>
          <w:sz w:val="20"/>
          <w:lang w:val="en-US" w:eastAsia="en-US" w:bidi="ar-SA"/>
        </w:rPr>
        <w:t>Laidlaw</w:t>
      </w:r>
      <w:r>
        <w:rPr>
          <w:rFonts w:ascii="arial" w:eastAsia="arial" w:hAnsi="arial" w:cs="arial"/>
          <w:color w:val="000000"/>
          <w:sz w:val="20"/>
          <w:lang w:val="en-US" w:eastAsia="en-US" w:bidi="ar-SA"/>
        </w:rPr>
        <w:t xml:space="preserve"> at 233; </w:t>
      </w:r>
      <w:r>
        <w:rPr>
          <w:rFonts w:ascii="arial" w:eastAsia="arial" w:hAnsi="arial" w:cs="arial"/>
          <w:i/>
          <w:color w:val="000000"/>
          <w:sz w:val="20"/>
          <w:lang w:val="en-US" w:eastAsia="en-US" w:bidi="ar-SA"/>
        </w:rPr>
        <w:t>Taylor</w:t>
      </w:r>
      <w:r>
        <w:rPr>
          <w:rFonts w:ascii="arial" w:eastAsia="arial" w:hAnsi="arial" w:cs="arial"/>
          <w:color w:val="000000"/>
          <w:sz w:val="20"/>
          <w:lang w:val="en-US" w:eastAsia="en-US" w:bidi="ar-SA"/>
        </w:rPr>
        <w:t xml:space="preserve"> at 452.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Accordingly, it is appropriate to consider the applicability of the test set out in </w:t>
      </w:r>
      <w:r>
        <w:rPr>
          <w:rFonts w:ascii="arial" w:eastAsia="arial" w:hAnsi="arial" w:cs="arial"/>
          <w:i/>
          <w:color w:val="000000"/>
          <w:sz w:val="20"/>
          <w:lang w:val="en-US" w:eastAsia="en-US" w:bidi="ar-SA"/>
        </w:rPr>
        <w:t>Chudy v. Merchant Law Group</w:t>
      </w:r>
      <w:r>
        <w:rPr>
          <w:rFonts w:ascii="arial" w:eastAsia="arial" w:hAnsi="arial" w:cs="arial"/>
          <w:color w:val="000000"/>
          <w:sz w:val="20"/>
          <w:lang w:val="en-US" w:eastAsia="en-US" w:bidi="ar-SA"/>
        </w:rPr>
        <w:t xml:space="preserve">, </w:t>
      </w:r>
      <w:hyperlink r:id="rId171" w:history="1">
        <w:r>
          <w:rPr>
            <w:rFonts w:ascii="arial" w:eastAsia="arial" w:hAnsi="arial" w:cs="arial"/>
            <w:i/>
            <w:color w:val="0077CC"/>
            <w:sz w:val="20"/>
            <w:u w:val="single"/>
            <w:shd w:val="clear" w:color="auto" w:fill="FFFFFF"/>
            <w:lang w:val="en-US" w:eastAsia="en-US" w:bidi="ar-SA"/>
          </w:rPr>
          <w:t>2008 BCCA 484</w:t>
        </w:r>
      </w:hyperlink>
      <w:r>
        <w:rPr>
          <w:rFonts w:ascii="arial" w:eastAsia="arial" w:hAnsi="arial" w:cs="arial"/>
          <w:color w:val="000000"/>
          <w:sz w:val="20"/>
          <w:lang w:val="en-US" w:eastAsia="en-US" w:bidi="ar-SA"/>
        </w:rPr>
        <w:t xml:space="preserve"> at para. 41, and </w:t>
      </w:r>
      <w:r>
        <w:rPr>
          <w:rFonts w:ascii="arial" w:eastAsia="arial" w:hAnsi="arial" w:cs="arial"/>
          <w:i/>
          <w:color w:val="000000"/>
          <w:sz w:val="20"/>
          <w:lang w:val="en-US" w:eastAsia="en-US" w:bidi="ar-SA"/>
        </w:rPr>
        <w:t>Lawson Graphics Pac. Ltd. v. Simpson</w:t>
      </w:r>
      <w:r>
        <w:rPr>
          <w:rFonts w:ascii="arial" w:eastAsia="arial" w:hAnsi="arial" w:cs="arial"/>
          <w:color w:val="000000"/>
          <w:sz w:val="20"/>
          <w:lang w:val="en-US" w:eastAsia="en-US" w:bidi="ar-SA"/>
        </w:rPr>
        <w:t xml:space="preserve"> </w:t>
      </w:r>
      <w:hyperlink r:id="rId172" w:history="1">
        <w:r>
          <w:rPr>
            <w:rFonts w:ascii="arial" w:eastAsia="arial" w:hAnsi="arial" w:cs="arial"/>
            <w:i/>
            <w:color w:val="0077CC"/>
            <w:sz w:val="20"/>
            <w:u w:val="single"/>
            <w:shd w:val="clear" w:color="auto" w:fill="FFFFFF"/>
            <w:lang w:val="en-US" w:eastAsia="en-US" w:bidi="ar-SA"/>
          </w:rPr>
          <w:t>(1987), 12 B.C.L.R. (2d) 126</w:t>
        </w:r>
      </w:hyperlink>
      <w:r>
        <w:rPr>
          <w:rFonts w:ascii="arial" w:eastAsia="arial" w:hAnsi="arial" w:cs="arial"/>
          <w:color w:val="000000"/>
          <w:sz w:val="20"/>
          <w:lang w:val="en-US" w:eastAsia="en-US" w:bidi="ar-SA"/>
        </w:rPr>
        <w:t xml:space="preserve"> at 131-133 (S.C.), to determine whether cl. 6 and the circumstances of this case establish an equitable assignment of the Commission.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iii) The Requirements for an Equitable Assignment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Chudy,</w:t>
      </w:r>
      <w:r>
        <w:rPr>
          <w:rFonts w:ascii="arial" w:eastAsia="arial" w:hAnsi="arial" w:cs="arial"/>
          <w:color w:val="000000"/>
          <w:sz w:val="20"/>
          <w:lang w:val="en-US" w:eastAsia="en-US" w:bidi="ar-SA"/>
        </w:rPr>
        <w:t xml:space="preserve"> at para. 41, the majority held "that whether there was an equitable assignment of the ... agreement depends on the intention of the parties, viewed objectively." The majority at paras. 44-46, then adopted portions of Southin J's, as she then was, review of the law of equitable assignments in </w:t>
      </w:r>
      <w:r>
        <w:rPr>
          <w:rFonts w:ascii="arial" w:eastAsia="arial" w:hAnsi="arial" w:cs="arial"/>
          <w:i/>
          <w:color w:val="000000"/>
          <w:sz w:val="20"/>
          <w:lang w:val="en-US" w:eastAsia="en-US" w:bidi="ar-SA"/>
        </w:rPr>
        <w:t>Lawson Graphics.</w:t>
      </w:r>
      <w:r>
        <w:rPr>
          <w:rFonts w:ascii="arial" w:eastAsia="arial" w:hAnsi="arial" w:cs="arial"/>
          <w:color w:val="000000"/>
          <w:sz w:val="20"/>
          <w:lang w:val="en-US" w:eastAsia="en-US" w:bidi="ar-SA"/>
        </w:rPr>
        <w:t xml:space="preserve"> In particular, the majority, at para. 44 relied on the following portions of </w:t>
      </w:r>
      <w:r>
        <w:rPr>
          <w:rFonts w:ascii="arial" w:eastAsia="arial" w:hAnsi="arial" w:cs="arial"/>
          <w:i/>
          <w:color w:val="000000"/>
          <w:sz w:val="20"/>
          <w:lang w:val="en-US" w:eastAsia="en-US" w:bidi="ar-SA"/>
        </w:rPr>
        <w:t>Lawson Graphics</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to the mode and form of an equitable assignment, Halsbury says this (6 Hals (4th) 19, para. 30):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No form of words is required for an equitable assignment; the only thing that is necessary is to make the meaning plain. The assignment may be by word of mouth, unless in the particular case writing is required by law, and no particular form of words is necessary so long as the words clearly show an intention that the assignee is to have the benefit of the chose in action. The assignment may be addressed either to the debtor or to the assignee. An agreement amounting to an equitable assignment may be express and written or may even be made out form a course of dealing between the parties.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An engagement or direction to pay a sum of money out of a specified debt or fund constitutes an equitable assignment, though not of the whole debt or fund; but it is necessary to specify the debt or fund. A mere charge on a debt or fund also operates as a partial equitable assignment.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It is immaterial that the amount of the debt assigned is not ascertained at the date of the assignment.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Lawson Graphics,</w:t>
      </w:r>
      <w:r>
        <w:rPr>
          <w:rFonts w:ascii="arial" w:eastAsia="arial" w:hAnsi="arial" w:cs="arial"/>
          <w:color w:val="000000"/>
          <w:sz w:val="20"/>
          <w:lang w:val="en-US" w:eastAsia="en-US" w:bidi="ar-SA"/>
        </w:rPr>
        <w:t xml:space="preserve"> Southin J. determined that a portion of the purchase price of posters received from a buyer had been assigned to the manufacturer of the posters pursuant to an oral agreement between the seller and manufacturer and, therefore, should not have been paid out to the seller's bank. </w:t>
      </w:r>
      <w:r>
        <w:rPr>
          <w:rFonts w:ascii="arial" w:eastAsia="arial" w:hAnsi="arial" w:cs="arial"/>
          <w:i/>
          <w:color w:val="000000"/>
          <w:sz w:val="20"/>
          <w:lang w:val="en-US" w:eastAsia="en-US" w:bidi="ar-SA"/>
        </w:rPr>
        <w:t>Lawson Graphics</w:t>
      </w:r>
      <w:r>
        <w:rPr>
          <w:rFonts w:ascii="arial" w:eastAsia="arial" w:hAnsi="arial" w:cs="arial"/>
          <w:color w:val="000000"/>
          <w:sz w:val="20"/>
          <w:lang w:val="en-US" w:eastAsia="en-US" w:bidi="ar-SA"/>
        </w:rPr>
        <w:t>, and the authorities it relies on, establish the following propositions:"</w:t>
      </w:r>
      <w:r>
        <w:rPr>
          <w:rFonts w:ascii="arial" w:eastAsia="arial" w:hAnsi="arial" w:cs="arial"/>
          <w:sz w:val="20"/>
          <w:lang w:val="en-US" w:eastAsia="en-US" w:bidi="ar-SA"/>
        </w:rPr>
        <w:cr/>
      </w:r>
    </w:p>
    <w:p>
      <w:pPr>
        <w:numPr>
          <w:numId w:val="7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equitable assignment is good against a trustee in bankruptcy"; at 130,"</w:t>
      </w:r>
    </w:p>
    <w:p>
      <w:pPr>
        <w:numPr>
          <w:numId w:val="7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engagement or direction to pay a sum of money out of a specified debt or fund constitutes an equitable assignment ... ; but it is necessary to specify the debt or fund"; at 131,</w:t>
      </w:r>
    </w:p>
    <w:p>
      <w:pPr>
        <w:numPr>
          <w:numId w:val="7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 particular words are needed in order to create an equitable assignment so long as the meaning is clear; at 131,</w:t>
      </w:r>
    </w:p>
    <w:p>
      <w:pPr>
        <w:numPr>
          <w:numId w:val="7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object of the assignment must be a chose in action that is capable of assignment; at 131,</w:t>
      </w:r>
    </w:p>
    <w:p>
      <w:pPr>
        <w:numPr>
          <w:numId w:val="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interpreting both written and oral contracts, to determine whether an assignment was intended, turns on the words used, and circumstances at the time the contract was made. This may involve a consideration of whether the debt owing was founded on goods supplied and whether the parties acted on particular payment expectations; at 132-133, and</w:t>
      </w:r>
    </w:p>
    <w:p>
      <w:pPr>
        <w:numPr>
          <w:numId w:val="7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directors who pay funds subject to an equitable right to a party with no notice of that right participate "in a breach of trust and are liable to the plaintiff for the loss which the plaintiff thereby suffered"; at 134.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Equitable assignments take effect at the time that the agreement to assign is concluded; however, as noted in </w:t>
      </w:r>
      <w:r>
        <w:rPr>
          <w:rFonts w:ascii="arial" w:eastAsia="arial" w:hAnsi="arial" w:cs="arial"/>
          <w:i/>
          <w:color w:val="000000"/>
          <w:sz w:val="20"/>
          <w:lang w:val="en-US" w:eastAsia="en-US" w:bidi="ar-SA"/>
        </w:rPr>
        <w:t>Lawson Graphics</w:t>
      </w:r>
      <w:r>
        <w:rPr>
          <w:rFonts w:ascii="arial" w:eastAsia="arial" w:hAnsi="arial" w:cs="arial"/>
          <w:color w:val="000000"/>
          <w:sz w:val="20"/>
          <w:lang w:val="en-US" w:eastAsia="en-US" w:bidi="ar-SA"/>
        </w:rPr>
        <w:t xml:space="preserve"> at 131, the property that is assigned, need not be in existence at the time of assignment. In </w:t>
      </w:r>
      <w:r>
        <w:rPr>
          <w:rFonts w:ascii="arial" w:eastAsia="arial" w:hAnsi="arial" w:cs="arial"/>
          <w:i/>
          <w:color w:val="000000"/>
          <w:sz w:val="20"/>
          <w:lang w:val="en-US" w:eastAsia="en-US" w:bidi="ar-SA"/>
        </w:rPr>
        <w:t>Holy Rosary Parish (Thorold) Credit Union Ltd. v. Premier Trust Co.</w:t>
      </w:r>
      <w:r>
        <w:rPr>
          <w:rFonts w:ascii="arial" w:eastAsia="arial" w:hAnsi="arial" w:cs="arial"/>
          <w:color w:val="000000"/>
          <w:sz w:val="20"/>
          <w:lang w:val="en-US" w:eastAsia="en-US" w:bidi="ar-SA"/>
        </w:rPr>
        <w:t xml:space="preserve">, </w:t>
      </w:r>
      <w:hyperlink r:id="rId173" w:history="1">
        <w:r>
          <w:rPr>
            <w:rFonts w:ascii="arial" w:eastAsia="arial" w:hAnsi="arial" w:cs="arial"/>
            <w:i/>
            <w:color w:val="0077CC"/>
            <w:sz w:val="20"/>
            <w:u w:val="single"/>
            <w:shd w:val="clear" w:color="auto" w:fill="FFFFFF"/>
            <w:lang w:val="en-US" w:eastAsia="en-US" w:bidi="ar-SA"/>
          </w:rPr>
          <w:t>[1965] S.C.R. 503</w:t>
        </w:r>
      </w:hyperlink>
      <w:r>
        <w:rPr>
          <w:rFonts w:ascii="arial" w:eastAsia="arial" w:hAnsi="arial" w:cs="arial"/>
          <w:color w:val="000000"/>
          <w:sz w:val="20"/>
          <w:lang w:val="en-US" w:eastAsia="en-US" w:bidi="ar-SA"/>
        </w:rPr>
        <w:t xml:space="preserve"> at 506, the Court noted that "it is equally well established that an assignment for valuable consideration of property to be obtained in the future is a valid equitable assignment and one which is enforceable in equity so soon as the property comes into the possession of the assignor". Where the assignment relates to a fund that does not yet exist, there must be consideration for the assignment; </w:t>
      </w:r>
      <w:r>
        <w:rPr>
          <w:rFonts w:ascii="arial" w:eastAsia="arial" w:hAnsi="arial" w:cs="arial"/>
          <w:i/>
          <w:color w:val="000000"/>
          <w:sz w:val="20"/>
          <w:lang w:val="en-US" w:eastAsia="en-US" w:bidi="ar-SA"/>
        </w:rPr>
        <w:t>Tirling Sheet Metal Ltd. v. Troutman Estate</w:t>
      </w:r>
      <w:r>
        <w:rPr>
          <w:rFonts w:ascii="arial" w:eastAsia="arial" w:hAnsi="arial" w:cs="arial"/>
          <w:color w:val="000000"/>
          <w:sz w:val="20"/>
          <w:lang w:val="en-US" w:eastAsia="en-US" w:bidi="ar-SA"/>
        </w:rPr>
        <w:t xml:space="preserve">, </w:t>
      </w:r>
      <w:hyperlink r:id="rId174" w:history="1">
        <w:r>
          <w:rPr>
            <w:rFonts w:ascii="arial" w:eastAsia="arial" w:hAnsi="arial" w:cs="arial"/>
            <w:i/>
            <w:color w:val="0077CC"/>
            <w:sz w:val="20"/>
            <w:u w:val="single"/>
            <w:shd w:val="clear" w:color="auto" w:fill="FFFFFF"/>
            <w:lang w:val="en-US" w:eastAsia="en-US" w:bidi="ar-SA"/>
          </w:rPr>
          <w:t>2010 BCSC 958</w:t>
        </w:r>
      </w:hyperlink>
      <w:r>
        <w:rPr>
          <w:rFonts w:ascii="arial" w:eastAsia="arial" w:hAnsi="arial" w:cs="arial"/>
          <w:color w:val="000000"/>
          <w:sz w:val="20"/>
          <w:lang w:val="en-US" w:eastAsia="en-US" w:bidi="ar-SA"/>
        </w:rPr>
        <w:t xml:space="preserve"> at para. 23. Thus the fact that the Listing Agreement was made prior to the existence of the contract of sale between Holdings and Mr. Delen's company would not serve to defeat an equitable assignment.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The effect of an equitable assignment is that the funds in question, once received, are held in trust by the assignor for the assignee. In the context of the assignment of commissions, "[w]hen the earned commissions come into the hands of the broker, they are held in trust for the agent until they are paid to him"; </w:t>
      </w:r>
      <w:r>
        <w:rPr>
          <w:rFonts w:ascii="arial" w:eastAsia="arial" w:hAnsi="arial" w:cs="arial"/>
          <w:i/>
          <w:color w:val="000000"/>
          <w:sz w:val="20"/>
          <w:lang w:val="en-US" w:eastAsia="en-US" w:bidi="ar-SA"/>
        </w:rPr>
        <w:t>Agent's Equity Inc. v. Hope Estate</w:t>
      </w:r>
      <w:r>
        <w:rPr>
          <w:rFonts w:ascii="arial" w:eastAsia="arial" w:hAnsi="arial" w:cs="arial"/>
          <w:color w:val="000000"/>
          <w:sz w:val="20"/>
          <w:lang w:val="en-US" w:eastAsia="en-US" w:bidi="ar-SA"/>
        </w:rPr>
        <w:t xml:space="preserve"> </w:t>
      </w:r>
      <w:hyperlink r:id="rId175" w:history="1">
        <w:r>
          <w:rPr>
            <w:rFonts w:ascii="arial" w:eastAsia="arial" w:hAnsi="arial" w:cs="arial"/>
            <w:i/>
            <w:color w:val="0077CC"/>
            <w:sz w:val="20"/>
            <w:u w:val="single"/>
            <w:shd w:val="clear" w:color="auto" w:fill="FFFFFF"/>
            <w:lang w:val="en-US" w:eastAsia="en-US" w:bidi="ar-SA"/>
          </w:rPr>
          <w:t>(1996), 30 O.R. (3d) 557</w:t>
        </w:r>
      </w:hyperlink>
      <w:r>
        <w:rPr>
          <w:rFonts w:ascii="arial" w:eastAsia="arial" w:hAnsi="arial" w:cs="arial"/>
          <w:color w:val="000000"/>
          <w:sz w:val="20"/>
          <w:lang w:val="en-US" w:eastAsia="en-US" w:bidi="ar-SA"/>
        </w:rPr>
        <w:t xml:space="preserve"> at 563 (Ont. C.J.).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In Damien Abbott, </w:t>
      </w:r>
      <w:r>
        <w:rPr>
          <w:rFonts w:ascii="arial" w:eastAsia="arial" w:hAnsi="arial" w:cs="arial"/>
          <w:i/>
          <w:color w:val="000000"/>
          <w:sz w:val="20"/>
          <w:lang w:val="en-US" w:eastAsia="en-US" w:bidi="ar-SA"/>
        </w:rPr>
        <w:t>Encyclopedia of Real Estate Terms</w:t>
      </w:r>
      <w:r>
        <w:rPr>
          <w:rFonts w:ascii="arial" w:eastAsia="arial" w:hAnsi="arial" w:cs="arial"/>
          <w:color w:val="000000"/>
          <w:sz w:val="20"/>
          <w:lang w:val="en-US" w:eastAsia="en-US" w:bidi="ar-SA"/>
        </w:rPr>
        <w:t>, 2d ed. (London: Delta Alpha Publishing, 2000) at 379, the author states that an equitable assignment "is in the nature of a declaration of trust" and "is enforceable between the assignor and assignee at the discretion of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Application of the foregoing authorities and, in particular, the guidance found in </w:t>
      </w:r>
      <w:r>
        <w:rPr>
          <w:rFonts w:ascii="arial" w:eastAsia="arial" w:hAnsi="arial" w:cs="arial"/>
          <w:i/>
          <w:color w:val="000000"/>
          <w:sz w:val="20"/>
          <w:lang w:val="en-US" w:eastAsia="en-US" w:bidi="ar-SA"/>
        </w:rPr>
        <w:t>Lawson Graphics</w:t>
      </w:r>
      <w:r>
        <w:rPr>
          <w:rFonts w:ascii="arial" w:eastAsia="arial" w:hAnsi="arial" w:cs="arial"/>
          <w:color w:val="000000"/>
          <w:sz w:val="20"/>
          <w:lang w:val="en-US" w:eastAsia="en-US" w:bidi="ar-SA"/>
        </w:rPr>
        <w:t xml:space="preserve"> satisfies me that cl. 6A creates an equitable assignment. Here the "debtor fund" is clearly specified -- it is the "remuneration" or commission due to Coast. There is no ambiguity or lack of clarity as to the "meaning" of the assignment. Indeed, cl. 6A confirms that the Seller "irrevocably" assigns Coast the commission it is owed. The Commission is a "chose in action capable of assignment". The "debt owed" (the Commission) was founded on "goods supplied" (here the services supplied by Coast) and the parties acted on particular payment expectations. In </w:t>
      </w:r>
      <w:r>
        <w:rPr>
          <w:rFonts w:ascii="arial" w:eastAsia="arial" w:hAnsi="arial" w:cs="arial"/>
          <w:i/>
          <w:color w:val="000000"/>
          <w:sz w:val="20"/>
          <w:lang w:val="en-US" w:eastAsia="en-US" w:bidi="ar-SA"/>
        </w:rPr>
        <w:t>Lawson Graphics</w:t>
      </w:r>
      <w:r>
        <w:rPr>
          <w:rFonts w:ascii="arial" w:eastAsia="arial" w:hAnsi="arial" w:cs="arial"/>
          <w:color w:val="000000"/>
          <w:sz w:val="20"/>
          <w:lang w:val="en-US" w:eastAsia="en-US" w:bidi="ar-SA"/>
        </w:rPr>
        <w:t xml:space="preserve"> at 133, Southin J. concluded, on the facts before her, that had the defendant said it would not pay the plaintiff, the plaintiff would have refused to produce and ship the goods in question. Similar considerations pertain in this case. Coast would not have worked to sell the Property, absent an expectation of payment when the sale of the Property took place. That same expectation would have been shared by Holdings.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Clause 6C of the Listing Agreement, under which the Seller "irrevocably ... agrees to sign such documents as may be required by the Listing Brokerage ... to pay the remuneration due to the Listing Brokerage, or the net amount remaining after the deposit monies held in trust have been credited against the remuneration due to the Listing Brokerage" further reinforces these 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As a result of this equitable assignment, a portion of the sales funds received by Holdings were held in trust for Coast. By paying those funds to another party, Holdings, as trustee, breached that trust.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iii) Personal Liability of Mr. Lefevre for the Unpaid Commission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xml:space="preserve">  As I have noted, </w:t>
      </w:r>
      <w:r>
        <w:rPr>
          <w:rFonts w:ascii="arial" w:eastAsia="arial" w:hAnsi="arial" w:cs="arial"/>
          <w:i/>
          <w:color w:val="000000"/>
          <w:sz w:val="20"/>
          <w:lang w:val="en-US" w:eastAsia="en-US" w:bidi="ar-SA"/>
        </w:rPr>
        <w:t>Lawson Graphics</w:t>
      </w:r>
      <w:r>
        <w:rPr>
          <w:rFonts w:ascii="arial" w:eastAsia="arial" w:hAnsi="arial" w:cs="arial"/>
          <w:color w:val="000000"/>
          <w:sz w:val="20"/>
          <w:lang w:val="en-US" w:eastAsia="en-US" w:bidi="ar-SA"/>
        </w:rPr>
        <w:t xml:space="preserve"> (at 134) is authority for the proposition that directors may be held personally liable where they pay money, subject to an equitable assignment, to a third party. </w:t>
      </w:r>
      <w:r>
        <w:rPr>
          <w:rFonts w:ascii="arial" w:eastAsia="arial" w:hAnsi="arial" w:cs="arial"/>
          <w:i/>
          <w:color w:val="000000"/>
          <w:sz w:val="20"/>
          <w:lang w:val="en-US" w:eastAsia="en-US" w:bidi="ar-SA"/>
        </w:rPr>
        <w:t>Columere Park Developments Ltd. v. Enviro Custom Homes Inc.</w:t>
      </w:r>
      <w:r>
        <w:rPr>
          <w:rFonts w:ascii="arial" w:eastAsia="arial" w:hAnsi="arial" w:cs="arial"/>
          <w:color w:val="000000"/>
          <w:sz w:val="20"/>
          <w:lang w:val="en-US" w:eastAsia="en-US" w:bidi="ar-SA"/>
        </w:rPr>
        <w:t xml:space="preserve">, </w:t>
      </w:r>
      <w:hyperlink r:id="rId176" w:history="1">
        <w:r>
          <w:rPr>
            <w:rFonts w:ascii="arial" w:eastAsia="arial" w:hAnsi="arial" w:cs="arial"/>
            <w:i/>
            <w:color w:val="0077CC"/>
            <w:sz w:val="20"/>
            <w:u w:val="single"/>
            <w:shd w:val="clear" w:color="auto" w:fill="FFFFFF"/>
            <w:lang w:val="en-US" w:eastAsia="en-US" w:bidi="ar-SA"/>
          </w:rPr>
          <w:t>2010 BCSC 1248</w:t>
        </w:r>
      </w:hyperlink>
      <w:r>
        <w:rPr>
          <w:rFonts w:ascii="arial" w:eastAsia="arial" w:hAnsi="arial" w:cs="arial"/>
          <w:color w:val="000000"/>
          <w:sz w:val="20"/>
          <w:lang w:val="en-US" w:eastAsia="en-US" w:bidi="ar-SA"/>
        </w:rPr>
        <w:t xml:space="preserve"> at para. 66, is a recent case which cites </w:t>
      </w:r>
      <w:r>
        <w:rPr>
          <w:rFonts w:ascii="arial" w:eastAsia="arial" w:hAnsi="arial" w:cs="arial"/>
          <w:i/>
          <w:color w:val="000000"/>
          <w:sz w:val="20"/>
          <w:lang w:val="en-US" w:eastAsia="en-US" w:bidi="ar-SA"/>
        </w:rPr>
        <w:t>Lawson Graphics</w:t>
      </w:r>
      <w:r>
        <w:rPr>
          <w:rFonts w:ascii="arial" w:eastAsia="arial" w:hAnsi="arial" w:cs="arial"/>
          <w:color w:val="000000"/>
          <w:sz w:val="20"/>
          <w:lang w:val="en-US" w:eastAsia="en-US" w:bidi="ar-SA"/>
        </w:rPr>
        <w:t xml:space="preserve"> for that proposition.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xml:space="preserve">  The law of third party liability for breach of trust has, however, been refined since </w:t>
      </w:r>
      <w:r>
        <w:rPr>
          <w:rFonts w:ascii="arial" w:eastAsia="arial" w:hAnsi="arial" w:cs="arial"/>
          <w:i/>
          <w:color w:val="000000"/>
          <w:sz w:val="20"/>
          <w:lang w:val="en-US" w:eastAsia="en-US" w:bidi="ar-SA"/>
        </w:rPr>
        <w:t>Lawson Graphics</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Besta International Corp. v. Watercraft Offshore Canada Ltd.</w:t>
      </w:r>
      <w:r>
        <w:rPr>
          <w:rFonts w:ascii="arial" w:eastAsia="arial" w:hAnsi="arial" w:cs="arial"/>
          <w:color w:val="000000"/>
          <w:sz w:val="20"/>
          <w:lang w:val="en-US" w:eastAsia="en-US" w:bidi="ar-SA"/>
        </w:rPr>
        <w:t xml:space="preserve"> </w:t>
      </w:r>
      <w:hyperlink r:id="rId177" w:history="1">
        <w:r>
          <w:rPr>
            <w:rFonts w:ascii="arial" w:eastAsia="arial" w:hAnsi="arial" w:cs="arial"/>
            <w:i/>
            <w:color w:val="0077CC"/>
            <w:sz w:val="20"/>
            <w:u w:val="single"/>
            <w:shd w:val="clear" w:color="auto" w:fill="FFFFFF"/>
            <w:lang w:val="en-US" w:eastAsia="en-US" w:bidi="ar-SA"/>
          </w:rPr>
          <w:t>(1994), 19 B.L.R. (2d) 257</w:t>
        </w:r>
      </w:hyperlink>
      <w:r>
        <w:rPr>
          <w:rFonts w:ascii="arial" w:eastAsia="arial" w:hAnsi="arial" w:cs="arial"/>
          <w:color w:val="000000"/>
          <w:sz w:val="20"/>
          <w:lang w:val="en-US" w:eastAsia="en-US" w:bidi="ar-SA"/>
        </w:rPr>
        <w:t xml:space="preserve"> at paras. 37-38 (B.C.S.C.), Saunders J., as she then was, addressed the breach of an equitable assignment. The central issue before her was whether two individuals, the president and sole director, and the principal of two companies, respectively, were personally liable for an unpaid commission under an agency agreement. Scarth J., in earlier reasons, had concluded that a general agreement created an equitable assignment of certain sales proceeds to the extent of the sales commission that was owed by the assignor companies; </w:t>
      </w:r>
      <w:r>
        <w:rPr>
          <w:rFonts w:ascii="arial" w:eastAsia="arial" w:hAnsi="arial" w:cs="arial"/>
          <w:i/>
          <w:color w:val="000000"/>
          <w:sz w:val="20"/>
          <w:lang w:val="en-US" w:eastAsia="en-US" w:bidi="ar-SA"/>
        </w:rPr>
        <w:t>Besta</w:t>
      </w:r>
      <w:r>
        <w:rPr>
          <w:rFonts w:ascii="arial" w:eastAsia="arial" w:hAnsi="arial" w:cs="arial"/>
          <w:color w:val="000000"/>
          <w:sz w:val="20"/>
          <w:lang w:val="en-US" w:eastAsia="en-US" w:bidi="ar-SA"/>
        </w:rPr>
        <w:t xml:space="preserve"> at paras. 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xml:space="preserve">  Though Saunders J.'s analysis presumed that </w:t>
      </w:r>
      <w:r>
        <w:rPr>
          <w:rFonts w:ascii="arial" w:eastAsia="arial" w:hAnsi="arial" w:cs="arial"/>
          <w:i/>
          <w:color w:val="000000"/>
          <w:sz w:val="20"/>
          <w:lang w:val="en-US" w:eastAsia="en-US" w:bidi="ar-SA"/>
        </w:rPr>
        <w:t>Lawson Graphics</w:t>
      </w:r>
      <w:r>
        <w:rPr>
          <w:rFonts w:ascii="arial" w:eastAsia="arial" w:hAnsi="arial" w:cs="arial"/>
          <w:color w:val="000000"/>
          <w:sz w:val="20"/>
          <w:lang w:val="en-US" w:eastAsia="en-US" w:bidi="ar-SA"/>
        </w:rPr>
        <w:t xml:space="preserve"> would be determined in the same way today (at para. 37), the focus of her analysis addressed and rested on </w:t>
      </w:r>
      <w:r>
        <w:rPr>
          <w:rFonts w:ascii="arial" w:eastAsia="arial" w:hAnsi="arial" w:cs="arial"/>
          <w:i/>
          <w:color w:val="000000"/>
          <w:sz w:val="20"/>
          <w:lang w:val="en-US" w:eastAsia="en-US" w:bidi="ar-SA"/>
        </w:rPr>
        <w:t>Air Canada v. M &amp; L Travel Ltd.</w:t>
      </w:r>
      <w:r>
        <w:rPr>
          <w:rFonts w:ascii="arial" w:eastAsia="arial" w:hAnsi="arial" w:cs="arial"/>
          <w:color w:val="000000"/>
          <w:sz w:val="20"/>
          <w:lang w:val="en-US" w:eastAsia="en-US" w:bidi="ar-SA"/>
        </w:rPr>
        <w:t xml:space="preserve">, </w:t>
      </w:r>
      <w:hyperlink r:id="rId178" w:history="1">
        <w:r>
          <w:rPr>
            <w:rFonts w:ascii="arial" w:eastAsia="arial" w:hAnsi="arial" w:cs="arial"/>
            <w:i/>
            <w:color w:val="0077CC"/>
            <w:sz w:val="20"/>
            <w:u w:val="single"/>
            <w:shd w:val="clear" w:color="auto" w:fill="FFFFFF"/>
            <w:lang w:val="en-US" w:eastAsia="en-US" w:bidi="ar-SA"/>
          </w:rPr>
          <w:t>[1993] 3 S.C.R. 787</w:t>
        </w:r>
      </w:hyperlink>
      <w:r>
        <w:rPr>
          <w:rFonts w:ascii="arial" w:eastAsia="arial" w:hAnsi="arial" w:cs="arial"/>
          <w:color w:val="000000"/>
          <w:sz w:val="20"/>
          <w:lang w:val="en-US" w:eastAsia="en-US" w:bidi="ar-SA"/>
        </w:rPr>
        <w:t>. Saunders J.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27 A trust obligation clearly rests upon the trustee. Here the trustee is Watercraft. The question in the case before me is whether liability should be imposed on a third party, Mr. Seligman or Mr. Quinn, for breach by the trustee of its trust obligation, or, in the technical words of this area of law, whether a constructive trusteeship should be imposed upon a stranger to the trust. The issue of such constructive trusteeship and resulting personal liability has been considered recently in </w:t>
      </w:r>
      <w:r>
        <w:rPr>
          <w:rFonts w:ascii="arial" w:eastAsia="arial" w:hAnsi="arial" w:cs="arial"/>
          <w:i/>
          <w:color w:val="000000"/>
          <w:sz w:val="20"/>
          <w:lang w:val="en-US" w:eastAsia="en-US" w:bidi="ar-SA"/>
        </w:rPr>
        <w:t>Air Canada v. M &amp; L Travel Ltd.</w:t>
      </w:r>
      <w:r>
        <w:rPr>
          <w:rFonts w:ascii="arial" w:eastAsia="arial" w:hAnsi="arial" w:cs="arial"/>
          <w:color w:val="000000"/>
          <w:sz w:val="20"/>
          <w:lang w:val="en-US" w:eastAsia="en-US" w:bidi="ar-SA"/>
        </w:rPr>
        <w:t xml:space="preserve">, </w:t>
      </w:r>
      <w:hyperlink r:id="rId178" w:history="1">
        <w:r>
          <w:rPr>
            <w:rFonts w:ascii="arial" w:eastAsia="arial" w:hAnsi="arial" w:cs="arial"/>
            <w:i/>
            <w:color w:val="0077CC"/>
            <w:sz w:val="20"/>
            <w:u w:val="single"/>
            <w:shd w:val="clear" w:color="auto" w:fill="FFFFFF"/>
            <w:lang w:val="en-US" w:eastAsia="en-US" w:bidi="ar-SA"/>
          </w:rPr>
          <w:t>[1993] 3 S.C.R. 787</w:t>
        </w:r>
      </w:hyperlink>
      <w:r>
        <w:rPr>
          <w:rFonts w:ascii="arial" w:eastAsia="arial" w:hAnsi="arial" w:cs="arial"/>
          <w:color w:val="000000"/>
          <w:sz w:val="20"/>
          <w:lang w:val="en-US" w:eastAsia="en-US" w:bidi="ar-SA"/>
        </w:rPr>
        <w:t xml:space="preserve">, </w:t>
      </w:r>
      <w:hyperlink r:id="rId178" w:history="1">
        <w:r>
          <w:rPr>
            <w:rFonts w:ascii="arial" w:eastAsia="arial" w:hAnsi="arial" w:cs="arial"/>
            <w:i/>
            <w:color w:val="0077CC"/>
            <w:sz w:val="20"/>
            <w:u w:val="single"/>
            <w:shd w:val="clear" w:color="auto" w:fill="FFFFFF"/>
            <w:lang w:val="en-US" w:eastAsia="en-US" w:bidi="ar-SA"/>
          </w:rPr>
          <w:t>159 N.R. 1</w:t>
        </w:r>
      </w:hyperlink>
      <w:r>
        <w:rPr>
          <w:rFonts w:ascii="arial" w:eastAsia="arial" w:hAnsi="arial" w:cs="arial"/>
          <w:color w:val="000000"/>
          <w:sz w:val="20"/>
          <w:lang w:val="en-US" w:eastAsia="en-US" w:bidi="ar-SA"/>
        </w:rPr>
        <w:t>. The simple broad statement of principle underlying the judgment is described by Mr. Justice Iacobucci at p. 808 [S.C.R.]: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Whether personal liability is imposed on a stranger to a trust depends on the basic question of whether the stranger's conscience is sufficiently affected to justify the imposition of personal liability. See </w:t>
      </w:r>
      <w:r>
        <w:rPr>
          <w:rFonts w:ascii="arial" w:eastAsia="arial" w:hAnsi="arial" w:cs="arial"/>
          <w:i/>
          <w:color w:val="000000"/>
          <w:sz w:val="20"/>
          <w:lang w:val="en-US" w:eastAsia="en-US" w:bidi="ar-SA"/>
        </w:rPr>
        <w:t>In re Montagu's Settlement Trusts</w:t>
      </w:r>
      <w:r>
        <w:rPr>
          <w:rFonts w:ascii="arial" w:eastAsia="arial" w:hAnsi="arial" w:cs="arial"/>
          <w:color w:val="000000"/>
          <w:sz w:val="20"/>
          <w:lang w:val="en-US" w:eastAsia="en-US" w:bidi="ar-SA"/>
        </w:rPr>
        <w:t>, [1987] Ch. 264, at p. 285.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28 A stranger may be held liable as a constructive trustee for breach of trust in two situations, where the stranger assumes the roles and duties of the trustee (de son tort), which all parties agree is not the case here, or where he or she participates in a breach of trust. Besta's claim against Mr. Seligman and Mr. Quinn posits their participation as strangers in a breach of trust committed by Watercraft.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29 Participation in a breach of trust may occur in two ways: either the stranger personally receives the trust property or the stranger knowingly assists in the breach of trust. The first way did not occur here because neither individual defendant received the trust property in his personal capacity. This means the personal liability of Mr. Seligman and Mr. Quinn hinges on whether they knowingly assisted in Watercraft's breach of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Application of this succinct summary to the circumstances of this case gives rise to similar conclusions. Mr. Lefevre is a stranger to the breach of trust committed by Holdings, and he did not personally receive any trust property. The sales proceeds from the sale of the Property flowed, in the main, from Holdings to the Bank of Montreal, and to each of New Pismo and Embark Corp.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xml:space="preserve">  The issue is, therefore, whether Mr. Lefevre knowingly assisted in Holdings' breach of trust. Knowing assistance requires a consideration of Mr. Lefevre's degree of knowledge, as well as the nature of the breach of trust; </w:t>
      </w:r>
      <w:r>
        <w:rPr>
          <w:rFonts w:ascii="arial" w:eastAsia="arial" w:hAnsi="arial" w:cs="arial"/>
          <w:i/>
          <w:color w:val="000000"/>
          <w:sz w:val="20"/>
          <w:lang w:val="en-US" w:eastAsia="en-US" w:bidi="ar-SA"/>
        </w:rPr>
        <w:t>Air Canada</w:t>
      </w:r>
      <w:r>
        <w:rPr>
          <w:rFonts w:ascii="arial" w:eastAsia="arial" w:hAnsi="arial" w:cs="arial"/>
          <w:color w:val="000000"/>
          <w:sz w:val="20"/>
          <w:lang w:val="en-US" w:eastAsia="en-US" w:bidi="ar-SA"/>
        </w:rPr>
        <w:t xml:space="preserve"> at 811.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Besta</w:t>
      </w:r>
      <w:r>
        <w:rPr>
          <w:rFonts w:ascii="arial" w:eastAsia="arial" w:hAnsi="arial" w:cs="arial"/>
          <w:color w:val="000000"/>
          <w:sz w:val="20"/>
          <w:lang w:val="en-US" w:eastAsia="en-US" w:bidi="ar-SA"/>
        </w:rPr>
        <w:t>, Saunders J. addressed the circumstances in which a party will be liable for knowingly assisting in a breach of trust and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31 When a stranger will be held liable for knowingly assisting a breach of trust has never been clear. In </w:t>
      </w:r>
      <w:r>
        <w:rPr>
          <w:rFonts w:ascii="arial" w:eastAsia="arial" w:hAnsi="arial" w:cs="arial"/>
          <w:i/>
          <w:color w:val="000000"/>
          <w:sz w:val="20"/>
          <w:lang w:val="en-US" w:eastAsia="en-US" w:bidi="ar-SA"/>
        </w:rPr>
        <w:t>Air Canada v. M &amp; L Travel Ltd, supra</w:t>
      </w:r>
      <w:r>
        <w:rPr>
          <w:rFonts w:ascii="arial" w:eastAsia="arial" w:hAnsi="arial" w:cs="arial"/>
          <w:color w:val="000000"/>
          <w:sz w:val="20"/>
          <w:lang w:val="en-US" w:eastAsia="en-US" w:bidi="ar-SA"/>
        </w:rPr>
        <w:t>, Mr. Justice Iacobucci discussed the requirements for the imposition of liability on a stranger to the trust, organizing the issues where knowingly assisting a breach of trust is claimed into two main issues, the degree of knowledge of the stranger and the nature of the breach. The degree of knowledge of the stranger relates both to knowledge of the trust and knowledge of the breach. On this Mr. Justice Iacobucci held that actual knowledge or recklessness or wilful blindness will suffice, and said, at p. 812:</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Whether the trust is created by statute or by contract may have an impact on the question of the stranger's knowledge of the trust. If the trust was imposed by statute, then he or she will be deemed to have known about it. If the trust was contractually created, then whether the stranger knew of the trust will depend upon his or her familiarity or involvement with the contract.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If the stranger received a benefit as a result of the breach of trust, this may ground an inference that the stranger knew of the breach. ... The receipt of a benefit will be neither a sufficient nor a necessary condition for the drawing of such an inference.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reason for excluding constructive knowledge (that is, knowledge of circumstances which would indicate the facts to an honest person, or knowledge of facts which would put an honest person on inquiry) was discussed in </w:t>
      </w:r>
      <w:r>
        <w:rPr>
          <w:rFonts w:ascii="arial" w:eastAsia="arial" w:hAnsi="arial" w:cs="arial"/>
          <w:i/>
          <w:color w:val="000000"/>
          <w:sz w:val="20"/>
          <w:lang w:val="en-US" w:eastAsia="en-US" w:bidi="ar-SA"/>
        </w:rPr>
        <w:t>In re Montagu's Settlement Trusts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at pp. 271-273, 275-285. Megarry, V.C. held at p. 255, that constructive notice was insufficient to bind the stranger's conscience so as to give rise to personal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xml:space="preserve">  The issue of a party's knowledge of a trust, and of the breach of that trust, was also addressed in </w:t>
      </w:r>
      <w:r>
        <w:rPr>
          <w:rFonts w:ascii="arial" w:eastAsia="arial" w:hAnsi="arial" w:cs="arial"/>
          <w:i/>
          <w:color w:val="000000"/>
          <w:sz w:val="20"/>
          <w:lang w:val="en-US" w:eastAsia="en-US" w:bidi="ar-SA"/>
        </w:rPr>
        <w:t>South Coast British Columbia Transit Authority v. 307527 B.C. Ltd.</w:t>
      </w:r>
      <w:r>
        <w:rPr>
          <w:rFonts w:ascii="arial" w:eastAsia="arial" w:hAnsi="arial" w:cs="arial"/>
          <w:color w:val="000000"/>
          <w:sz w:val="20"/>
          <w:lang w:val="en-US" w:eastAsia="en-US" w:bidi="ar-SA"/>
        </w:rPr>
        <w:t xml:space="preserve">, </w:t>
      </w:r>
      <w:hyperlink r:id="rId179" w:history="1">
        <w:r>
          <w:rPr>
            <w:rFonts w:ascii="arial" w:eastAsia="arial" w:hAnsi="arial" w:cs="arial"/>
            <w:i/>
            <w:color w:val="0077CC"/>
            <w:sz w:val="20"/>
            <w:u w:val="single"/>
            <w:shd w:val="clear" w:color="auto" w:fill="FFFFFF"/>
            <w:lang w:val="en-US" w:eastAsia="en-US" w:bidi="ar-SA"/>
          </w:rPr>
          <w:t>2008 BCSC 638</w:t>
        </w:r>
      </w:hyperlink>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South Coast</w:t>
      </w:r>
      <w:r>
        <w:rPr>
          <w:rFonts w:ascii="arial" w:eastAsia="arial" w:hAnsi="arial" w:cs="arial"/>
          <w:color w:val="000000"/>
          <w:sz w:val="20"/>
          <w:lang w:val="en-US" w:eastAsia="en-US" w:bidi="ar-SA"/>
        </w:rPr>
        <w:t>, McEwan J. determined that the plaintiff Translink was in a relationship of trust with the defendant corporation, and that the defendant corporation had breached its trust obligations in failing to remit funds as required. A further question was the personal liability of the sole director of the defendant corporation for that breach. McEwan J.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[26] Translink submits that Mr. Rawji, as the director of a company in breach of its trust obligations, is liable as a "constructive trustee". A director is not automatically liable for a breach of trust committed by a company. He may become so if he takes it upon himself to act as a trustee and to administer trust property and /or he may become liable if it can be shown that he has "knowingly assisted" in a breach of trust.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[31] In a claim respecting "knowing assistance," it may be presumed that a director knows the terms of an agreement he signs on behalf of a company (see: </w:t>
      </w:r>
      <w:r>
        <w:rPr>
          <w:rFonts w:ascii="arial" w:eastAsia="arial" w:hAnsi="arial" w:cs="arial"/>
          <w:i/>
          <w:color w:val="000000"/>
          <w:sz w:val="20"/>
          <w:lang w:val="en-US" w:eastAsia="en-US" w:bidi="ar-SA"/>
        </w:rPr>
        <w:t>Besta International Corp. v. Watercraft Offshore Canada Ltd</w:t>
      </w:r>
      <w:r>
        <w:rPr>
          <w:rFonts w:ascii="arial" w:eastAsia="arial" w:hAnsi="arial" w:cs="arial"/>
          <w:b/>
          <w:color w:val="000000"/>
          <w:sz w:val="20"/>
          <w:lang w:val="en-US" w:eastAsia="en-US" w:bidi="ar-SA"/>
        </w:rPr>
        <w:t>.</w:t>
      </w:r>
      <w:r>
        <w:rPr>
          <w:rFonts w:ascii="arial" w:eastAsia="arial" w:hAnsi="arial" w:cs="arial"/>
          <w:color w:val="000000"/>
          <w:sz w:val="20"/>
          <w:lang w:val="en-US" w:eastAsia="en-US" w:bidi="ar-SA"/>
        </w:rPr>
        <w:t xml:space="preserve">, </w:t>
      </w:r>
      <w:hyperlink r:id="rId177" w:history="1">
        <w:r>
          <w:rPr>
            <w:rFonts w:ascii="arial" w:eastAsia="arial" w:hAnsi="arial" w:cs="arial"/>
            <w:i/>
            <w:color w:val="0077CC"/>
            <w:sz w:val="20"/>
            <w:u w:val="single"/>
            <w:shd w:val="clear" w:color="auto" w:fill="FFFFFF"/>
            <w:lang w:val="en-US" w:eastAsia="en-US" w:bidi="ar-SA"/>
          </w:rPr>
          <w:t>[1994] B.C.J. No. 2854</w:t>
        </w:r>
      </w:hyperlink>
      <w:r>
        <w:rPr>
          <w:rFonts w:ascii="arial" w:eastAsia="arial" w:hAnsi="arial" w:cs="arial"/>
          <w:color w:val="000000"/>
          <w:sz w:val="20"/>
          <w:lang w:val="en-US" w:eastAsia="en-US" w:bidi="ar-SA"/>
        </w:rPr>
        <w:t xml:space="preserve"> at para. 33 (S.C.)). This is particularly so, of course, where the corporation is closely held. In </w:t>
      </w:r>
      <w:r>
        <w:rPr>
          <w:rFonts w:ascii="arial" w:eastAsia="arial" w:hAnsi="arial" w:cs="arial"/>
          <w:i/>
          <w:color w:val="000000"/>
          <w:sz w:val="20"/>
          <w:lang w:val="en-US" w:eastAsia="en-US" w:bidi="ar-SA"/>
        </w:rPr>
        <w:t>Air Canada v. M &amp; L Travel Ltd.</w:t>
      </w:r>
      <w:r>
        <w:rPr>
          <w:rFonts w:ascii="arial" w:eastAsia="arial" w:hAnsi="arial" w:cs="arial"/>
          <w:color w:val="000000"/>
          <w:sz w:val="20"/>
          <w:lang w:val="en-US" w:eastAsia="en-US" w:bidi="ar-SA"/>
        </w:rPr>
        <w:t xml:space="preserve">, </w:t>
      </w:r>
      <w:hyperlink r:id="rId178" w:history="1">
        <w:r>
          <w:rPr>
            <w:rFonts w:ascii="arial" w:eastAsia="arial" w:hAnsi="arial" w:cs="arial"/>
            <w:i/>
            <w:color w:val="0077CC"/>
            <w:sz w:val="20"/>
            <w:u w:val="single"/>
            <w:shd w:val="clear" w:color="auto" w:fill="FFFFFF"/>
            <w:lang w:val="en-US" w:eastAsia="en-US" w:bidi="ar-SA"/>
          </w:rPr>
          <w:t>[1993] 3 S.C.R. 787</w:t>
        </w:r>
      </w:hyperlink>
      <w:r>
        <w:rPr>
          <w:rFonts w:ascii="arial" w:eastAsia="arial" w:hAnsi="arial" w:cs="arial"/>
          <w:color w:val="000000"/>
          <w:sz w:val="20"/>
          <w:lang w:val="en-US" w:eastAsia="en-US" w:bidi="ar-SA"/>
        </w:rPr>
        <w:t xml:space="preserve"> at para. 62, Iacobucci J. observed: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With respect to the knowledge requirement, this will not generally be a difficult hurdle to overcome in cases involving directors of closely held corporations. Such directors, if active, usually have knowledge of all of the actions of the corporate trustee.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[32] Mr. Rawji signed the agreement that bound 307 to a trust respecting the fare materials and proceeds. Inasmuch as 307 could only act through his agency, he had personal knowledge of its obligations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The foregoing comments are apposite. It can be presumed that Mr. Lefevre knew the terms of the Listing Agreement he had signed on behalf of Holdings. That presumption is enhanced by the fact that Mr. Lefevre was himself a licenced real-estate agent and would have more familiarity with the terms of the Listing Agreement, in part a standard form document, than the average person. I am satisfied that Mr. Lefevre had personal knowledge of the Listing Agreement, of cl. 6 and of Holdings' obligations.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xml:space="preserve">  Conversely, some of the factual concerns considered by Saunders J. in </w:t>
      </w:r>
      <w:r>
        <w:rPr>
          <w:rFonts w:ascii="arial" w:eastAsia="arial" w:hAnsi="arial" w:cs="arial"/>
          <w:i/>
          <w:color w:val="000000"/>
          <w:sz w:val="20"/>
          <w:lang w:val="en-US" w:eastAsia="en-US" w:bidi="ar-SA"/>
        </w:rPr>
        <w:t>Besta</w:t>
      </w:r>
      <w:r>
        <w:rPr>
          <w:rFonts w:ascii="arial" w:eastAsia="arial" w:hAnsi="arial" w:cs="arial"/>
          <w:color w:val="000000"/>
          <w:sz w:val="20"/>
          <w:lang w:val="en-US" w:eastAsia="en-US" w:bidi="ar-SA"/>
        </w:rPr>
        <w:t xml:space="preserve"> do not pertain. Thus, at para. 34, Saunders J. noted that, in that case, the agreement neither specified that the commission was required to be paid from certain funds, nor did it specify the amounts to be held in trust. Here cl. 6A is explicit as to the amount in issue and to the requirement that the Commission is to be paid from "the proceeds of sale of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xml:space="preserve">  The last component of the analysis in </w:t>
      </w:r>
      <w:r>
        <w:rPr>
          <w:rFonts w:ascii="arial" w:eastAsia="arial" w:hAnsi="arial" w:cs="arial"/>
          <w:i/>
          <w:color w:val="000000"/>
          <w:sz w:val="20"/>
          <w:lang w:val="en-US" w:eastAsia="en-US" w:bidi="ar-SA"/>
        </w:rPr>
        <w:t>Air Canada</w:t>
      </w:r>
      <w:r>
        <w:rPr>
          <w:rFonts w:ascii="arial" w:eastAsia="arial" w:hAnsi="arial" w:cs="arial"/>
          <w:color w:val="000000"/>
          <w:sz w:val="20"/>
          <w:lang w:val="en-US" w:eastAsia="en-US" w:bidi="ar-SA"/>
        </w:rPr>
        <w:t xml:space="preserve"> requires identification of the nature of the breach of trust. Saunders J., in </w:t>
      </w:r>
      <w:r>
        <w:rPr>
          <w:rFonts w:ascii="arial" w:eastAsia="arial" w:hAnsi="arial" w:cs="arial"/>
          <w:i/>
          <w:color w:val="000000"/>
          <w:sz w:val="20"/>
          <w:lang w:val="en-US" w:eastAsia="en-US" w:bidi="ar-SA"/>
        </w:rPr>
        <w:t>Besta</w:t>
      </w:r>
      <w:r>
        <w:rPr>
          <w:rFonts w:ascii="arial" w:eastAsia="arial" w:hAnsi="arial" w:cs="arial"/>
          <w:color w:val="000000"/>
          <w:sz w:val="20"/>
          <w:lang w:val="en-US" w:eastAsia="en-US" w:bidi="ar-SA"/>
        </w:rPr>
        <w:t>, addressed this issue in the following terms: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32 On the issue of the nature of the breach of trust, Mr. Justice Iacobucci discussed two lines of authority, the first following </w:t>
      </w:r>
      <w:r>
        <w:rPr>
          <w:rFonts w:ascii="arial" w:eastAsia="arial" w:hAnsi="arial" w:cs="arial"/>
          <w:i/>
          <w:color w:val="000000"/>
          <w:sz w:val="20"/>
          <w:lang w:val="en-US" w:eastAsia="en-US" w:bidi="ar-SA"/>
        </w:rPr>
        <w:t>Barnes v. Addy</w:t>
      </w:r>
      <w:r>
        <w:rPr>
          <w:rFonts w:ascii="arial" w:eastAsia="arial" w:hAnsi="arial" w:cs="arial"/>
          <w:color w:val="000000"/>
          <w:sz w:val="20"/>
          <w:lang w:val="en-US" w:eastAsia="en-US" w:bidi="ar-SA"/>
        </w:rPr>
        <w:t xml:space="preserve"> (1874), 9 Ch. App. 244 (L.C. and L.JJ.), which requires participation by the stranger in a dishonest and fraudulent design, and the second, including cases such as </w:t>
      </w:r>
      <w:r>
        <w:rPr>
          <w:rFonts w:ascii="arial" w:eastAsia="arial" w:hAnsi="arial" w:cs="arial"/>
          <w:i/>
          <w:color w:val="000000"/>
          <w:sz w:val="20"/>
          <w:lang w:val="en-US" w:eastAsia="en-US" w:bidi="ar-SA"/>
        </w:rPr>
        <w:t>Horsman Brothers Holdings Ltd. v. Panton</w:t>
      </w:r>
      <w:r>
        <w:rPr>
          <w:rFonts w:ascii="arial" w:eastAsia="arial" w:hAnsi="arial" w:cs="arial"/>
          <w:color w:val="000000"/>
          <w:sz w:val="20"/>
          <w:lang w:val="en-US" w:eastAsia="en-US" w:bidi="ar-SA"/>
        </w:rPr>
        <w:t xml:space="preserve">, </w:t>
      </w:r>
      <w:hyperlink r:id="rId180" w:history="1">
        <w:r>
          <w:rPr>
            <w:rFonts w:ascii="arial" w:eastAsia="arial" w:hAnsi="arial" w:cs="arial"/>
            <w:i/>
            <w:color w:val="0077CC"/>
            <w:sz w:val="20"/>
            <w:u w:val="single"/>
            <w:shd w:val="clear" w:color="auto" w:fill="FFFFFF"/>
            <w:lang w:val="en-US" w:eastAsia="en-US" w:bidi="ar-SA"/>
          </w:rPr>
          <w:t>[1976] 3 W.W.R. 745</w:t>
        </w:r>
      </w:hyperlink>
      <w:r>
        <w:rPr>
          <w:rFonts w:ascii="arial" w:eastAsia="arial" w:hAnsi="arial" w:cs="arial"/>
          <w:color w:val="000000"/>
          <w:sz w:val="20"/>
          <w:lang w:val="en-US" w:eastAsia="en-US" w:bidi="ar-SA"/>
        </w:rPr>
        <w:t xml:space="preserve"> (B.C. S.C.) which holds that an innocent breach of trust may be sufficient to attach personal liability. Mr. Justice Iacobucci concluded, at pp. 825-826:</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must be remembered that it is the nature of the breach of trust that is under consideration at this point in the analysis, rather than the intent or knowledge of the stranger to the trust. That is, the issue here is whether the breach of trust was fraudulent and dishonest, not whether the appellant's actions should be so characterized. </w:t>
      </w:r>
      <w:r>
        <w:rPr>
          <w:rFonts w:ascii="arial" w:eastAsia="arial" w:hAnsi="arial" w:cs="arial"/>
          <w:i/>
          <w:color w:val="000000"/>
          <w:sz w:val="20"/>
          <w:lang w:val="en-US" w:eastAsia="en-US" w:bidi="ar-SA"/>
        </w:rPr>
        <w:t>Barnes v. Addy</w:t>
      </w:r>
      <w:r>
        <w:rPr>
          <w:rFonts w:ascii="arial" w:eastAsia="arial" w:hAnsi="arial" w:cs="arial"/>
          <w:color w:val="000000"/>
          <w:sz w:val="20"/>
          <w:lang w:val="en-US" w:eastAsia="en-US" w:bidi="ar-SA"/>
        </w:rPr>
        <w:t xml:space="preserve"> clearly states that the stranger will be liable if he or she knowingly assisted the </w:t>
      </w:r>
      <w:r>
        <w:rPr>
          <w:rFonts w:ascii="arial" w:eastAsia="arial" w:hAnsi="arial" w:cs="arial"/>
          <w:i/>
          <w:color w:val="000000"/>
          <w:sz w:val="20"/>
          <w:lang w:val="en-US" w:eastAsia="en-US" w:bidi="ar-SA"/>
        </w:rPr>
        <w:t>trustee</w:t>
      </w:r>
      <w:r>
        <w:rPr>
          <w:rFonts w:ascii="arial" w:eastAsia="arial" w:hAnsi="arial" w:cs="arial"/>
          <w:color w:val="000000"/>
          <w:sz w:val="20"/>
          <w:lang w:val="en-US" w:eastAsia="en-US" w:bidi="ar-SA"/>
        </w:rPr>
        <w:t xml:space="preserve"> in a fraudulent and dishonest breach of trust. Therefore, it is the corporation's actions which must be examined. The appellant's actions will also be relevant to this examination, given the extent to which M and L was controlled by the defendant directors. The appellant's conduct will be more directly scrutinized when the issue of knowledge is under consideration. It is unnecessary, therefore, to find that the appellant himself acted in bad faith or dishonestly.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Where the trustee is a corporation, rather than an individual, the inquiry as to whether the breach of trust was dishonest and fraudulent may be more difficult to conceptualize, because the corporation can only act through human agents who are often the strangers to the trust whose liability is in issue. ... I would therefore "take as a relevant description of fraud 'the taking of a risk to the prejudice of another's rights, which risk is known to be one which there is no right to take'." In my opinion, this standard best accords with the basic rationale for the imposition of personal liability on a stranger to a trust which was enunciated in </w:t>
      </w:r>
      <w:r>
        <w:rPr>
          <w:rFonts w:ascii="arial" w:eastAsia="arial" w:hAnsi="arial" w:cs="arial"/>
          <w:i/>
          <w:color w:val="000000"/>
          <w:sz w:val="20"/>
          <w:lang w:val="en-US" w:eastAsia="en-US" w:bidi="ar-SA"/>
        </w:rPr>
        <w:t>In re Montagu's Settlement Trusts</w:t>
      </w:r>
      <w:r>
        <w:rPr>
          <w:rFonts w:ascii="arial" w:eastAsia="arial" w:hAnsi="arial" w:cs="arial"/>
          <w:color w:val="000000"/>
          <w:sz w:val="20"/>
          <w:lang w:val="en-US" w:eastAsia="en-US" w:bidi="ar-SA"/>
        </w:rPr>
        <w:t>, supra, namely, whether the stranger's conscience is sufficiently affected to justify the imposition of personal liability. In that respect, the taking of a knowingly wrongful risk resulting in prejudice to the beneficiary is sufficient to ground personal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In the circumstances of this case, Holdings, under the direction of Mr. Lefevre, committed a dishonest and fraudulent breach, in the sense that it took a risk, to the prejudice of Coast, which it and Mr. Lefevre knew it had no right to take.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xml:space="preserve">  This aspect of the test emerging from Air Canada has now been applied numerous times in numerous contexts. In </w:t>
      </w:r>
      <w:r>
        <w:rPr>
          <w:rFonts w:ascii="arial" w:eastAsia="arial" w:hAnsi="arial" w:cs="arial"/>
          <w:i/>
          <w:color w:val="000000"/>
          <w:sz w:val="20"/>
          <w:lang w:val="en-US" w:eastAsia="en-US" w:bidi="ar-SA"/>
        </w:rPr>
        <w:t>Besta</w:t>
      </w:r>
      <w:r>
        <w:rPr>
          <w:rFonts w:ascii="arial" w:eastAsia="arial" w:hAnsi="arial" w:cs="arial"/>
          <w:color w:val="000000"/>
          <w:sz w:val="20"/>
          <w:lang w:val="en-US" w:eastAsia="en-US" w:bidi="ar-SA"/>
        </w:rPr>
        <w:t>, Saunders J.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34 In this case, the trust flowed not from express trust terms in a document, or from a statute, but rather from operation of the rules of equity.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36 For completeness, I shall address the issue of the nature of the breach of trust by Watercraft. </w:t>
      </w:r>
      <w:r>
        <w:rPr>
          <w:rFonts w:ascii="arial" w:eastAsia="arial" w:hAnsi="arial" w:cs="arial"/>
          <w:i/>
          <w:color w:val="000000"/>
          <w:sz w:val="20"/>
          <w:lang w:val="en-US" w:eastAsia="en-US" w:bidi="ar-SA"/>
        </w:rPr>
        <w:t>Air Canada v. M and L Travel Ltd</w:t>
      </w:r>
      <w:r>
        <w:rPr>
          <w:rFonts w:ascii="arial" w:eastAsia="arial" w:hAnsi="arial" w:cs="arial"/>
          <w:color w:val="000000"/>
          <w:sz w:val="20"/>
          <w:lang w:val="en-US" w:eastAsia="en-US" w:bidi="ar-SA"/>
        </w:rPr>
        <w:t xml:space="preserve">., supra, sets the test as" 'the taking of a risk to the prejudice of another's rights, which risk is known to be one which there is no right to take'." This standard appears to be less than that set out in </w:t>
      </w:r>
      <w:r>
        <w:rPr>
          <w:rFonts w:ascii="arial" w:eastAsia="arial" w:hAnsi="arial" w:cs="arial"/>
          <w:i/>
          <w:color w:val="000000"/>
          <w:sz w:val="20"/>
          <w:lang w:val="en-US" w:eastAsia="en-US" w:bidi="ar-SA"/>
        </w:rPr>
        <w:t>Barnes v. Addy</w:t>
      </w:r>
      <w:r>
        <w:rPr>
          <w:rFonts w:ascii="arial" w:eastAsia="arial" w:hAnsi="arial" w:cs="arial"/>
          <w:color w:val="000000"/>
          <w:sz w:val="20"/>
          <w:lang w:val="en-US" w:eastAsia="en-US" w:bidi="ar-SA"/>
        </w:rPr>
        <w:t xml:space="preserve">, supra, dishonest or fraudulent conduct, but higher than set out in </w:t>
      </w:r>
      <w:r>
        <w:rPr>
          <w:rFonts w:ascii="arial" w:eastAsia="arial" w:hAnsi="arial" w:cs="arial"/>
          <w:i/>
          <w:color w:val="000000"/>
          <w:sz w:val="20"/>
          <w:lang w:val="en-US" w:eastAsia="en-US" w:bidi="ar-SA"/>
        </w:rPr>
        <w:t>Horsman Brothers</w:t>
      </w:r>
      <w:r>
        <w:rPr>
          <w:rFonts w:ascii="arial" w:eastAsia="arial" w:hAnsi="arial" w:cs="arial"/>
          <w:color w:val="000000"/>
          <w:sz w:val="20"/>
          <w:lang w:val="en-US" w:eastAsia="en-US" w:bidi="ar-SA"/>
        </w:rPr>
        <w:t>, supra, mere innocent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xml:space="preserve">  Saunders J., as I have said, ultimately decided that the defendant directors were not liable for breach of trust, in part, because they were "innocent of the knowledge of the existence of the trust, and innocent as to the risk to which it put Besta's commission"; </w:t>
      </w:r>
      <w:r>
        <w:rPr>
          <w:rFonts w:ascii="arial" w:eastAsia="arial" w:hAnsi="arial" w:cs="arial"/>
          <w:i/>
          <w:color w:val="000000"/>
          <w:sz w:val="20"/>
          <w:lang w:val="en-US" w:eastAsia="en-US" w:bidi="ar-SA"/>
        </w:rPr>
        <w:t>Besta</w:t>
      </w:r>
      <w:r>
        <w:rPr>
          <w:rFonts w:ascii="arial" w:eastAsia="arial" w:hAnsi="arial" w:cs="arial"/>
          <w:color w:val="000000"/>
          <w:sz w:val="20"/>
          <w:lang w:val="en-US" w:eastAsia="en-US" w:bidi="ar-SA"/>
        </w:rPr>
        <w:t xml:space="preserve"> at para. 38.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Glenko Enterprises Ltd. v. Keller</w:t>
      </w:r>
      <w:r>
        <w:rPr>
          <w:rFonts w:ascii="arial" w:eastAsia="arial" w:hAnsi="arial" w:cs="arial"/>
          <w:color w:val="000000"/>
          <w:sz w:val="20"/>
          <w:lang w:val="en-US" w:eastAsia="en-US" w:bidi="ar-SA"/>
        </w:rPr>
        <w:t xml:space="preserve">, </w:t>
      </w:r>
      <w:hyperlink r:id="rId181" w:history="1">
        <w:r>
          <w:rPr>
            <w:rFonts w:ascii="arial" w:eastAsia="arial" w:hAnsi="arial" w:cs="arial"/>
            <w:i/>
            <w:color w:val="0077CC"/>
            <w:sz w:val="20"/>
            <w:u w:val="single"/>
            <w:shd w:val="clear" w:color="auto" w:fill="FFFFFF"/>
            <w:lang w:val="en-US" w:eastAsia="en-US" w:bidi="ar-SA"/>
          </w:rPr>
          <w:t>2000 MBCA 7</w:t>
        </w:r>
      </w:hyperlink>
      <w:r>
        <w:rPr>
          <w:rFonts w:ascii="arial" w:eastAsia="arial" w:hAnsi="arial" w:cs="arial"/>
          <w:color w:val="000000"/>
          <w:sz w:val="20"/>
          <w:lang w:val="en-US" w:eastAsia="en-US" w:bidi="ar-SA"/>
        </w:rPr>
        <w:t>, Huband J.A. said, in a concurring majority opinion: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71 It may well be that the simple act of depositing trust funds into a general account would not constitute the taking of a risk, which risk was known to be one which there was no right to take. Where the general account is not overdrawn, and where the contractor does not use the trust funds for other purposes, but rather pays the beneficiaries their entitlement without delay, it might well be concluded that there was little risk, and whatever risk was involved was one which the trustee was entitled to take under the circumstances. But the circumstances in the present case suggest that the risks were high and that Keller Contractors had no right to take such a risk.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78 It was argued that as a director of a corporation, Ernst Keller should not be held liable for the acts and omissions of the corporation. The present action, however, does not seek to hold the defendant Ernst Keller liable because he happens to be a director of the corporate trustee, but because he facilitated or assisted in the breach of trust. He is not sued in his capacity as a director, but rather as a person who intermeddled in a breach of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British Columbia v. D'Sena</w:t>
      </w:r>
      <w:r>
        <w:rPr>
          <w:rFonts w:ascii="arial" w:eastAsia="arial" w:hAnsi="arial" w:cs="arial"/>
          <w:color w:val="000000"/>
          <w:sz w:val="20"/>
          <w:lang w:val="en-US" w:eastAsia="en-US" w:bidi="ar-SA"/>
        </w:rPr>
        <w:t xml:space="preserve"> </w:t>
      </w:r>
      <w:hyperlink r:id="rId182" w:history="1">
        <w:r>
          <w:rPr>
            <w:rFonts w:ascii="arial" w:eastAsia="arial" w:hAnsi="arial" w:cs="arial"/>
            <w:i/>
            <w:color w:val="0077CC"/>
            <w:sz w:val="20"/>
            <w:u w:val="single"/>
            <w:shd w:val="clear" w:color="auto" w:fill="FFFFFF"/>
            <w:lang w:val="en-US" w:eastAsia="en-US" w:bidi="ar-SA"/>
          </w:rPr>
          <w:t>(1995), 56 B.C.A.C. 238</w:t>
        </w:r>
      </w:hyperlink>
      <w:r>
        <w:rPr>
          <w:rFonts w:ascii="arial" w:eastAsia="arial" w:hAnsi="arial" w:cs="arial"/>
          <w:color w:val="000000"/>
          <w:sz w:val="20"/>
          <w:lang w:val="en-US" w:eastAsia="en-US" w:bidi="ar-SA"/>
        </w:rPr>
        <w:t>, Finch J.A., as he then was and for the court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 By this definition of fraud, the test is whether M.D.B. took a risk to the Crown's prejudice knowing that it had no right to take such a risk. This was proven to the satisfaction of the Chambers judge. He said: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"Notwithstanding the provisions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monies were withdrawn from time to time from the company by the defendant for his own purposes. The amount withdrawn was approximately $40,000. At all material times the defendant knew that the corporation was collecting tax, that it was required to remit that tax and that the corporation was not remitting the required taxes. Returns were remitted to the plaintiff indicating no sales having been made by the corporation when in fact sales had been made and tax collected. The corporation ceased operations in 1989."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 As to the element of the defendant's knowledge Mr. Justice Iacobucci said this (at p.827 (S.C.R.)) in </w:t>
      </w:r>
      <w:r>
        <w:rPr>
          <w:rFonts w:ascii="arial" w:eastAsia="arial" w:hAnsi="arial" w:cs="arial"/>
          <w:i/>
          <w:color w:val="000000"/>
          <w:sz w:val="20"/>
          <w:lang w:val="en-US" w:eastAsia="en-US" w:bidi="ar-SA"/>
        </w:rPr>
        <w:t>Air Canada</w:t>
      </w: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"With respect to the knowledge requirement, this will not generally be a difficult hurdle to overcome in cases involving directors of closely held corporations. Such directors, if active, usually have knowledge of all of the actions of the corporate trustee."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Here the learned chambers judge found that the defendant was the operating mind of M.D.B., and was entirely responsible for the day to day operations of M.D.B., at all times when it was collecting sales tax. Proof of fraudulent or dishonest intent on the defendant's part is not required. What he did after the breach of trust occurred cannot alter the nature of that breach.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xml:space="preserve">  Finally, in </w:t>
      </w:r>
      <w:r>
        <w:rPr>
          <w:rFonts w:ascii="arial" w:eastAsia="arial" w:hAnsi="arial" w:cs="arial"/>
          <w:i/>
          <w:color w:val="000000"/>
          <w:sz w:val="20"/>
          <w:lang w:val="en-US" w:eastAsia="en-US" w:bidi="ar-SA"/>
        </w:rPr>
        <w:t>Black v. Barkley Capital Corporation,</w:t>
      </w:r>
      <w:r>
        <w:rPr>
          <w:rFonts w:ascii="arial" w:eastAsia="arial" w:hAnsi="arial" w:cs="arial"/>
          <w:color w:val="000000"/>
          <w:sz w:val="20"/>
          <w:lang w:val="en-US" w:eastAsia="en-US" w:bidi="ar-SA"/>
        </w:rPr>
        <w:t xml:space="preserve"> </w:t>
      </w:r>
      <w:hyperlink r:id="rId183" w:history="1">
        <w:r>
          <w:rPr>
            <w:rFonts w:ascii="arial" w:eastAsia="arial" w:hAnsi="arial" w:cs="arial"/>
            <w:i/>
            <w:color w:val="0077CC"/>
            <w:sz w:val="20"/>
            <w:u w:val="single"/>
            <w:shd w:val="clear" w:color="auto" w:fill="FFFFFF"/>
            <w:lang w:val="en-US" w:eastAsia="en-US" w:bidi="ar-SA"/>
          </w:rPr>
          <w:t>2011 BCSC 6</w:t>
        </w:r>
      </w:hyperlink>
      <w:r>
        <w:rPr>
          <w:rFonts w:ascii="arial" w:eastAsia="arial" w:hAnsi="arial" w:cs="arial"/>
          <w:color w:val="000000"/>
          <w:sz w:val="20"/>
          <w:lang w:val="en-US" w:eastAsia="en-US" w:bidi="ar-SA"/>
        </w:rPr>
        <w:t>, Adair J. held that using the proceeds from the sale of shares held under trust, in a manner not permitted by the trust, amounted to taking a "risk to the prejudice of another's rights":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[66] The breach of trust must be dishonest or fraudulent, although all that is required to prove dishonesty or fraud is that the trustee took a risk to the prejudice of another's rights, which risk is known to be one which there is no right to take: see </w:t>
      </w:r>
      <w:r>
        <w:rPr>
          <w:rFonts w:ascii="arial" w:eastAsia="arial" w:hAnsi="arial" w:cs="arial"/>
          <w:i/>
          <w:color w:val="000000"/>
          <w:sz w:val="20"/>
          <w:lang w:val="en-US" w:eastAsia="en-US" w:bidi="ar-SA"/>
        </w:rPr>
        <w:t>Air Canada,</w:t>
      </w:r>
      <w:r>
        <w:rPr>
          <w:rFonts w:ascii="arial" w:eastAsia="arial" w:hAnsi="arial" w:cs="arial"/>
          <w:color w:val="000000"/>
          <w:sz w:val="20"/>
          <w:lang w:val="en-US" w:eastAsia="en-US" w:bidi="ar-SA"/>
        </w:rPr>
        <w:t xml:space="preserve"> at p. 826. The focus is on the trustee's conduct, and it is not therefore necessary to prove that Mr. Babcook acted in bad faith or dishonestly: see </w:t>
      </w:r>
      <w:r>
        <w:rPr>
          <w:rFonts w:ascii="arial" w:eastAsia="arial" w:hAnsi="arial" w:cs="arial"/>
          <w:i/>
          <w:color w:val="000000"/>
          <w:sz w:val="20"/>
          <w:lang w:val="en-US" w:eastAsia="en-US" w:bidi="ar-SA"/>
        </w:rPr>
        <w:t>Air Canada</w:t>
      </w:r>
      <w:r>
        <w:rPr>
          <w:rFonts w:ascii="arial" w:eastAsia="arial" w:hAnsi="arial" w:cs="arial"/>
          <w:color w:val="000000"/>
          <w:sz w:val="20"/>
          <w:lang w:val="en-US" w:eastAsia="en-US" w:bidi="ar-SA"/>
        </w:rPr>
        <w:t>, at p. 825.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[67] Here, as a party to the Agreement, and as the sender of the February 8, 2002 letter expressly acknowledging Mr. Black's beneficial interest in the Viasafe shares, </w:t>
      </w:r>
      <w:r>
        <w:rPr>
          <w:rFonts w:ascii="arial" w:eastAsia="arial" w:hAnsi="arial" w:cs="arial"/>
          <w:i/>
          <w:color w:val="000000"/>
          <w:sz w:val="20"/>
          <w:lang w:val="en-US" w:eastAsia="en-US" w:bidi="ar-SA"/>
        </w:rPr>
        <w:t>Barkley</w:t>
      </w:r>
      <w:r>
        <w:rPr>
          <w:rFonts w:ascii="arial" w:eastAsia="arial" w:hAnsi="arial" w:cs="arial"/>
          <w:color w:val="000000"/>
          <w:sz w:val="20"/>
          <w:lang w:val="en-US" w:eastAsia="en-US" w:bidi="ar-SA"/>
        </w:rPr>
        <w:t xml:space="preserve"> knew that it was holding a portion of the Viasafe shares in trust for Mr. Black and could only deal with that portion subject to its obligations as trustee. Nothing changed with respect to those obligations when the shares were converted to cash in 2006. Barkley was not permitted to use that money for any purpose inconsistent with its obligations as Mr. Black's trustee. I infer from both the absence of any explanation from Mr. Babcook about what was done with the money and Mr. Black's and Mr. Babcook's evidence that nothing has been paid to Mr. Black that, in fact, Barkley has used the money in a manner not permitted by the trust and in breach of trust. It therefore took a risk with that property, to the prejudice of Mr. Black's rights, which Barkley knew there was no right to take. Accordingly, the breach of trust by Barkley was dishonest and fraudulent from an equitable standpoint.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The foregoing decisions give rise to the following conclusions. The Commission had been irrevocably assigned to Coast. Mr. Lefevre knew of the assignment. There was no principled basis, in light of this obligation, for Mr. Lefevre to pay out the whole of the sales proceeds from the sale of the Property to various third parties. It was known to Mr. Lefevre that Holdings had no other assets and that Coast's rights would be prejudiced if the proceeds from the sale of the Property were fully dispersed.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xml:space="preserve">  Finally, in response to this aspect of the analysis, counsel for Mr. Lefevre argues that, though Coast may not have breached the terms of the Listing Agreement, Mr. Lefevre, </w:t>
      </w:r>
      <w:r>
        <w:rPr>
          <w:rFonts w:ascii="arial" w:eastAsia="arial" w:hAnsi="arial" w:cs="arial"/>
          <w:i/>
          <w:color w:val="000000"/>
          <w:sz w:val="20"/>
          <w:lang w:val="en-US" w:eastAsia="en-US" w:bidi="ar-SA"/>
        </w:rPr>
        <w:t>bona fide,</w:t>
      </w:r>
      <w:r>
        <w:rPr>
          <w:rFonts w:ascii="arial" w:eastAsia="arial" w:hAnsi="arial" w:cs="arial"/>
          <w:color w:val="000000"/>
          <w:sz w:val="20"/>
          <w:lang w:val="en-US" w:eastAsia="en-US" w:bidi="ar-SA"/>
        </w:rPr>
        <w:t xml:space="preserve"> believed that such a breach had occurred. As such, he believed the Commission was not owed to Coast and that he could properly pay out the proceeds of the sale of the Property without reference to Coast or its rights.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xml:space="preserve">  I do not accept that this is so. First, there was, in fact, no breach of the Listing Agreement. In </w:t>
      </w:r>
      <w:r>
        <w:rPr>
          <w:rFonts w:ascii="arial" w:eastAsia="arial" w:hAnsi="arial" w:cs="arial"/>
          <w:i/>
          <w:color w:val="000000"/>
          <w:sz w:val="20"/>
          <w:lang w:val="en-US" w:eastAsia="en-US" w:bidi="ar-SA"/>
        </w:rPr>
        <w:t>Faryna v. Chorny</w:t>
      </w:r>
      <w:r>
        <w:rPr>
          <w:rFonts w:ascii="arial" w:eastAsia="arial" w:hAnsi="arial" w:cs="arial"/>
          <w:color w:val="000000"/>
          <w:sz w:val="20"/>
          <w:lang w:val="en-US" w:eastAsia="en-US" w:bidi="ar-SA"/>
        </w:rPr>
        <w:t xml:space="preserve">, </w:t>
      </w:r>
      <w:hyperlink r:id="rId184" w:history="1">
        <w:r>
          <w:rPr>
            <w:rFonts w:ascii="arial" w:eastAsia="arial" w:hAnsi="arial" w:cs="arial"/>
            <w:i/>
            <w:color w:val="0077CC"/>
            <w:sz w:val="20"/>
            <w:u w:val="single"/>
            <w:shd w:val="clear" w:color="auto" w:fill="FFFFFF"/>
            <w:lang w:val="en-US" w:eastAsia="en-US" w:bidi="ar-SA"/>
          </w:rPr>
          <w:t>[1952] 2 D.L.R. 354</w:t>
        </w:r>
      </w:hyperlink>
      <w:r>
        <w:rPr>
          <w:rFonts w:ascii="arial" w:eastAsia="arial" w:hAnsi="arial" w:cs="arial"/>
          <w:color w:val="000000"/>
          <w:sz w:val="20"/>
          <w:lang w:val="en-US" w:eastAsia="en-US" w:bidi="ar-SA"/>
        </w:rPr>
        <w:t xml:space="preserve"> (B.C.C.A.), a leading authority when dealing with questions of credibility, O'Halloran J.A. at 357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short, the real test of the truth of the story of a witness ... must be its harmony with the preponderance of the probabilities which a practical and informed person would readily recognize as reasonable in that place and in those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Mr. Lefevre's, now assertion, that he believed there had been a breach of the Listing Agreement does not align with the facts or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xml:space="preserve">  His evidence is not consistent with the "preponderance of the probabilities", which a practical person would consider reasonable in the circumstances. There is no objective support in the record before me for the proposition that Mr. Lefevre believed Mr. Handja was in breach of the Listing Agreement. From January 20, 2011, (when the Listing Agreement was signed) to August 16, 2012, Mr. Lefevre never so much as hinted to Mr. Handja, orally or in writing, that he was displeased with Mr. Handja's efforts, much less that Mr. Handja was in breach of the Listing Agreement. He never told Mr. Delen that Mr. Handja (Coast) had breached its agreement with Holdings. He never told Mr. Handja to desist in his efforts to sell the Property or that their agreement was at an end. The materials before me, and the communications of Mr. Lefevre, do not suggest that Mr. Lefevre is a reticent businessman. Those communications are curt and forceful. Had Mr. Lefevre been unhappy with Mr. Handja's service, or had he, </w:t>
      </w:r>
      <w:r>
        <w:rPr>
          <w:rFonts w:ascii="arial" w:eastAsia="arial" w:hAnsi="arial" w:cs="arial"/>
          <w:i/>
          <w:color w:val="000000"/>
          <w:sz w:val="20"/>
          <w:lang w:val="en-US" w:eastAsia="en-US" w:bidi="ar-SA"/>
        </w:rPr>
        <w:t>bona fide,</w:t>
      </w:r>
      <w:r>
        <w:rPr>
          <w:rFonts w:ascii="arial" w:eastAsia="arial" w:hAnsi="arial" w:cs="arial"/>
          <w:color w:val="000000"/>
          <w:sz w:val="20"/>
          <w:lang w:val="en-US" w:eastAsia="en-US" w:bidi="ar-SA"/>
        </w:rPr>
        <w:t xml:space="preserve"> believed Mr. Handja was in breach, in any material way, of the Listing Agreement, I expect he would have communicated that 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Accordingly, I have concluded:</w:t>
      </w:r>
      <w:r>
        <w:rPr>
          <w:rFonts w:ascii="arial" w:eastAsia="arial" w:hAnsi="arial" w:cs="arial"/>
          <w:sz w:val="20"/>
          <w:lang w:val="en-US" w:eastAsia="en-US" w:bidi="ar-SA"/>
        </w:rPr>
        <w:cr/>
      </w:r>
    </w:p>
    <w:p>
      <w:pPr>
        <w:numPr>
          <w:numId w:val="7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Under the Listing Agreement, and the separate agreement made between Re/Max and Coast, Holdings owed Coast the Commission in an amount, inclusive of GST, of $74,900;</w:t>
      </w:r>
    </w:p>
    <w:p>
      <w:pPr>
        <w:numPr>
          <w:numId w:val="7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Holdings' failure to pay Coast the Commission constituted a breach of the Listing Agreement;</w:t>
      </w:r>
    </w:p>
    <w:p>
      <w:pPr>
        <w:numPr>
          <w:numId w:val="8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Listing Agreement created an equitable assignment of the Commission from Holdings to Coast and imposed a trust obligation on Holdings;</w:t>
      </w:r>
    </w:p>
    <w:p>
      <w:pPr>
        <w:numPr>
          <w:numId w:val="8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Holdings, in failing to pay the Commission to Coast, breached its trust obligation; and</w:t>
      </w:r>
    </w:p>
    <w:p>
      <w:pPr>
        <w:numPr>
          <w:numId w:val="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Lefevre, in causing Holdings to pay out the whole of the sale proceeds from the sale of the Property to various third parties, knowingly assisted in that breach of trust, and is personally liable to Coast for the Commission.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Absent there being circumstances that I am unaware of, Coast is to have its costs of this summary trial. Each of Holdings and Mr. Lefevre are liable for those costs. If some circumstance does exist which would affect this cost order, the parties may apply, through the Registry, to make further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P.G. VOITH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62" style="position:absolute;z-index:25186508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85"/>
          <w:headerReference w:type="default" r:id="rId186"/>
          <w:footerReference w:type="even" r:id="rId187"/>
          <w:footerReference w:type="default" r:id="rId188"/>
          <w:headerReference w:type="first" r:id="rId189"/>
          <w:footerReference w:type="first" r:id="rId19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91" w:history="1">
        <w:r>
          <w:rPr>
            <w:rFonts w:ascii="arial" w:eastAsia="arial" w:hAnsi="arial" w:cs="arial"/>
            <w:b/>
            <w:bCs/>
            <w:i/>
            <w:color w:val="0077CC"/>
            <w:kern w:val="32"/>
            <w:sz w:val="28"/>
            <w:szCs w:val="32"/>
            <w:u w:val="single"/>
            <w:shd w:val="clear" w:color="auto" w:fill="FFFFFF"/>
            <w:lang w:val="en-US" w:eastAsia="en-US" w:bidi="ar-SA"/>
          </w:rPr>
          <w:t>Dalby v. Rothon, [2007] B.C.J. No. 438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R.D. Wilson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23,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5,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Victoria Registry No. 04-3580</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[2007] B.C.J. No. 438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2007 BCSC 310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278 D.L.R. (4th) 733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39 C.P.C. (6th) 126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156 A.C.W.S. (3d) 81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2007 CarswellBC 464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Alan Wayne Dalby, Plaintiff, and James Arthur Rothon,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63" style="position:absolute;z-index:2516664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51" w:name="Keywords_7"/>
      <w:bookmarkEnd w:id="51"/>
      <w:r>
        <w:rPr>
          <w:rFonts w:ascii="arial" w:eastAsia="arial" w:hAnsi="arial" w:cs="arial"/>
          <w:b/>
          <w:color w:val="000000"/>
          <w:sz w:val="20"/>
          <w:lang w:val="en-US" w:eastAsia="en-US" w:bidi="ar-SA"/>
        </w:rPr>
        <w:t>Civil procedure — Application for directions — Insurance Corporation stood in position of uninsured driver, found liable for damages sustained by plaintiff in motor vehicle accident — Corporation entitled to assessment hearing before jury — British Columbia Rules of Court, Rules 18, 20, 25, 32, 39, 52.</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Civil procedure — Trials — Juries — Right to — Insurance Corporation stood in position of uninsured driver, found liable for damages sustained by plaintiff in motor vehicle accident — Corporation entitled to assessment hearing before jury.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Assessment — Insurance Corporation stood in position of uninsured driver, found liable for damages sustained by plaintiff in motor vehicle accident — Corporation entitled to assessment hearing before jury.</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52" w:name="Case Summary_7"/>
            <w:bookmarkEnd w:id="5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for directions in action by Dalby against Rothon for damages for personal injuries sustained in motor vehicle accident -- Rothon was uninsured motorist at time of accident -- Dalby applied to Insurance Corporation for payment of damages -- Corporation sent statutory notice of application to Rothon -- Dalby commenced proceedings against Rothon by way of writ -- Rothon filed defence, denying Dalby's claim and stating Dalby sustained no injuries -- Rothon acknowledged liability for accident -- Rothon sent facsimile to court registry, purporting to withdraw defence due to his inability to financially continue -- Corporation and Dalby provided with copies of facsimile -- Dalby applied for order finding Rothon liable for damages -- Court granted order, with damages to be assessed at hearing -- Corporation appeared at assessment hearing, denying Dalby suffered any loss, and pleading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failure to mitigate, and that accident was not proximate cause of Dalby's injuries if they existed -- Following order striking jury notice filed by Dalby's counsel, parties sought court's directions on procedure to be followed to quantify Dalby's damages -- HELD: Corporation entitled to take out new notice of trial and file and deliver jury notice -- Corporation stood in position of Dalby, was entitled to assessment hearing before jury.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53" w:name="Legislation Cited_4"/>
      <w:bookmarkEnd w:id="5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64" style="position:absolute;z-index:2517176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Rules of Court, Rule 18, Rule 20(6), Rule 20(7), Rule 25, Rule 25(6), Rule 25(14), Rule 32, Rule 39(26), Rule 39(27), Rule 52(8)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Insurance (Motor Vehicle) Act, </w:t>
      </w:r>
      <w:hyperlink r:id="rId192" w:history="1">
        <w:r>
          <w:rPr>
            <w:rFonts w:ascii="arial" w:eastAsia="arial" w:hAnsi="arial" w:cs="arial"/>
            <w:i/>
            <w:color w:val="0077CC"/>
            <w:sz w:val="20"/>
            <w:u w:val="single"/>
            <w:shd w:val="clear" w:color="auto" w:fill="FFFFFF"/>
            <w:lang w:val="en-US" w:eastAsia="en-US" w:bidi="ar-SA"/>
          </w:rPr>
          <w:t>R.S.B.C. 1996, c. 231, s. 20</w:t>
        </w:r>
      </w:hyperlink>
      <w:r>
        <w:rPr>
          <w:rFonts w:ascii="arial" w:eastAsia="arial" w:hAnsi="arial" w:cs="arial"/>
          <w:color w:val="000000"/>
          <w:sz w:val="20"/>
          <w:lang w:val="en-US" w:eastAsia="en-US" w:bidi="ar-SA"/>
        </w:rPr>
        <w:t>(2), s. 20(3)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Jury Act,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54" w:name="Counsel_7"/>
      <w:bookmarkEnd w:id="5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65" style="position:absolute;z-index:2517688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R.S. Margetts, Q.C..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Defendant:D.R. McDonagh.</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55" w:name="Judgment_7"/>
      <w:bookmarkEnd w:id="55"/>
      <w:r>
        <w:pict>
          <v:line id="_x0000_s1066" style="position:absolute;z-index:251820032"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56" w:name="R.D. WILSON J."/>
            <w:bookmarkEnd w:id="56"/>
            <w:r>
              <w:rPr>
                <w:rFonts w:ascii="arial" w:eastAsia="arial" w:hAnsi="arial" w:cs="arial"/>
                <w:b/>
                <w:color w:val="000000"/>
                <w:sz w:val="30"/>
                <w:lang w:val="en-US" w:eastAsia="en-US" w:bidi="ar-SA"/>
              </w:rPr>
              <w:t>R.D. WILSON J.</w:t>
            </w:r>
          </w:p>
        </w:tc>
      </w:tr>
    </w:tbl>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parties apply for directions. That application raises an exciting procedural issue, for which, counsel advise me, there is no reported precedent.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matter arrives before me at the end of the following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 Dalby is claiming monetary damages for personal injuries said to have been suffered in a rear-end road traffic incident of 8 March 2004. At the time of that incident, Mr. Rothon was not covered by motor vehicle liability insurance. That is to say, Mr. Rothon was an "uninsured motorist".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On 26 March 2004, Mr. Dalby applied to the Insurance Corporation of British Columbia ("the Corporation") for payment of damages, to which he claimed to be entitled, pursuant to s. 20(2) of the </w:t>
      </w:r>
      <w:r>
        <w:rPr>
          <w:rFonts w:ascii="arial" w:eastAsia="arial" w:hAnsi="arial" w:cs="arial"/>
          <w:b/>
          <w:i/>
          <w:color w:val="000000"/>
          <w:sz w:val="20"/>
          <w:lang w:val="en-US" w:eastAsia="en-US" w:bidi="ar-SA"/>
        </w:rPr>
        <w:t>Insurance (Motor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 xml:space="preserve"> ("the Act"). The material words of s. 20 of the Act are set out below. The Corporation sent the necessary statutory notice of Mr. Dalby's application to Mr. Rothon, as required by s. 20(3) of the Act on 15 July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Dalby commenced these proceedings by causing a writ of summons to be issued out of the Victoria Registry on 20 August 2004. Mr. Rothon caused an appearance to that writ of summons to be filed on 9 September 2004, by facsimile transmission. Mr. Rothon also prepared, but did not file, a statement of defence. That pleading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defendant denies this claim wholly and that the plaintiff will have to prove at trail [sic] all claims on the Writ of Summons.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defendant says that no injuries were realized.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Wherefore the defendant submits I trust the Judge will sort this out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At some point, not identified in the evidence, counsel tell me, Mr. Rothon acknowledged that he was responsible for the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On 21 January 2005, Mr. Rothon sent a facsimile transmission to the Victoria Registry, in the following words: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NOTICE: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wish to withdraw my Statement of Defence, as I am not able financially or legally to follow up on 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Sorry for the inconvenience.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 copy of that facsimile transmission was also provided to counsel for Mr. Dalby, the Corporation and Mr. McDonagh.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By a motion dated 13 December 2004, and filed 1 February 2005, Mr. Dalby applied for an order:</w:t>
      </w:r>
      <w:r>
        <w:rPr>
          <w:rFonts w:ascii="arial" w:eastAsia="arial" w:hAnsi="arial" w:cs="arial"/>
          <w:sz w:val="20"/>
          <w:lang w:val="en-US" w:eastAsia="en-US" w:bidi="ar-SA"/>
        </w:rPr>
        <w:cr/>
      </w:r>
    </w:p>
    <w:p>
      <w:pPr>
        <w:numPr>
          <w:numId w:val="8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Defendant be liable to the Plaintiff for damages arising as a result of a motor vehicle accident occurring on our [sic] about March 8,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Authority for the application was said to be Rule 18 of the Rules of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support of the motion, Mr. Dalby filed an affidavit he swore on 9 December 2004, filed 1 February 2005. In that affidavit, Mr. Dalby said, at paragraph 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not aware of any defence to that part of the claim respecting liability of the Defendant to the Plaintiff for injuries I sustained in the motor vehicle accident and know of no fact which would constitute a defence to the claim or part of the claim except as to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On 3 February 2005, I heard Mr. Dalby's application. The formal order arising from that hearing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COURT ORDERS that:</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Judgment be granted to the Plaintiff against the Defendant with damages to be assessed.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McDonagh appeared at the hearing, and said, among other things: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MR. McDONAGH: I -- it's my understanding of the law, My Lord, that I don't have any standing, really, to address the court at this point until there's some form of default by Mr. Rothon, and I -- I was here -- I'm here today because I -- Mr. Rothon is not likely to show up. He's filed a record or a letter indicating he's withdrawn a statement of defence, and we've got the documents here for Your Lordship's review, and it's my hope, whatever happens today, that ICBC will be in a position, pursuant to the </w:t>
      </w:r>
      <w:r>
        <w:rPr>
          <w:rFonts w:ascii="arial" w:eastAsia="arial" w:hAnsi="arial" w:cs="arial"/>
          <w:b/>
          <w:i/>
          <w:color w:val="000000"/>
          <w:sz w:val="20"/>
          <w:lang w:val="en-US" w:eastAsia="en-US" w:bidi="ar-SA"/>
        </w:rPr>
        <w:t>Insurance (Motor Vehicle) Act</w:t>
      </w:r>
      <w:r>
        <w:rPr>
          <w:rFonts w:ascii="arial" w:eastAsia="arial" w:hAnsi="arial" w:cs="arial"/>
          <w:color w:val="000000"/>
          <w:sz w:val="20"/>
          <w:lang w:val="en-US" w:eastAsia="en-US" w:bidi="ar-SA"/>
        </w:rPr>
        <w:t>, to step in and defend the action on behalf of Mr. Rothon.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McDONAGH: My -- my instructions would be to -- assuming that there is a default, and there appears to be by Mr. Rothon, to file a statement of defence in his name, my instructions would be to admit liability on that statement of defence in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There was no discussion about how the damages would be assessed.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Corporation entered an appearance and statement of defence on behalf of Mr. Rothon on 8 February 2005. Paragraph 2 of that pleading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While admitting, for the purpose of this action only but not otherwise, the accident particularized in paragraphs 3 and 4 of the Statement of Claim occurred as a result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the Defendant specifically denies that the Plaintiff suffered any injury, loss, damage or expense as a result thereof and, without limiting the generality of the foregoing, specifically denies all those allegations of fact contained in paragraph 4 of the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 pleading also alleges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failure to mitigate, and that, the incident was not the proximate cause of Mr. Dalby's injuries, if 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On 8 June 2005, Mr. McDonagh took out a notice of trial, fixing 23 October 2006 as the date for commencement of that trial. As well, Mr. McDonagh filed a notice requiring trial by jury. That turned out to be provocative conduct on the part of Mr. McDonagh because Mr. Margetts then launched a motion dated 15 August 2006, filed 19 September 2006, seeking an order that Mr. McDonagh's jury notice be set aside. That application was heard by Mr. Justice Macaulay on 21 September 2006. In result, the jury notice was struck and His Lordship suggested that the parties apply to me for directions on the procedure to be followed in quantifying Mr. Dalby's damages.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 characterize the issue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After a plaintiff has obtained judgment for damages to be assessed pursuant to Rule 18, does a party have the right to have the assessment of damages heard by the court with a 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On that issue, so characterized, the reasoning of Walsh J. in </w:t>
      </w:r>
      <w:r>
        <w:rPr>
          <w:rFonts w:ascii="arial" w:eastAsia="arial" w:hAnsi="arial" w:cs="arial"/>
          <w:b/>
          <w:i/>
          <w:color w:val="000000"/>
          <w:sz w:val="20"/>
          <w:lang w:val="en-US" w:eastAsia="en-US" w:bidi="ar-SA"/>
        </w:rPr>
        <w:t>Stone v. Vulcan Municipal Hospital District</w:t>
      </w:r>
      <w:r>
        <w:rPr>
          <w:rFonts w:ascii="arial" w:eastAsia="arial" w:hAnsi="arial" w:cs="arial"/>
          <w:color w:val="000000"/>
          <w:sz w:val="20"/>
          <w:lang w:val="en-US" w:eastAsia="en-US" w:bidi="ar-SA"/>
        </w:rPr>
        <w:t>,</w:t>
      </w:r>
      <w:bookmarkStart w:id="57" w:name="Backward_fnref_fnr-1"/>
      <w:hyperlink w:anchor="Forward_fnref_fnr-1" w:history="1">
        <w:r>
          <w:rPr>
            <w:rFonts w:ascii="arial" w:eastAsia="arial" w:hAnsi="arial" w:cs="arial"/>
            <w:b/>
            <w:color w:val="BE161D"/>
            <w:sz w:val="20"/>
            <w:shd w:val="clear" w:color="auto" w:fill="FFFFFF"/>
            <w:vertAlign w:val="superscript"/>
            <w:lang w:val="en-US" w:eastAsia="en-US" w:bidi="ar-SA"/>
          </w:rPr>
          <w:t>1</w:t>
        </w:r>
      </w:hyperlink>
      <w:bookmarkEnd w:id="57"/>
      <w:r>
        <w:rPr>
          <w:rFonts w:ascii="arial" w:eastAsia="arial" w:hAnsi="arial" w:cs="arial"/>
          <w:color w:val="000000"/>
          <w:sz w:val="20"/>
          <w:lang w:val="en-US" w:eastAsia="en-US" w:bidi="ar-SA"/>
        </w:rPr>
        <w:t xml:space="preserve"> commends itself to me. There, the defendant had been noted in default, and a Master ordered that "the issue as to the amount of damages to which the plaintiffs are entitled" should be assessed by a jury. The defendant appealed on the ground that the right to a jury, which is conferred by the Alberta </w:t>
      </w:r>
      <w:r>
        <w:rPr>
          <w:rFonts w:ascii="arial" w:eastAsia="arial" w:hAnsi="arial" w:cs="arial"/>
          <w:b/>
          <w:i/>
          <w:color w:val="000000"/>
          <w:sz w:val="20"/>
          <w:lang w:val="en-US" w:eastAsia="en-US" w:bidi="ar-SA"/>
        </w:rPr>
        <w:t>Jury Act</w:t>
      </w:r>
      <w:r>
        <w:rPr>
          <w:rFonts w:ascii="arial" w:eastAsia="arial" w:hAnsi="arial" w:cs="arial"/>
          <w:color w:val="000000"/>
          <w:sz w:val="20"/>
          <w:lang w:val="en-US" w:eastAsia="en-US" w:bidi="ar-SA"/>
        </w:rPr>
        <w:t>, and the Rules of Court, applies only in cases in which the action is to be tried. The defendant said that an assessment of damages is not the trial of an action, and therefore, the plaintiffs were not entitled to a 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After reviewing the authorities on the meaning of "trial", Walsh J. concluded: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when the only contest in an action is over the amount of the plaintiff's damages the procedure by which they are assessed is a trial of the only issue between the parties and is, therefore, in substance a trial of the action itself. I think, therefore, that a jury may properly be ordered to assess the damages in an undefended action if the action is of a character which would have entitled the plaintiff to have it tried by a jury had it been defended</w:t>
      </w:r>
      <w:bookmarkStart w:id="58" w:name="Backward_fnref_fnr-2"/>
      <w:hyperlink w:anchor="Forward_fnref_fnr-2" w:history="1">
        <w:r>
          <w:rPr>
            <w:rFonts w:ascii="arial" w:eastAsia="arial" w:hAnsi="arial" w:cs="arial"/>
            <w:b/>
            <w:color w:val="BE161D"/>
            <w:sz w:val="20"/>
            <w:shd w:val="clear" w:color="auto" w:fill="FFFFFF"/>
            <w:vertAlign w:val="superscript"/>
            <w:lang w:val="en-US" w:eastAsia="en-US" w:bidi="ar-SA"/>
          </w:rPr>
          <w:t>2</w:t>
        </w:r>
      </w:hyperlink>
      <w:bookmarkEnd w:id="58"/>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Walsh J.'s analysis of the meaning of "trial" is consistent with the law in this province. I say that from my reading of </w:t>
      </w:r>
      <w:r>
        <w:rPr>
          <w:rFonts w:ascii="arial" w:eastAsia="arial" w:hAnsi="arial" w:cs="arial"/>
          <w:b/>
          <w:i/>
          <w:color w:val="000000"/>
          <w:sz w:val="20"/>
          <w:lang w:val="en-US" w:eastAsia="en-US" w:bidi="ar-SA"/>
        </w:rPr>
        <w:t>Dunlop v. Haney</w:t>
      </w:r>
      <w:r>
        <w:rPr>
          <w:rFonts w:ascii="arial" w:eastAsia="arial" w:hAnsi="arial" w:cs="arial"/>
          <w:color w:val="000000"/>
          <w:sz w:val="20"/>
          <w:lang w:val="en-US" w:eastAsia="en-US" w:bidi="ar-SA"/>
        </w:rPr>
        <w:t>:</w:t>
      </w:r>
      <w:bookmarkStart w:id="59" w:name="Backward_fnref_fnr-3"/>
      <w:hyperlink w:anchor="Forward_fnref_fnr-3" w:history="1">
        <w:r>
          <w:rPr>
            <w:rFonts w:ascii="arial" w:eastAsia="arial" w:hAnsi="arial" w:cs="arial"/>
            <w:b/>
            <w:color w:val="BE161D"/>
            <w:sz w:val="20"/>
            <w:shd w:val="clear" w:color="auto" w:fill="FFFFFF"/>
            <w:vertAlign w:val="superscript"/>
            <w:lang w:val="en-US" w:eastAsia="en-US" w:bidi="ar-SA"/>
          </w:rPr>
          <w:t>3</w:t>
        </w:r>
      </w:hyperlink>
      <w:bookmarkEnd w:id="59"/>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Whatever technical meaning the word "trial" may have I do not regard it here as being wider than the ordinary definition in Wharton as "the examination of a cause, civil or criminal, before a Judge who has jurisdiction over it, according to the laws of the land." - 1 Inst. 124. Also, the word is defined in </w:t>
      </w:r>
      <w:r>
        <w:rPr>
          <w:rFonts w:ascii="arial" w:eastAsia="arial" w:hAnsi="arial" w:cs="arial"/>
          <w:b/>
          <w:i/>
          <w:color w:val="000000"/>
          <w:sz w:val="20"/>
          <w:lang w:val="en-US" w:eastAsia="en-US" w:bidi="ar-SA"/>
        </w:rPr>
        <w:t>Gath v. Howarth</w:t>
      </w:r>
      <w:r>
        <w:rPr>
          <w:rFonts w:ascii="arial" w:eastAsia="arial" w:hAnsi="arial" w:cs="arial"/>
          <w:color w:val="000000"/>
          <w:sz w:val="20"/>
          <w:lang w:val="en-US" w:eastAsia="en-US" w:bidi="ar-SA"/>
        </w:rPr>
        <w:t xml:space="preserve"> (1884), W.N. 99, by Mr. Justice Field as follows: "A trial is where the Judge (with the assistance of a jury) has to decide which of two parties is entitled to succeed."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result, I apply the conclusion of Walsh J. to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 think I am supported in that conclusion by comparing the wording in Rule 25 of the Rules of Court. That rule prescribes the procedure in default of pleading.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Rule 25(6)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Where the plaintiff's claim against a defendant is solely for unliquidated damages, the plaintiff may enter judgment in Form 86 against that defendant for damages to be assessed and costs, and may proceed with the action against any other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And, Rule 25(14)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Where a plaintiff has obtained judgment for damages ... to be assessed, the plaintiff may </w:t>
      </w:r>
      <w:r>
        <w:rPr>
          <w:rFonts w:ascii="arial" w:eastAsia="arial" w:hAnsi="arial" w:cs="arial"/>
          <w:color w:val="000000"/>
          <w:sz w:val="20"/>
          <w:u w:val="single"/>
          <w:lang w:val="en-US" w:eastAsia="en-US" w:bidi="ar-SA"/>
        </w:rPr>
        <w:t>set the assessment down for trial</w:t>
      </w:r>
      <w:r>
        <w:rPr>
          <w:rFonts w:ascii="arial" w:eastAsia="arial" w:hAnsi="arial" w:cs="arial"/>
          <w:color w:val="000000"/>
          <w:sz w:val="20"/>
          <w:lang w:val="en-US" w:eastAsia="en-US" w:bidi="ar-SA"/>
        </w:rPr>
        <w:t xml:space="preserve"> but, unless the court otherwise orders, it shall be tried at the same time as the trial of the action or issues against any other defendant. [my underlining]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Margetts emphasizes that the judgment of 3 February 2005 was not granted in default of pleading. It was granted on an application under Rule 18. He contends that on a Rule 18 application, the court exercises its powers under Rule 52(8). That was done in this case, and the court ordered an assessment. It follows, goes the argument, that the assessment must be done under Rule 32. That is to say, a reference to a Master or Registrar.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 do not find that argument persuasive. I cannot accept the proposition that the Rules' drafters would contemplate one procedure, when a judgment is obtained on default of pleading, and an entirely different procedure, when the same judgment is obtained on a finding that there is no triable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Therefore, following entry of the judgment of 3 February 2005, Mr. Rothon would have been entitled to have Mr. Dalby's claim for damages heard and determined by the court with a 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McDonagh's position is that the Corporation now stands in the stead of Mr. Rothon. This is so because s. 20(7) of the Act confers a power on the Corporation to intervene in an action in which an uninsured motorist is involved, and take any steps the uninsured motorist may have taken. The necessary and sufficient condition for the exercise of that power is prescribed in s. 20(6) of the Act, the operative words of which 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an uninsured motorist ... having entered an appearance,</w:t>
      </w:r>
    </w:p>
    <w:p>
      <w:pPr>
        <w:numPr>
          <w:numId w:val="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fails to file a statement of defence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corporation must not make a payment to the claimant under this section unless notice of the failure ... has been given to the corporation in time to enable the corporation to rectify it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McDonagh contends the Corporation received notice of Mr. Rothon's failure on 3 February 2005, when Mr. Rothon failed to appear on the return of Mr. Dalby's motion, and file a statement of defence. The necessary and sufficient condition thereupon fulfilled, subsection (7) prescribes: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the corporation receives notice under subsection (6), it may intervene in the action and, on behalf of and in the name of the uninsured motorist ... take any steps that he or she might have taken in the action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Mr. Rothon might have required the trial of the assessment of damages by the court with a jury, pursuant to Rule 39(26) of the Rules of Court. Therefore, the Corporation may make the same requirement.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 think Mr. McDonagh's analysis is correct.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As an alternative position, Mr. Margetts argued that in considering the appropriate directions, I should take into consideration the proportionality of the probable magnitude of Mr. Dalby's claim, and the conduct of a jury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Rule 39(27) prescribes the circumstances in which the court may refuse a jury trial. Proportionality is not one of the factors prescribed. I decline Mr. Margetts' invitation to consider that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result, therefore, I direct that the Corporation may take out a new notice of trial and file and deliver a notice requiring the trial of the assessment of damages by the court with a jury, pursuant to Rule 39(26) of the Rules of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R.D. WILSON J.</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r>
        <w:pict>
          <v:line id="_x0000_s1067" style="position:absolute;z-index:251866112" from="0,15pt" to="180pt,15pt" strokecolor="#bcbeb0" strokeweight="0.5pt">
            <v:stroke linestyle="single"/>
          </v:line>
        </w:pict>
      </w:r>
    </w:p>
    <w:p>
      <w:pPr>
        <w:rPr>
          <w:rFonts w:ascii="arial" w:eastAsia="arial" w:hAnsi="arial" w:cs="arial"/>
          <w:sz w:val="20"/>
          <w:lang w:val="en-US" w:eastAsia="en-US" w:bidi="ar-SA"/>
        </w:rPr>
      </w:pPr>
    </w:p>
    <w:p>
      <w:pPr>
        <w:spacing w:before="120" w:after="20" w:line="240" w:lineRule="atLeast"/>
        <w:ind w:left="720" w:hanging="360"/>
        <w:jc w:val="both"/>
        <w:rPr>
          <w:rFonts w:ascii="arial" w:eastAsia="arial" w:hAnsi="arial" w:cs="arial"/>
          <w:sz w:val="20"/>
          <w:lang w:val="en-US" w:eastAsia="en-US" w:bidi="ar-SA"/>
        </w:rPr>
      </w:pPr>
      <w:bookmarkStart w:id="60" w:name="Forward_fnref_fnr-1"/>
      <w:hyperlink w:anchor="Backward_fnref_fnr-1" w:history="1">
        <w:r>
          <w:rPr>
            <w:rFonts w:ascii="arial" w:eastAsia="arial" w:hAnsi="arial" w:cs="arial"/>
            <w:b/>
            <w:color w:val="BE161D"/>
            <w:sz w:val="18"/>
            <w:shd w:val="clear" w:color="auto" w:fill="FFFFFF"/>
            <w:lang w:val="en-US" w:eastAsia="en-US" w:bidi="ar-SA"/>
          </w:rPr>
          <w:t>1</w:t>
        </w:r>
      </w:hyperlink>
      <w:bookmarkEnd w:id="60"/>
      <w:r>
        <w:rPr>
          <w:rFonts w:ascii="arial" w:eastAsia="arial" w:hAnsi="arial" w:cs="arial"/>
          <w:sz w:val="20"/>
          <w:lang w:val="en-US" w:eastAsia="en-US" w:bidi="ar-SA"/>
        </w:rPr>
        <w:tab/>
      </w:r>
      <w:hyperlink r:id="rId193" w:history="1">
        <w:r>
          <w:rPr>
            <w:rFonts w:ascii="arial" w:eastAsia="arial" w:hAnsi="arial" w:cs="arial"/>
            <w:i/>
            <w:color w:val="0077CC"/>
            <w:sz w:val="18"/>
            <w:u w:val="single"/>
            <w:shd w:val="clear" w:color="auto" w:fill="FFFFFF"/>
            <w:lang w:val="en-US" w:eastAsia="en-US" w:bidi="ar-SA"/>
          </w:rPr>
          <w:t>[1930] 1 W.W.R. 839</w:t>
        </w:r>
      </w:hyperlink>
      <w:r>
        <w:rPr>
          <w:rFonts w:ascii="arial" w:eastAsia="arial" w:hAnsi="arial" w:cs="arial"/>
          <w:color w:val="6D6E71"/>
          <w:sz w:val="18"/>
          <w:lang w:val="en-US" w:eastAsia="en-US" w:bidi="ar-SA"/>
        </w:rPr>
        <w:t xml:space="preserve"> (Alta. S.C.).</w:t>
      </w:r>
    </w:p>
    <w:p>
      <w:pPr>
        <w:spacing w:before="120" w:after="20" w:line="240" w:lineRule="atLeast"/>
        <w:ind w:left="720" w:hanging="360"/>
        <w:jc w:val="both"/>
        <w:rPr>
          <w:rFonts w:ascii="arial" w:eastAsia="arial" w:hAnsi="arial" w:cs="arial"/>
          <w:sz w:val="20"/>
          <w:lang w:val="en-US" w:eastAsia="en-US" w:bidi="ar-SA"/>
        </w:rPr>
      </w:pPr>
      <w:bookmarkStart w:id="61" w:name="Forward_fnref_fnr-2"/>
      <w:hyperlink w:anchor="Backward_fnref_fnr-2" w:history="1">
        <w:r>
          <w:rPr>
            <w:rFonts w:ascii="arial" w:eastAsia="arial" w:hAnsi="arial" w:cs="arial"/>
            <w:b/>
            <w:color w:val="BE161D"/>
            <w:sz w:val="18"/>
            <w:shd w:val="clear" w:color="auto" w:fill="FFFFFF"/>
            <w:lang w:val="en-US" w:eastAsia="en-US" w:bidi="ar-SA"/>
          </w:rPr>
          <w:t>2</w:t>
        </w:r>
      </w:hyperlink>
      <w:bookmarkEnd w:id="61"/>
      <w:r>
        <w:rPr>
          <w:rFonts w:ascii="arial" w:eastAsia="arial" w:hAnsi="arial" w:cs="arial"/>
          <w:sz w:val="20"/>
          <w:lang w:val="en-US" w:eastAsia="en-US" w:bidi="ar-SA"/>
        </w:rPr>
        <w:tab/>
      </w:r>
      <w:r>
        <w:rPr>
          <w:rFonts w:ascii="arial" w:eastAsia="arial" w:hAnsi="arial" w:cs="arial"/>
          <w:i/>
          <w:color w:val="6D6E71"/>
          <w:sz w:val="18"/>
          <w:lang w:val="en-US" w:eastAsia="en-US" w:bidi="ar-SA"/>
        </w:rPr>
        <w:t>Ibid</w:t>
      </w:r>
      <w:r>
        <w:rPr>
          <w:rFonts w:ascii="arial" w:eastAsia="arial" w:hAnsi="arial" w:cs="arial"/>
          <w:color w:val="6D6E71"/>
          <w:sz w:val="18"/>
          <w:lang w:val="en-US" w:eastAsia="en-US" w:bidi="ar-SA"/>
        </w:rPr>
        <w:t>, at page 841.</w:t>
      </w:r>
    </w:p>
    <w:p>
      <w:pPr>
        <w:spacing w:before="120" w:after="20" w:line="240" w:lineRule="atLeast"/>
        <w:ind w:left="720" w:hanging="360"/>
        <w:jc w:val="both"/>
        <w:rPr>
          <w:rFonts w:ascii="arial" w:eastAsia="arial" w:hAnsi="arial" w:cs="arial"/>
          <w:sz w:val="20"/>
          <w:lang w:val="en-US" w:eastAsia="en-US" w:bidi="ar-SA"/>
        </w:rPr>
      </w:pPr>
      <w:bookmarkStart w:id="62" w:name="Forward_fnref_fnr-3"/>
      <w:hyperlink w:anchor="Backward_fnref_fnr-3" w:history="1">
        <w:r>
          <w:rPr>
            <w:rFonts w:ascii="arial" w:eastAsia="arial" w:hAnsi="arial" w:cs="arial"/>
            <w:b/>
            <w:color w:val="BE161D"/>
            <w:sz w:val="18"/>
            <w:shd w:val="clear" w:color="auto" w:fill="FFFFFF"/>
            <w:lang w:val="en-US" w:eastAsia="en-US" w:bidi="ar-SA"/>
          </w:rPr>
          <w:t>3</w:t>
        </w:r>
      </w:hyperlink>
      <w:bookmarkEnd w:id="62"/>
      <w:r>
        <w:rPr>
          <w:rFonts w:ascii="arial" w:eastAsia="arial" w:hAnsi="arial" w:cs="arial"/>
          <w:sz w:val="20"/>
          <w:lang w:val="en-US" w:eastAsia="en-US" w:bidi="ar-SA"/>
        </w:rPr>
        <w:tab/>
      </w:r>
      <w:r>
        <w:rPr>
          <w:rFonts w:ascii="arial" w:eastAsia="arial" w:hAnsi="arial" w:cs="arial"/>
          <w:color w:val="6D6E71"/>
          <w:sz w:val="18"/>
          <w:lang w:val="en-US" w:eastAsia="en-US" w:bidi="ar-SA"/>
        </w:rPr>
        <w:t>(1899), 7 B.C.R. 300 (B.C.C.A.) at page 302.</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68" style="position:absolute;z-index:2518968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94"/>
          <w:headerReference w:type="default" r:id="rId195"/>
          <w:footerReference w:type="even" r:id="rId196"/>
          <w:footerReference w:type="default" r:id="rId197"/>
          <w:headerReference w:type="first" r:id="rId198"/>
          <w:footerReference w:type="first" r:id="rId19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200" w:history="1">
        <w:r>
          <w:rPr>
            <w:rFonts w:ascii="arial" w:eastAsia="arial" w:hAnsi="arial" w:cs="arial"/>
            <w:b/>
            <w:bCs/>
            <w:i/>
            <w:color w:val="0077CC"/>
            <w:kern w:val="32"/>
            <w:sz w:val="28"/>
            <w:szCs w:val="32"/>
            <w:u w:val="single"/>
            <w:shd w:val="clear" w:color="auto" w:fill="FFFFFF"/>
            <w:lang w:val="en-US" w:eastAsia="en-US" w:bidi="ar-SA"/>
          </w:rPr>
          <w:t>FBI Foods Ltd. v. Glassner, [2001] B.C.J. No. 193</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Dillon J.</w:t>
      </w:r>
    </w:p>
    <w:p>
      <w:pPr>
        <w:spacing w:before="120" w:line="260" w:lineRule="atLeast"/>
        <w:jc w:val="center"/>
        <w:rPr>
          <w:lang w:val="en-US" w:eastAsia="en-US" w:bidi="ar-SA"/>
        </w:rPr>
      </w:pPr>
      <w:r>
        <w:rPr>
          <w:rFonts w:ascii="arial" w:eastAsia="arial" w:hAnsi="arial" w:cs="arial"/>
          <w:color w:val="000000"/>
          <w:sz w:val="20"/>
          <w:lang w:val="en-US" w:eastAsia="en-US" w:bidi="ar-SA"/>
        </w:rPr>
        <w:t>Heard: December 12 and 13, 2000.</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February 1, 2001.</w:t>
      </w:r>
    </w:p>
    <w:p>
      <w:pPr>
        <w:spacing w:before="120" w:line="260" w:lineRule="atLeast"/>
        <w:jc w:val="center"/>
        <w:rPr>
          <w:lang w:val="en-US" w:eastAsia="en-US" w:bidi="ar-SA"/>
        </w:rPr>
      </w:pPr>
      <w:r>
        <w:rPr>
          <w:rFonts w:ascii="arial" w:eastAsia="arial" w:hAnsi="arial" w:cs="arial"/>
          <w:color w:val="000000"/>
          <w:sz w:val="20"/>
          <w:lang w:val="en-US" w:eastAsia="en-US" w:bidi="ar-SA"/>
        </w:rPr>
        <w:t>Vancouver Registry No. C995160</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[2001] B.C.J. No. 193</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2001 BCSC 151</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86 B.C.L.R. (3d) 136</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11 C.P.R. (4th) 176</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102 A.C.W.S. (3d) 984</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[2001] B.C.T.C. 151</w:t>
      </w:r>
    </w:p>
    <w:p>
      <w:pPr>
        <w:spacing w:before="120" w:line="260" w:lineRule="atLeast"/>
        <w:rPr>
          <w:lang w:val="en-US" w:eastAsia="en-US" w:bidi="ar-SA"/>
        </w:rPr>
      </w:pPr>
      <w:r>
        <w:rPr>
          <w:rFonts w:ascii="arial" w:eastAsia="arial" w:hAnsi="arial" w:cs="arial"/>
          <w:color w:val="000000"/>
          <w:sz w:val="20"/>
          <w:lang w:val="en-US" w:eastAsia="en-US" w:bidi="ar-SA"/>
        </w:rPr>
        <w:t>Between FBI Foods Ltd. - Les Aliments FBI Ltee., plaintiff, and Irving Glassner, defendant, and Cadbury Schweppes Inc. and Cadbury Beverages Canada Inc., third parties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(30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069" style="position:absolute;z-index:251667456"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63" w:name="Keywords_8"/>
      <w:bookmarkEnd w:id="63"/>
      <w:r>
        <w:rPr>
          <w:rFonts w:ascii="arial" w:eastAsia="arial" w:hAnsi="arial" w:cs="arial"/>
          <w:b/>
          <w:color w:val="000000"/>
          <w:sz w:val="20"/>
          <w:lang w:val="en-US" w:eastAsia="en-US" w:bidi="ar-SA"/>
        </w:rPr>
        <w:t>Torts — Joint and concurrent tortfeasors — Contribution between tortfeasors — Practice, separate action for contribution by tortfeasor.</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64" w:name="Case Summary_8"/>
            <w:bookmarkEnd w:id="64"/>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This was an action by FBI Foods for contribution. Cadbury successfully sued FBI and Glassner for breach of confidence arising from the wrongful use of confidential information in the production of a beverage in competition with Cadbury. Cadbury was awarded damages in the amount that FBI or Caesar Canning would have paid to develop a product to compete in the market. Glassner was found personally liable as a director of Caesar. Cadbury appealed, and FBI and Glassner cross-appealed. Glassner settled Cadbury's claim against him prior to the hearing of the appeal. The terms of the settlement were not disclosed to FBI. Cadbury was successful against FBI on the appeal. FBI informed Glassner that it reserved its right to claim against him for contribution and indemnity for at least 50 per cent of whatever costs or damages it was obliged to pay Cadbury. The appeal decision was affirmed by the Supreme Court of Canada. FBI then settled with Cadbury. Glassner had been kept up to date on the settlement negotiations and had been asked by FBI to contribute 50 per cent of the settlement amount. FBI argued that it had a claim for equitable contribution, which arose once all appeals had been completed and the settlement accomplished. Glassner argued that the amount paid by FBI to Cadbury was for lost profits and royalties and since he was not found liable for lost profits at trial and then settled, FBI could not seek contribution. He also argued that FBI should have proceeded by way of a third party proceeding in the original action. He further argued that he was prejudiced by the resulting delay. </w:t>
            </w:r>
            <w:r>
              <w:rPr>
                <w:lang w:val="en-US" w:eastAsia="en-US" w:bidi="ar-SA"/>
              </w:rPr>
              <w:cr/>
            </w:r>
          </w:p>
          <w:p>
            <w:pPr>
              <w:spacing w:before="120" w:line="260" w:lineRule="atLeast"/>
              <w:ind w:left="240"/>
              <w:jc w:val="both"/>
              <w:rPr>
                <w:lang w:val="en-US" w:eastAsia="en-US" w:bidi="ar-SA"/>
              </w:rPr>
            </w:pPr>
            <w:bookmarkStart w:id="65" w:name="Holdings of Court_5"/>
            <w:bookmarkEnd w:id="65"/>
            <w:r>
              <w:rPr>
                <w:rFonts w:ascii="arial" w:eastAsia="arial" w:hAnsi="arial" w:cs="arial"/>
                <w:color w:val="000000"/>
                <w:sz w:val="20"/>
                <w:lang w:val="en-US" w:eastAsia="en-US" w:bidi="ar-SA"/>
              </w:rPr>
              <w:t>HELD: Action allowed.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The fact that FBI did not proceed by way of third party proceeding in the original action did not preclude equitable recovery. As between FBI and Glassner as joint tortfeasors, the right of contribution and indemnity was a separate and distinct cause of action that did not arise until the settlement in the original action. FBI was entitled to wait and see whether it would be held liable by the Supreme Court of Canada. It could not be said that serious prejudice resulted. Glassner chose to settle early on favourable terms that were not communicated to FBI. He then chose to abandon his appeal when the possibility of FBI claiming contribution was still possible and ignored offers to participate in the settlement discussions. </w:t>
            </w:r>
            <w:r>
              <w:rPr>
                <w:lang w:val="en-US" w:eastAsia="en-US" w:bidi="ar-SA"/>
              </w:rPr>
              <w:cr/>
            </w:r>
          </w:p>
          <w:p>
            <w:pPr>
              <w:rPr>
                <w:lang w:val="en-US" w:eastAsia="en-US" w:bidi="ar-SA"/>
              </w:rPr>
            </w:pPr>
          </w:p>
        </w:tc>
      </w:tr>
    </w:tbl>
    <w:p>
      <w:pPr>
        <w:jc w:val="both"/>
        <w:rPr>
          <w:lang w:val="en-US" w:eastAsia="en-US" w:bidi="ar-SA"/>
        </w:rPr>
      </w:pPr>
      <w:bookmarkStart w:id="66" w:name="Legislation Cited_5"/>
      <w:bookmarkEnd w:id="66"/>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lang w:val="en-US" w:eastAsia="en-US" w:bidi="ar-SA"/>
        </w:rPr>
      </w:pPr>
      <w:r>
        <w:pict>
          <v:line id="_x0000_s1070" style="position:absolute;z-index:251718656"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Court Order Interest Act, </w:t>
      </w:r>
      <w:r>
        <w:rPr>
          <w:rFonts w:ascii="arial" w:eastAsia="arial" w:hAnsi="arial" w:cs="arial"/>
          <w:i/>
          <w:color w:val="000000"/>
          <w:sz w:val="20"/>
          <w:lang w:val="en-US" w:eastAsia="en-US" w:bidi="ar-SA"/>
        </w:rPr>
        <w:t>R.S.B.C. 1996, c. 79</w:t>
      </w:r>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Law and Equity Act, </w:t>
      </w:r>
      <w:hyperlink r:id="rId201" w:history="1">
        <w:r>
          <w:rPr>
            <w:rFonts w:ascii="arial" w:eastAsia="arial" w:hAnsi="arial" w:cs="arial"/>
            <w:i/>
            <w:color w:val="0077CC"/>
            <w:sz w:val="20"/>
            <w:u w:val="single"/>
            <w:shd w:val="clear" w:color="auto" w:fill="FFFFFF"/>
            <w:lang w:val="en-US" w:eastAsia="en-US" w:bidi="ar-SA"/>
          </w:rPr>
          <w:t>R.S.B.C. 1996, c. 253, s. 53</w:t>
        </w:r>
      </w:hyperlink>
      <w:r>
        <w:rPr>
          <w:rFonts w:ascii="arial" w:eastAsia="arial" w:hAnsi="arial" w:cs="arial"/>
          <w:color w:val="000000"/>
          <w:sz w:val="20"/>
          <w:lang w:val="en-US" w:eastAsia="en-US" w:bidi="ar-SA"/>
        </w:rPr>
        <w:t>(3).</w:t>
      </w:r>
    </w:p>
    <w:p>
      <w:pPr>
        <w:spacing w:line="260" w:lineRule="atLeast"/>
        <w:jc w:val="both"/>
        <w:rPr>
          <w:lang w:val="en-US" w:eastAsia="en-US" w:bidi="ar-SA"/>
        </w:rPr>
      </w:pPr>
      <w:r>
        <w:rPr>
          <w:lang w:val="en-US" w:eastAsia="en-US" w:bidi="ar-SA"/>
        </w:rPr>
        <w:br/>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w:t>
      </w:r>
      <w:r>
        <w:rPr>
          <w:lang w:val="en-US" w:eastAsia="en-US" w:bidi="ar-SA"/>
        </w:rPr>
        <w:cr/>
      </w:r>
    </w:p>
    <w:p>
      <w:pPr>
        <w:keepNext/>
        <w:spacing w:before="240" w:line="340" w:lineRule="atLeast"/>
        <w:rPr>
          <w:lang w:val="en-US" w:eastAsia="en-US" w:bidi="ar-SA"/>
        </w:rPr>
      </w:pPr>
      <w:bookmarkStart w:id="67" w:name="Counsel_8"/>
      <w:bookmarkEnd w:id="67"/>
      <w:r>
        <w:rPr>
          <w:rFonts w:ascii="arial" w:eastAsia="arial" w:hAnsi="arial" w:cs="arial"/>
          <w:b/>
          <w:color w:val="000000"/>
          <w:sz w:val="28"/>
          <w:lang w:val="en-US" w:eastAsia="en-US" w:bidi="ar-SA"/>
        </w:rPr>
        <w:t>Counsel</w:t>
      </w:r>
    </w:p>
    <w:p>
      <w:pPr>
        <w:spacing w:line="60" w:lineRule="exact"/>
        <w:rPr>
          <w:lang w:val="en-US" w:eastAsia="en-US" w:bidi="ar-SA"/>
        </w:rPr>
      </w:pPr>
      <w:r>
        <w:pict>
          <v:line id="_x0000_s1071" style="position:absolute;z-index:251769856"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Michael P. Carroll, Q.C., for the plaintiff. Richard R. Sugden, Q.C., for the defendant.</w:t>
      </w:r>
      <w:r>
        <w:rPr>
          <w:lang w:val="en-US" w:eastAsia="en-US" w:bidi="ar-SA"/>
        </w:rPr>
        <w:cr/>
      </w:r>
    </w:p>
    <w:p>
      <w:pPr>
        <w:spacing w:after="240"/>
        <w:rPr>
          <w:lang w:val="en-US" w:eastAsia="en-US" w:bidi="ar-SA"/>
        </w:rPr>
      </w:pPr>
      <w:bookmarkStart w:id="68" w:name="Judgment_8"/>
      <w:bookmarkEnd w:id="68"/>
      <w:r>
        <w:pict>
          <v:line id="_x0000_s1072" style="position:absolute;z-index:251821056"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7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69" w:name="DILLON J."/>
            <w:bookmarkEnd w:id="69"/>
            <w:r>
              <w:rPr>
                <w:rFonts w:ascii="arial" w:eastAsia="arial" w:hAnsi="arial" w:cs="arial"/>
                <w:b/>
                <w:color w:val="000000"/>
                <w:sz w:val="30"/>
                <w:lang w:val="en-US" w:eastAsia="en-US" w:bidi="ar-SA"/>
              </w:rPr>
              <w:t>DILLON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claims contribution against the defendant for half of the amount that the plaintiff paid to settle a breach of confidence claim previously brought by Cadbury Schweppes Inc. ("Cadbury") against both parties. This trial proceeded by agreed statement as to all facts with the addition of some discovery evidence read in by the plaintiff. Various judgments also form the background to this case. Third party proceedings between the defendant and Cadbury are left for another day, depending on the outcome of this trial.</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Facts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Cadbury successfully sued the plaintiff and defendant for breach of confidence arising from the wrongful use by the plaintiff and defendant of confidential information in the production of a clam and tomato cocktail in competition with Cadbury's own product known as "Clamato". Cadbury was awarded judgment on May 25, 1994 (</w:t>
      </w:r>
      <w:hyperlink r:id="rId202" w:history="1">
        <w:r>
          <w:rPr>
            <w:rFonts w:ascii="arial" w:eastAsia="arial" w:hAnsi="arial" w:cs="arial"/>
            <w:i/>
            <w:color w:val="0077CC"/>
            <w:sz w:val="20"/>
            <w:u w:val="single"/>
            <w:shd w:val="clear" w:color="auto" w:fill="FFFFFF"/>
            <w:lang w:val="en-US" w:eastAsia="en-US" w:bidi="ar-SA"/>
          </w:rPr>
          <w:t>93 B.C.L.R. (2d) 318</w:t>
        </w:r>
      </w:hyperlink>
      <w:r>
        <w:rPr>
          <w:rFonts w:ascii="arial" w:eastAsia="arial" w:hAnsi="arial" w:cs="arial"/>
          <w:color w:val="000000"/>
          <w:sz w:val="20"/>
          <w:lang w:val="en-US" w:eastAsia="en-US" w:bidi="ar-SA"/>
        </w:rPr>
        <w:t xml:space="preserve"> (B.C.S.C.)) against the parties to this action and Lawrence Kurlender ("Kurlender") for damages in the amount that FBI Foods Ltd. ("FBI") or Caesar Canning Ltd. would have paid to develop a product to compete in the tomato cocktail market in Canada. The defendant was found personally liable in the action as a director of Caesar Canning Ltd., the company that originally secured the licence to manufacture and market Clamato cocktail in Canada, because he knew or should have known that his company did not have licence to copy the Clamato recipe and was "alive to the peril of what his company was doing under his direction" (at 341 and 335). The plaintiff was vicariously liable through its employee, Kurlender, who knew the facts constituting the breach of confidence and indifferently assumed the risk. Although counsel spent much time at this trial explaining the facts that gave rise to the breach of confidence, these facts are detailed in the reasons for judgment at trial and need not be repeated here. Damages were to be assessed on taxation but the parties subsequently agreed that this amount was $29,761.20 based on the amount that was paid to an expert to figure out the formula for Clamato and basically copy it without containing any clam or seafood product.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 this action, the defendant admitted on discovery that he copied the recipe for "Clamato" without the clam and with different seasonings. The original licence agreement had prohibited the use of clams in any product. When the licence was terminated, all parties initially thought that the restriction against clams was the only operating restriction. However, when the plaintiff and defendant developed a product that was basically the same without the clams based upon the "Clamato" recipe, Cadbury sued for breach of confidentiality.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Cadbury appealed the Supreme Court decision, claiming damages for lost profit and royalties as well as an injunction to prevent these parties from selling products derived from the Clamato recipe. The plaintiff and defendant cross-appealed, seeking dismissal of the award against them. The defendant prepared a draft factum but never filed it. Instead, the defendant settled Cadbury's claim against him just prior to hearing of the appeal. The terms of this settlement were not made known to the plaintiff until recently.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settlement between Cadbury and the defendant was in the form of a covenant by Cadbury not to sue and contained the following provision:</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FOR AND IN CONSIDERATION of the sum of ONE DOLLAR ($1.00), and other good and valuable consideration, the receipt and sufficiency whereof is hereby acknowledged, the undersigned hereby jointly and severally promise, covenant and agree to and with IRVING GLASSNER, his heirs, executors, administrators, agents and assigns, that neither we, or either of us, nor anyone claiming through us, will hereafter bring, commence, prosecute or maintain, or cause or permit to be brought, commenced, prosecuted or maintained, any suit or action, either at law or in equity for any claim or right of action now existing, against IRVING GLASSNER, either personally or in his capacity as a former officer and director of CAESAR CANNING LTD., and that </w:t>
      </w:r>
      <w:r>
        <w:rPr>
          <w:rFonts w:ascii="arial" w:eastAsia="arial" w:hAnsi="arial" w:cs="arial"/>
          <w:b/>
          <w:color w:val="000000"/>
          <w:sz w:val="20"/>
          <w:lang w:val="en-US" w:eastAsia="en-US" w:bidi="ar-SA"/>
        </w:rPr>
        <w:t>neither we, nor either of us, nor anyone claiming through us, will enforce, prosecute or recover upon, or attempt to enforce, any claim or right of action whatsoever now existing, which we, or either of us, or anyone claiming through us, may now have or may hereafter assert</w:t>
      </w:r>
      <w:r>
        <w:rPr>
          <w:rFonts w:ascii="arial" w:eastAsia="arial" w:hAnsi="arial" w:cs="arial"/>
          <w:color w:val="000000"/>
          <w:sz w:val="20"/>
          <w:lang w:val="en-US" w:eastAsia="en-US" w:bidi="ar-SA"/>
        </w:rPr>
        <w:t>. (My italics)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Cadbury was successful against the plaintiff in the British Columbia Court of Appeal on August 15, 1996 and obtained damages for lost profits for one year plus an injunction (</w:t>
      </w:r>
      <w:hyperlink r:id="rId203" w:history="1">
        <w:r>
          <w:rPr>
            <w:rFonts w:ascii="arial" w:eastAsia="arial" w:hAnsi="arial" w:cs="arial"/>
            <w:i/>
            <w:color w:val="0077CC"/>
            <w:sz w:val="20"/>
            <w:u w:val="single"/>
            <w:shd w:val="clear" w:color="auto" w:fill="FFFFFF"/>
            <w:lang w:val="en-US" w:eastAsia="en-US" w:bidi="ar-SA"/>
          </w:rPr>
          <w:t>23 B.C.L.R. (3d) 326</w:t>
        </w:r>
      </w:hyperlink>
      <w:r>
        <w:rPr>
          <w:rFonts w:ascii="arial" w:eastAsia="arial" w:hAnsi="arial" w:cs="arial"/>
          <w:color w:val="000000"/>
          <w:sz w:val="20"/>
          <w:lang w:val="en-US" w:eastAsia="en-US" w:bidi="ar-SA"/>
        </w:rPr>
        <w:t xml:space="preserve"> (B.C.C.A.)). The one year represented the 'head start time' that a company would have needed to produce a competitive tomato cocktail on the market without the confidential information misused by the plaintiff and defendant. Caesar Beverages Inc., a company owned 50% by the plaintiff and 50% by Caesar Canning Ltd. (a company owned by the defendant and his wife), produced and sold the products during this head start period in eastern Canada. A wholly owned subsidiary of the plaintiff produced the product in the west after purchasing the assets of Caesar Canning Ltd. from a receiver in 1986, but was immune from liability for damages because this involvement was after the head start period. The defendant's appeal against Cadbury was dismissed as abandoned.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Following the judgment of the Court of Appeal, the plaintiff informed the defendant that it reserved its right to claim against the defendant for contribution and indemnity for at least 50% of whatever costs or damages it was obliged to pay Cadbury as a result of the judgment. It also informed the defendant that it intended to appeal to the Supreme Court of Canada.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On January 28, 1999, the Supreme Court of Canada gave its judgment in the matter (Cadbury Schweppes Inc. v. FBI Foods Ltd. </w:t>
      </w:r>
      <w:hyperlink r:id="rId204" w:history="1">
        <w:r>
          <w:rPr>
            <w:rFonts w:ascii="arial" w:eastAsia="arial" w:hAnsi="arial" w:cs="arial"/>
            <w:i/>
            <w:color w:val="0077CC"/>
            <w:sz w:val="20"/>
            <w:u w:val="single"/>
            <w:shd w:val="clear" w:color="auto" w:fill="FFFFFF"/>
            <w:lang w:val="en-US" w:eastAsia="en-US" w:bidi="ar-SA"/>
          </w:rPr>
          <w:t>(1999), 59 B.C.L.R. (3d) 1</w:t>
        </w:r>
      </w:hyperlink>
      <w:r>
        <w:rPr>
          <w:rFonts w:ascii="arial" w:eastAsia="arial" w:hAnsi="arial" w:cs="arial"/>
          <w:color w:val="000000"/>
          <w:sz w:val="20"/>
          <w:lang w:val="en-US" w:eastAsia="en-US" w:bidi="ar-SA"/>
        </w:rPr>
        <w:t xml:space="preserve"> (S.C.C.)). Liability for breach of confidence was not contested so the Supreme Court was concerned primarily with remedies. The appropriate remedy was fact driven and intended to restore Cadbury's lost opportunity. The court disallowed the injunction and referred the matter back to the British Columbia Supreme Court for assessment of damages upon proper principles. This was to be based upon lost profits from lost market opportunity over the twelve months that it would otherwise have taken the defendants to develop their own product.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 immediately informed the defendant that it was examining whether it could claim contribution from the defendant and subsequently informed the defendant that it would be seeking contribution. The defendant was invited to comment upon settlement negotiations that were progressing between Cadbury and the plaintiff but the defendant declined to do so. The defendant was specifically informed about the settlement offer of $300,000 and was asked to contribute 50%. The defendant declined to do so.</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the settlement negotiations, Cadbury outlined the value of its claim in excess of $1,000,000 as related only to lost sales attributable to the plaintiff and not to Caesar Canning Ltd.. The eventual settlement agreement of December 21, 1999 was for payment of $300,000 to Cadbury in settlement of all claims including the judgment of the Supreme Court of Canada. It included the following payment term:</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The said sum of $300,000.00 will be payable in two equal installments of $150,000.00. The first such installment will be paid on or before December 31, 1999. The second installment will be payable on the earlier of the date that FBI receives a payment by way of contribution and indemnity from Irving Glassner pursuant to proceedings instituted by FBI against Irving Glassner in the Supreme Court of British Columbia, Vancouver Registry Action No. C995160, or June 1, 2000.</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The defendant was not a party to this agreement. The plaintiff now claims contribution for half of that settlement based upon the 50% interest held by Caesar Canning Ltd. in Caesar Beverages Ltd., the company that produced the offending product in the east. The defendant acknowledges ownership of Caesar Canning Ltd. and does not contest the percentage of attribution.</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Issues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 states that its claim for equitable contribution arose once all appeals had been completed and settlement accomplished. The defendant, however, states that the plaintiff has not proven that any portion of the settlement was paid on behalf of the defendant. He also states that third party proceedings should have been brought in the original actions and delay in doing so has prejudiced the defendant. Further, judicial discretion should be exercised to prevent the claim being advanced at this stage as an abuse of process.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following questions are to be decided. When did the plaintiff's claim for equitable contribution arise? Has the plaintiff proven that it paid for a portion of the loss for the defendant? Does issue estoppel prevent the plaintiff from proceeding with this claim because it should have brought third party proceedings in the earlier action? Should this claim not be allowed to proceed as an abuse of process?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Analysis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It should be noted from the outset that the plaintiff's claim is for equitable contribution in the nature of unjust enrichment and is not brought under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 There is no tort involved. The difference between the principle of common law liability and the principle of liability in equity was stated in Bonner v. Tottenham and Edmonton Permanent Investment Building Society [1899] 1 Q.B. 161 (C.A.) at 174:</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There is a common law principle of liability, and also a principle of liability in equity, and these two principles differ. The common law principle requires a common liability to be sued for that which the plaintiff had to pay, and an interest of the defendant in the payment in the sense that he gets the benefit of the payment, either entirely, as in the case of the assignee of a lease, or pro tanto, as in the case of a surety who has paid, and has his action for contribution against his co-surety. The principle in equity seems wide enough to include cases in which there is community of interest in the subject-matter to which the burden is attached, which has been enforced against the plaintiff alone, coupled with benefit to the defendant, even though there is no common liability to be sued. In such a case it seems to me a plaintiff may recover in equity, although there is no common liability to be sued.</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The equitable principle requires that the burden borne by one for the benefit of others associated with him in interest, whether borne because of election by a plaintiff of choice of parties or by requirement of law as to parties to actions, be shared equally (supra at 175-176). From this, it is clear that it is not necessary for equitable recovery that the beneficiary be sued in the first action in order for a plaintiff to recover a benefit paid. This is different from contribution at law wherein liability must be established in the initial action (see Bonner v. Tottenham, supra at 174 and distinguish from Cook v. Teh </w:t>
      </w:r>
      <w:hyperlink r:id="rId205" w:history="1">
        <w:r>
          <w:rPr>
            <w:rFonts w:ascii="arial" w:eastAsia="arial" w:hAnsi="arial" w:cs="arial"/>
            <w:i/>
            <w:color w:val="0077CC"/>
            <w:sz w:val="20"/>
            <w:u w:val="single"/>
            <w:shd w:val="clear" w:color="auto" w:fill="FFFFFF"/>
            <w:lang w:val="en-US" w:eastAsia="en-US" w:bidi="ar-SA"/>
          </w:rPr>
          <w:t>(1988), 28 B.C.L.R. (2d) 300</w:t>
        </w:r>
      </w:hyperlink>
      <w:r>
        <w:rPr>
          <w:rFonts w:ascii="arial" w:eastAsia="arial" w:hAnsi="arial" w:cs="arial"/>
          <w:color w:val="000000"/>
          <w:sz w:val="20"/>
          <w:lang w:val="en-US" w:eastAsia="en-US" w:bidi="ar-SA"/>
        </w:rPr>
        <w:t xml:space="preserve"> (B.C.S.C.) at 302 and Krusel v. Firth </w:t>
      </w:r>
      <w:hyperlink r:id="rId206" w:history="1">
        <w:r>
          <w:rPr>
            <w:rFonts w:ascii="arial" w:eastAsia="arial" w:hAnsi="arial" w:cs="arial"/>
            <w:i/>
            <w:color w:val="0077CC"/>
            <w:sz w:val="20"/>
            <w:u w:val="single"/>
            <w:shd w:val="clear" w:color="auto" w:fill="FFFFFF"/>
            <w:lang w:val="en-US" w:eastAsia="en-US" w:bidi="ar-SA"/>
          </w:rPr>
          <w:t>(1991), 54 B.C.L.R. (2d) 392</w:t>
        </w:r>
      </w:hyperlink>
      <w:r>
        <w:rPr>
          <w:rFonts w:ascii="arial" w:eastAsia="arial" w:hAnsi="arial" w:cs="arial"/>
          <w:color w:val="000000"/>
          <w:sz w:val="20"/>
          <w:lang w:val="en-US" w:eastAsia="en-US" w:bidi="ar-SA"/>
        </w:rPr>
        <w:t xml:space="preserve"> (B.C.S.C.) at 397).</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The rule of equity that allows a right of contribution is that if two persons are equally liable to be sued for one sum, and one is compelled to pay, he has a right of contribution against the other person liable which is measured by the benefit which that person has received by the payment (Moxham v. Grant, [1900] 1 Q.B. 88 (C.A.)). The principle found early expression in surety cases where equity provided some relief to common law that said that the surety could not sue until he had actually paid more that his portion of the debt. In equity, the claim could be advanced earlier if judgment had been obtained against the surety for more than his portion. Burnyeat,J. recently restated the doctrine in Clayburn Industries v. Recor Services </w:t>
      </w:r>
      <w:hyperlink r:id="rId207" w:history="1">
        <w:r>
          <w:rPr>
            <w:rFonts w:ascii="arial" w:eastAsia="arial" w:hAnsi="arial" w:cs="arial"/>
            <w:i/>
            <w:color w:val="0077CC"/>
            <w:sz w:val="20"/>
            <w:u w:val="single"/>
            <w:shd w:val="clear" w:color="auto" w:fill="FFFFFF"/>
            <w:lang w:val="en-US" w:eastAsia="en-US" w:bidi="ar-SA"/>
          </w:rPr>
          <w:t>(2000), 78 B.C.L.R. (3d) 19</w:t>
        </w:r>
      </w:hyperlink>
      <w:r>
        <w:rPr>
          <w:rFonts w:ascii="arial" w:eastAsia="arial" w:hAnsi="arial" w:cs="arial"/>
          <w:color w:val="000000"/>
          <w:sz w:val="20"/>
          <w:lang w:val="en-US" w:eastAsia="en-US" w:bidi="ar-SA"/>
        </w:rPr>
        <w:t xml:space="preserve"> at 25-26; </w:t>
      </w:r>
      <w:hyperlink r:id="rId207" w:history="1">
        <w:r>
          <w:rPr>
            <w:rFonts w:ascii="arial" w:eastAsia="arial" w:hAnsi="arial" w:cs="arial"/>
            <w:i/>
            <w:color w:val="0077CC"/>
            <w:sz w:val="20"/>
            <w:u w:val="single"/>
            <w:shd w:val="clear" w:color="auto" w:fill="FFFFFF"/>
            <w:lang w:val="en-US" w:eastAsia="en-US" w:bidi="ar-SA"/>
          </w:rPr>
          <w:t>2000 BCSC 1069</w:t>
        </w:r>
      </w:hyperlink>
      <w:r>
        <w:rPr>
          <w:rFonts w:ascii="arial" w:eastAsia="arial" w:hAnsi="arial" w:cs="arial"/>
          <w:color w:val="000000"/>
          <w:sz w:val="20"/>
          <w:lang w:val="en-US" w:eastAsia="en-US" w:bidi="ar-SA"/>
        </w:rPr>
        <w:t xml:space="preserve"> as follows: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Originally, the right to contribution was only available as between co-sureties for the same debt. The following description is given for the contribution between co-sureties in Snells's Principles of Equity, Sweet &amp; Maxwell Ltd., 1982, 28th ed.:</w:t>
      </w:r>
    </w:p>
    <w:p>
      <w:pPr>
        <w:spacing w:before="120" w:line="260" w:lineRule="atLeast"/>
        <w:ind w:left="1080"/>
        <w:rPr>
          <w:lang w:val="en-US" w:eastAsia="en-US" w:bidi="ar-SA"/>
        </w:rPr>
      </w:pPr>
      <w:r>
        <w:rPr>
          <w:rFonts w:ascii="arial" w:eastAsia="arial" w:hAnsi="arial" w:cs="arial"/>
          <w:color w:val="000000"/>
          <w:sz w:val="20"/>
          <w:lang w:val="en-US" w:eastAsia="en-US" w:bidi="ar-SA"/>
        </w:rPr>
        <w:t>Where there are two or more sureties for the same debts, and one of them pays the whole debt or more than his proportion of it, he has a right to contribution from his co-surety or co-sureties if he cannot obtain indemnity from the principle debtor. (at p. 469)</w:t>
      </w:r>
    </w:p>
    <w:p>
      <w:pPr>
        <w:spacing w:before="120" w:line="260" w:lineRule="atLeast"/>
        <w:ind w:left="1080"/>
        <w:rPr>
          <w:lang w:val="en-US" w:eastAsia="en-US" w:bidi="ar-SA"/>
        </w:rPr>
      </w:pPr>
      <w:r>
        <w:rPr>
          <w:rFonts w:ascii="arial" w:eastAsia="arial" w:hAnsi="arial" w:cs="arial"/>
          <w:color w:val="000000"/>
          <w:sz w:val="20"/>
          <w:lang w:val="en-US" w:eastAsia="en-US" w:bidi="ar-SA"/>
        </w:rPr>
        <w:t>No action for contribution could be brought at law until the surety had actually paid more than his proportion of the debt. In equity, however, even before payment it has always been possible for a surety to bring an action in the nature of quia timet against his co-sureties if judgment has been obtained against him by the creditor for more than his proportion, or perhaps if he is merely threatened by the creditor with an action for more than his proportion. (at p.470)</w:t>
      </w:r>
    </w:p>
    <w:p>
      <w:pPr>
        <w:spacing w:before="120" w:line="260" w:lineRule="atLeast"/>
        <w:ind w:left="720"/>
        <w:rPr>
          <w:lang w:val="en-US" w:eastAsia="en-US" w:bidi="ar-SA"/>
        </w:rPr>
      </w:pPr>
      <w:r>
        <w:rPr>
          <w:rFonts w:ascii="arial" w:eastAsia="arial" w:hAnsi="arial" w:cs="arial"/>
          <w:color w:val="000000"/>
          <w:sz w:val="20"/>
          <w:lang w:val="en-US" w:eastAsia="en-US" w:bidi="ar-SA"/>
        </w:rPr>
        <w:t>The principle of contribution is based on the concept of unjust enrichment and, because it is general in nature, it is not restricted to surety cases. Although the application of the doctrine generally arises in the context of co-sureties or guarantors, the rules extend in general to persons who, in one way or another, incur a common liability where one of them has discharged more than his or her proportionate share of that mutual obligation. The principles of contribution have been extended to cases involving co-insurers, co-mortgagors, co-trustees, corporate directors and partners and other co-obligors but the right to contribution at common law does not apply among joint tortfeasors: Merryweather v. Nixan (1799), 8 T.R. 186.</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Section 53(3) of the Law and Equity Act, </w:t>
      </w:r>
      <w:r>
        <w:rPr>
          <w:rFonts w:ascii="arial" w:eastAsia="arial" w:hAnsi="arial" w:cs="arial"/>
          <w:i/>
          <w:color w:val="000000"/>
          <w:sz w:val="20"/>
          <w:lang w:val="en-US" w:eastAsia="en-US" w:bidi="ar-SA"/>
        </w:rPr>
        <w:t>R.S.B.C. 1996, c. 253</w:t>
      </w:r>
      <w:r>
        <w:rPr>
          <w:rFonts w:ascii="arial" w:eastAsia="arial" w:hAnsi="arial" w:cs="arial"/>
          <w:color w:val="000000"/>
          <w:sz w:val="20"/>
          <w:lang w:val="en-US" w:eastAsia="en-US" w:bidi="ar-SA"/>
        </w:rPr>
        <w:t xml:space="preserve"> sets out the principles of contribution between persons jointly liable. But, these same principles are in effect between several concurrent wrongdoers so that once it is determined that the respective wrongs have caused the same damage for which both parties are liable, any difference in the initial wrongs is irrelevant (Clayburn Industries v. Recor Services, supra at 26-27).</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Here, the plaintiff and defendant are concurrent wrongdoers, severally liable because there were different wrongs committed based upon different participation in the breach of confidence. It is conceded that in order for the plaintiff to have an equitable claim against the defendant, it must have borne a burden for the benefit of the defendant. The defendant contests in several ways that any benefit was received.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defendant says that the amount paid by the plaintiff to Cadbury was for lost profits and royalties and because the defendant was found not liable to Cadbury for lost profits at trial and then settled against Cadbury, the plaintiff cannot seek contribution. While this may be the case at common law (see Krusel v. Firth, supra at 397; Sylte v. Jackson Bros. Logging Co. </w:t>
      </w:r>
      <w:hyperlink r:id="rId208" w:history="1">
        <w:r>
          <w:rPr>
            <w:rFonts w:ascii="arial" w:eastAsia="arial" w:hAnsi="arial" w:cs="arial"/>
            <w:i/>
            <w:color w:val="0077CC"/>
            <w:sz w:val="20"/>
            <w:u w:val="single"/>
            <w:shd w:val="clear" w:color="auto" w:fill="FFFFFF"/>
            <w:lang w:val="en-US" w:eastAsia="en-US" w:bidi="ar-SA"/>
          </w:rPr>
          <w:t>(1988), 27 B.C.L.R. (2d) 357</w:t>
        </w:r>
      </w:hyperlink>
      <w:r>
        <w:rPr>
          <w:rFonts w:ascii="arial" w:eastAsia="arial" w:hAnsi="arial" w:cs="arial"/>
          <w:color w:val="000000"/>
          <w:sz w:val="20"/>
          <w:lang w:val="en-US" w:eastAsia="en-US" w:bidi="ar-SA"/>
        </w:rPr>
        <w:t xml:space="preserve"> (B.C.S.C.) at 363-4); but contra see Tucker (Public Trustee of) v. Asleson </w:t>
      </w:r>
      <w:hyperlink r:id="rId209" w:history="1">
        <w:r>
          <w:rPr>
            <w:rFonts w:ascii="arial" w:eastAsia="arial" w:hAnsi="arial" w:cs="arial"/>
            <w:i/>
            <w:color w:val="0077CC"/>
            <w:sz w:val="20"/>
            <w:u w:val="single"/>
            <w:shd w:val="clear" w:color="auto" w:fill="FFFFFF"/>
            <w:lang w:val="en-US" w:eastAsia="en-US" w:bidi="ar-SA"/>
          </w:rPr>
          <w:t>(1993), 102 D.L.R. (4th) 518</w:t>
        </w:r>
      </w:hyperlink>
      <w:r>
        <w:rPr>
          <w:rFonts w:ascii="arial" w:eastAsia="arial" w:hAnsi="arial" w:cs="arial"/>
          <w:color w:val="000000"/>
          <w:sz w:val="20"/>
          <w:lang w:val="en-US" w:eastAsia="en-US" w:bidi="ar-SA"/>
        </w:rPr>
        <w:t xml:space="preserve"> (B.C.C.A.),78 B.C.L.R. (2d) 173), it is not so in equity where there need be no finding of liability and contribution will ensue as long as a benefit has been paid on the defendant's behalf.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defendant then argued that the covenant not to sue the defendant given in settlement extinguished the defendant's liability to Cadbury. As such, Cadbury could not have recovered the whole of its loss from the plaintiff and only recovered that portion attributable to the plaintiff. This is very similar to the argument above and is answered the same as it applies to equity. However, in Tucker, Madam Justice Southin found that release of a tortfeasor severally liable with another did not preclude a claim in contribution from the other tortfeasor severally liable for the excess that it had to pay regardless that the liability of the tortfeasor released was not disputed at trial. She said at 576:</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if the person suffering the damage or loss has released his cause of action against one, that one is not liable to contribute to the other".</w:t>
      </w:r>
    </w:p>
    <w:p>
      <w:pPr>
        <w:spacing w:before="120" w:line="260" w:lineRule="atLeast"/>
        <w:ind w:left="720"/>
        <w:rPr>
          <w:lang w:val="en-US" w:eastAsia="en-US" w:bidi="ar-SA"/>
        </w:rPr>
      </w:pPr>
      <w:r>
        <w:rPr>
          <w:rFonts w:ascii="arial" w:eastAsia="arial" w:hAnsi="arial" w:cs="arial"/>
          <w:color w:val="000000"/>
          <w:sz w:val="20"/>
          <w:lang w:val="en-US" w:eastAsia="en-US" w:bidi="ar-SA"/>
        </w:rPr>
        <w:t>To my mind that does not make sense. I think the right of contribution and indemnity among several concurrent tortfeasors is independent of what the injured person does if, in fact, damage or loss has been caused by the fault of two or more. A finding in an action between the person suffering the loss and one of the several concurrent tortfeasors that the latter has caused some part of the damage by his fault, makes that person liable to the person suffering the loss for the whole of the loss, subject to deduction for what that person has received from the released tortfeasor, but does not prevent the tortfeasor who was sued from maintaining his claim for contribution, whether in that action or a separate action. In the first action, it is quite unnecessary for the court to make any division of fault but in the proceedings for contribution it must do so in order to implement the statute.</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By analogy, this reasoning applies in this case.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The defendant then refined his argument even further and said that the damages paid by the plaintiff were attributable exclusively to FBI Foods. In British Columbia Ferry Corp. v. T&amp;N plc </w:t>
      </w:r>
      <w:hyperlink r:id="rId210" w:history="1">
        <w:r>
          <w:rPr>
            <w:rFonts w:ascii="arial" w:eastAsia="arial" w:hAnsi="arial" w:cs="arial"/>
            <w:i/>
            <w:color w:val="0077CC"/>
            <w:sz w:val="20"/>
            <w:u w:val="single"/>
            <w:shd w:val="clear" w:color="auto" w:fill="FFFFFF"/>
            <w:lang w:val="en-US" w:eastAsia="en-US" w:bidi="ar-SA"/>
          </w:rPr>
          <w:t>(1993), 86 B.C.L.R. (2d) 353</w:t>
        </w:r>
      </w:hyperlink>
      <w:r>
        <w:rPr>
          <w:rFonts w:ascii="arial" w:eastAsia="arial" w:hAnsi="arial" w:cs="arial"/>
          <w:color w:val="000000"/>
          <w:sz w:val="20"/>
          <w:lang w:val="en-US" w:eastAsia="en-US" w:bidi="ar-SA"/>
        </w:rPr>
        <w:t xml:space="preserve"> (B.C.S.C.), Tucker was distinguished because the plaintiff ferry corporation sought only that portion of damage actually caused by the defendant tortfeasor in the action and had agreed not to seek any portion of the losses claimed against the third party against whom contribution was then sought.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Throughout the original action, Cadbury pursued the whole of its loss that it suffered through wrongful copying and use of the Clamato formula without distinction between the defendants when it came to damages. The trial judge found a common liability between the plaintiff and defendant through the joint venture and the conduct of the defendant and Kurlender in wrongfully copying and using the Clamato formula. Damages flowed from that. The sole separation of the defendants in damages occurred in the Court of Appeal in respect of FBI Brands only. FBI Brands was the corporation operating in the west that had taken over after the receivership of Caesar's Canning Ltd. and after the head start period. There was no attempt at trial or in the Court of Appeal to separate causation or to apportion damages between the defendants, except as already stated. The damages as agreed between Cadbury and the plaintiff were for lost profits in eastern Canada as arose through Caesar Beverages Inc.. In the Supreme Court of Canada, Cadbury did not contest the separation out of FBI Brands. In settlement correspondence, Cadbury made it clear that it sought damages for lost sales only within the FBI area and not the area of Caesar's Canning. By FBI 'area' was meant eastern Canada as indicated in tables to the settlement letters. This situation is different from B.C. Ferry Corp. v. T&amp;C plc. where the plaintiff elected to claim from one defendant only that portion of loss caused by that defendant alone.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benefit derived here was payment by FBI of damages for the lost profits and royalties from the eastern market which was operated through the eastern production and distribution company, Caesar Beverages Ltd., which was owned equally by FBI and Mr. Glassner through his company, Caesar Canning Inc.. That equal ownership would give rise to benefit of 50 percent in a settlement was not, in itself, contested.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The claim for contribution does not arise until the payor has paid more than his share. There is no equity to receive a contribution until a disproportionate share of the loss has been paid (Hawrish v. Peters, </w:t>
      </w:r>
      <w:hyperlink r:id="rId211" w:history="1">
        <w:r>
          <w:rPr>
            <w:rFonts w:ascii="arial" w:eastAsia="arial" w:hAnsi="arial" w:cs="arial"/>
            <w:i/>
            <w:color w:val="0077CC"/>
            <w:sz w:val="20"/>
            <w:u w:val="single"/>
            <w:shd w:val="clear" w:color="auto" w:fill="FFFFFF"/>
            <w:lang w:val="en-US" w:eastAsia="en-US" w:bidi="ar-SA"/>
          </w:rPr>
          <w:t>[1982] 1 S.C.R. 1083</w:t>
        </w:r>
      </w:hyperlink>
      <w:r>
        <w:rPr>
          <w:rFonts w:ascii="arial" w:eastAsia="arial" w:hAnsi="arial" w:cs="arial"/>
          <w:color w:val="000000"/>
          <w:sz w:val="20"/>
          <w:lang w:val="en-US" w:eastAsia="en-US" w:bidi="ar-SA"/>
        </w:rPr>
        <w:t xml:space="preserve"> at 1086-1088). In the case of co-sureties, ascertainment of the right to contribution may be made prospectively but is then a different right than that which accrues upon actual payment (Hawrish, supra at 1090).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As between several concurrent tortfeasors, the right of contribution and indemnity is independent from the loss suffered by the injured person. It is a separate and distinct cause of action that does not arise until the judgment or settlement in the original action (Cristovao v. Doran's Beverages Inc. </w:t>
      </w:r>
      <w:hyperlink r:id="rId212" w:history="1">
        <w:r>
          <w:rPr>
            <w:rFonts w:ascii="arial" w:eastAsia="arial" w:hAnsi="arial" w:cs="arial"/>
            <w:i/>
            <w:color w:val="0077CC"/>
            <w:sz w:val="20"/>
            <w:u w:val="single"/>
            <w:shd w:val="clear" w:color="auto" w:fill="FFFFFF"/>
            <w:lang w:val="en-US" w:eastAsia="en-US" w:bidi="ar-SA"/>
          </w:rPr>
          <w:t>(1983), 143 D.L.R. (3d) 641</w:t>
        </w:r>
      </w:hyperlink>
      <w:r>
        <w:rPr>
          <w:rFonts w:ascii="arial" w:eastAsia="arial" w:hAnsi="arial" w:cs="arial"/>
          <w:color w:val="000000"/>
          <w:sz w:val="20"/>
          <w:lang w:val="en-US" w:eastAsia="en-US" w:bidi="ar-SA"/>
        </w:rPr>
        <w:t xml:space="preserve"> at 648 (Ont.H.C.); Tucker v. Asleson, supra at 576). Procedurally, it is open to claim for contribution by third party action in the first action or in a separate action after liability is determined in the first action.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cases are helpful to decide that it is not necessary to bring third party proceedings in the first action in order to found a claim in contribution. In fact, it really should be brought in a separate action after the settlement or judgment in the first action has been paid. While the claim can be brought in the earlier action, the right does not accrue until payment of a disproportionate amount on behalf of the defendant.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cases clearly suggest that the party who recognizes that there may be a claim in contribution at the end of the day has an option. While this may appear to go against the general principle of res judicata that litigants should bring forward their entire case in one action and avoid carving up a controversy that should be resolved in one action (Lim v. Lim </w:t>
      </w:r>
      <w:hyperlink r:id="rId213" w:history="1">
        <w:r>
          <w:rPr>
            <w:rFonts w:ascii="arial" w:eastAsia="arial" w:hAnsi="arial" w:cs="arial"/>
            <w:i/>
            <w:color w:val="0077CC"/>
            <w:sz w:val="20"/>
            <w:u w:val="single"/>
            <w:shd w:val="clear" w:color="auto" w:fill="FFFFFF"/>
            <w:lang w:val="en-US" w:eastAsia="en-US" w:bidi="ar-SA"/>
          </w:rPr>
          <w:t>(1999), 180 D.L.R. (4th) 87</w:t>
        </w:r>
      </w:hyperlink>
      <w:r>
        <w:rPr>
          <w:rFonts w:ascii="arial" w:eastAsia="arial" w:hAnsi="arial" w:cs="arial"/>
          <w:color w:val="000000"/>
          <w:sz w:val="20"/>
          <w:lang w:val="en-US" w:eastAsia="en-US" w:bidi="ar-SA"/>
        </w:rPr>
        <w:t xml:space="preserve"> at 92-93; </w:t>
      </w:r>
      <w:hyperlink r:id="rId213" w:history="1">
        <w:r>
          <w:rPr>
            <w:rFonts w:ascii="arial" w:eastAsia="arial" w:hAnsi="arial" w:cs="arial"/>
            <w:i/>
            <w:color w:val="0077CC"/>
            <w:sz w:val="20"/>
            <w:u w:val="single"/>
            <w:shd w:val="clear" w:color="auto" w:fill="FFFFFF"/>
            <w:lang w:val="en-US" w:eastAsia="en-US" w:bidi="ar-SA"/>
          </w:rPr>
          <w:t>1999 BCCA 596</w:t>
        </w:r>
      </w:hyperlink>
      <w:r>
        <w:rPr>
          <w:rFonts w:ascii="arial" w:eastAsia="arial" w:hAnsi="arial" w:cs="arial"/>
          <w:color w:val="000000"/>
          <w:sz w:val="20"/>
          <w:lang w:val="en-US" w:eastAsia="en-US" w:bidi="ar-SA"/>
        </w:rPr>
        <w:t xml:space="preserve">), judicial economy is not always the overriding principle, especially when the cause of action does not arise until after judgment or settlement in the first action and a disproportionate share of the loss has been paid. In Lim, Mr. Justice Hall recognized that this principle of judicial economy should be followed "to the extent possible" (at 92). He acknowledged that there were limits to the principle and that the interests of justice must always be regarded. He found the decision of the Nova Scotia Court of Appeal in Hoque v. Montreal Trust Co.(1997), </w:t>
      </w:r>
      <w:hyperlink r:id="rId214" w:history="1">
        <w:r>
          <w:rPr>
            <w:rFonts w:ascii="arial" w:eastAsia="arial" w:hAnsi="arial" w:cs="arial"/>
            <w:i/>
            <w:color w:val="0077CC"/>
            <w:sz w:val="20"/>
            <w:u w:val="single"/>
            <w:shd w:val="clear" w:color="auto" w:fill="FFFFFF"/>
            <w:lang w:val="en-US" w:eastAsia="en-US" w:bidi="ar-SA"/>
          </w:rPr>
          <w:t>162 N.S.R. (2d) 321</w:t>
        </w:r>
      </w:hyperlink>
      <w:r>
        <w:rPr>
          <w:rFonts w:ascii="arial" w:eastAsia="arial" w:hAnsi="arial" w:cs="arial"/>
          <w:color w:val="000000"/>
          <w:sz w:val="20"/>
          <w:lang w:val="en-US" w:eastAsia="en-US" w:bidi="ar-SA"/>
        </w:rPr>
        <w:t xml:space="preserve"> at 338 (N.S.C.A.) helpful in that regard. There, the court said that the test was not whether the issue could have been raised in the first action, but whether it should have been raised depending on a number of factors. Cromwell, J.A. said at 338:</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My review of these authorities shows that while there are some very broad statements that all matters which could have been raised are barred under the principle of cause of action estoppel, none of the cases actually demonstrates this broad principle. In each case, the issue was whether the party should have raised the point now asserted in the second action. That turns on a number of considerations, including whether the new allegations are inconsistent with matters actually decided in the earlier case, whether it relates to the same or a distinct cause of action, whether there is an attempt to rely on new facts which could have been discovered with reasonable diligence in the earlier case, whether the second action is simply an attempt to impose a new legal conception on the same facts or whether the present action constitutes an abuse of process.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These considerations support a flexible approach so that litigation is not shut out except after scrupulous examination of all of the circumstances and where reasonable diligence would have caused the matter to be raised earlier (Yat Tung Investment Co. v. Dao Heng Bank, [1975] A.C. 581 at 590 (H.L.); Hoque supra at 331; British Columbia (Minister of Forests) v. Bugbusters Pest Management Inc. </w:t>
      </w:r>
      <w:hyperlink r:id="rId215" w:history="1">
        <w:r>
          <w:rPr>
            <w:rFonts w:ascii="arial" w:eastAsia="arial" w:hAnsi="arial" w:cs="arial"/>
            <w:i/>
            <w:color w:val="0077CC"/>
            <w:sz w:val="20"/>
            <w:u w:val="single"/>
            <w:shd w:val="clear" w:color="auto" w:fill="FFFFFF"/>
            <w:lang w:val="en-US" w:eastAsia="en-US" w:bidi="ar-SA"/>
          </w:rPr>
          <w:t>(1998), 50 B.C.L.R. (3d) 1</w:t>
        </w:r>
      </w:hyperlink>
      <w:r>
        <w:rPr>
          <w:rFonts w:ascii="arial" w:eastAsia="arial" w:hAnsi="arial" w:cs="arial"/>
          <w:color w:val="000000"/>
          <w:sz w:val="20"/>
          <w:lang w:val="en-US" w:eastAsia="en-US" w:bidi="ar-SA"/>
        </w:rPr>
        <w:t xml:space="preserve"> at 11 (B.C.C.A.)).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defendant agrees with these principles and that the plaintiff had an option to wait. However, he stated that the plaintiff should have brought the issue as third party proceedings in the first action based upon the Hoque factors. The new allegation is not inconsistent with matters actually decided in the first action: however, the cause of action did not arise until the first action was settled. It is a separate cause of action. It would not have been practicable to bring the action for contribution in the first action when the parties were of one interest in that action. It is not a simple situation such as an action for debt where there are co-sureties so that the amount of contribution is clear from the start. The plaintiff could not have ascertained the amount of the settlement with due diligence in the first action which was hard fought. Therefore, it does not follow as a matter of principle that this action should be barred. Issue estoppel is not appropriate.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Further and separately, the defendant stated that it is an abuse of process to allow the action now because the defendant has been prejudiced by failure to raise the matter in the first action. The delay in bringing an action against the defendant has prevented the defendant from putting forward a defence, namely, that the corporate veil should not have been pierced at trial in the first action. When the defendant did not proceed with his appeal, he did not pursue the alleged error of the trial judge in attributing responsibility for Caesar Canning Ltd. to the defendant. Instead, he settled with Cadbury for undisclosed terms and did not participate further in the appeals. He did not seek to settle with the plaintiff. It was not until after judgment from the British Columbia Court of Appeal that the plaintiff advised the defendant that it was going to claim contribution. The defendant says that it is unfair and an abuse of process to allow the plaintiff's action to proceed in these circumstances when the defendant could have been completely absolved of liability.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An action can be struck out as an abuse of process when res judicata is not available. The res judicata rule in Henderson v. Henderson (1843), 67 E.R. 313 as quoted in Lim supra at 92 is also a rule of public policy (Vervaeke v. Smith, [1982] 2 All E.R. 144 at 152 (H.L.)). This rule requires parties to bring forward their whole case in one action. Lyons, J.A. recognized that it is possible to get beyond the hard and fast rules of issue estoppel in Solomon v. Smith </w:t>
      </w:r>
      <w:hyperlink r:id="rId216" w:history="1">
        <w:r>
          <w:rPr>
            <w:rFonts w:ascii="arial" w:eastAsia="arial" w:hAnsi="arial" w:cs="arial"/>
            <w:i/>
            <w:color w:val="0077CC"/>
            <w:sz w:val="20"/>
            <w:u w:val="single"/>
            <w:shd w:val="clear" w:color="auto" w:fill="FFFFFF"/>
            <w:lang w:val="en-US" w:eastAsia="en-US" w:bidi="ar-SA"/>
          </w:rPr>
          <w:t>(1987), 45 D.L.R. (4th) 266</w:t>
        </w:r>
      </w:hyperlink>
      <w:r>
        <w:rPr>
          <w:rFonts w:ascii="arial" w:eastAsia="arial" w:hAnsi="arial" w:cs="arial"/>
          <w:color w:val="000000"/>
          <w:sz w:val="20"/>
          <w:lang w:val="en-US" w:eastAsia="en-US" w:bidi="ar-SA"/>
        </w:rPr>
        <w:t xml:space="preserve"> at 275:</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I agree ... that a plea of issue estoppel is not available. However to permit the statement of claim to proceed would be an abuse of process and that is the principle applicable. In considering this doctrine, it seems to me prudent to avoid hard and fast, institutionalized rules such as those which attach to the plea of issue estoppel. By encouraging the determination of each case on its own facts against the general principle of the plea of abuse, serious prejudice to either party as well as to the proper administration of justice can best be avoided. ... we must be vigilant to ensure that the system does not become unnecessarily clogged with repetitious litigation of the kind here attempted. There should be an end to this litigation. To allow the plaintiff to retry the issue of misrepresentation would be a classic example of abuse of process a waste of time and resources of litigants and the court and erosion of the principle of finality so crucial to the proper administration of justice.</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Abuse of process has been invoked in this way to prevent the regurgitation of issues and actions that had already been decided in another jurisdiction and that were continued in a course of conduct intended to harass (420093 B.C.Ltd. v. Bank of Montreal </w:t>
      </w:r>
      <w:hyperlink r:id="rId217" w:history="1">
        <w:r>
          <w:rPr>
            <w:rFonts w:ascii="arial" w:eastAsia="arial" w:hAnsi="arial" w:cs="arial"/>
            <w:i/>
            <w:color w:val="0077CC"/>
            <w:sz w:val="20"/>
            <w:u w:val="single"/>
            <w:shd w:val="clear" w:color="auto" w:fill="FFFFFF"/>
            <w:lang w:val="en-US" w:eastAsia="en-US" w:bidi="ar-SA"/>
          </w:rPr>
          <w:t>(1995), 128 D.L.R.(4th) 488</w:t>
        </w:r>
      </w:hyperlink>
      <w:r>
        <w:rPr>
          <w:rFonts w:ascii="arial" w:eastAsia="arial" w:hAnsi="arial" w:cs="arial"/>
          <w:color w:val="000000"/>
          <w:sz w:val="20"/>
          <w:lang w:val="en-US" w:eastAsia="en-US" w:bidi="ar-SA"/>
        </w:rPr>
        <w:t xml:space="preserve"> at 504-6 (Alta. C.A.)). This wider sense of the doctrine in Henderson has been said to be reserved for "special circumstances" where justice demands non-application of the rule (Yat Tung Investment Co. supra at 590). The policy is aimed at preventing fresh litigation between the same parties over the same subject matter (Nesbitt Thomson Deacon Inc. v. Everett </w:t>
      </w:r>
      <w:hyperlink r:id="rId218" w:history="1">
        <w:r>
          <w:rPr>
            <w:rFonts w:ascii="arial" w:eastAsia="arial" w:hAnsi="arial" w:cs="arial"/>
            <w:i/>
            <w:color w:val="0077CC"/>
            <w:sz w:val="20"/>
            <w:u w:val="single"/>
            <w:shd w:val="clear" w:color="auto" w:fill="FFFFFF"/>
            <w:lang w:val="en-US" w:eastAsia="en-US" w:bidi="ar-SA"/>
          </w:rPr>
          <w:t>(1989) 37 B.C.L.R. (2d) 341</w:t>
        </w:r>
      </w:hyperlink>
      <w:r>
        <w:rPr>
          <w:rFonts w:ascii="arial" w:eastAsia="arial" w:hAnsi="arial" w:cs="arial"/>
          <w:color w:val="000000"/>
          <w:sz w:val="20"/>
          <w:lang w:val="en-US" w:eastAsia="en-US" w:bidi="ar-SA"/>
        </w:rPr>
        <w:t xml:space="preserve"> at 343 (B.C.C.A.)).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This is not the type of repetitious litigation as seen in 420093 B.C. Ltd.. Nor is it an obvious waste of time or an attempt to re-litigate an issue. In fact, the defendant does not argue this. He states that the defence has been prejudiced by not having the opportunity on appeal to absolve the defendant of liability. This, however, ignores the reality that the cause of action did not arise until after settlement monies were paid on behalf of the defendant and that, in equity, it is unnecessary for a beneficiary to even be sued in the first action in order for a plaintiff to recover a benefit paid. The plaintiff was entitled to wait and see whether it would be held liable in the Supreme Court of Canada. Neither party requested adjudication of third party claims in the first action. In Nesbitt Thomson Deacon Inc. supra at 343, Hutcheon, J.A. considered it clearly without merit to argue that third party proceedings should have been brought in the first action when the second action was to recover monies paid to settle the first action. Although invited by the defendant to distinguish this case on the facts, I find that I am unable to do so.</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This leaves the matter of prejudice. In Tucker (albeit a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case), fault had to be borne by Tucker even though her liability was not disputed at trial and she did not appeal (at 573). Findings in the first action do not prevent a claim in contribution unless the plaintiff in the first action elected to claim only from one for loss caused by that one (see British Columbia Ferry Corp. v. T &amp; C plc supra at 356 and above). It cannot be said that serious prejudice has resulted here. The defendant chose to settle early on favourable terms that were not communicated to the plaintiff. He then chose to abandon his appeal when the possibility of the plaintiff claiming contribution was still possible. He ignored offers to participate in settlement discussions. It is unnecessary for me to weigh the likelihood of success of the defendant's forgone appeal argument.</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Conclusion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There is no reason to bar the plaintiff's claim. There were no arguments advanced against the quantum of the contribution in this situation. The defendant shall pay the plaintiff $150,000. Interest is payable pursuant to the Court Order Interest Act, </w:t>
      </w:r>
      <w:r>
        <w:rPr>
          <w:rFonts w:ascii="arial" w:eastAsia="arial" w:hAnsi="arial" w:cs="arial"/>
          <w:i/>
          <w:color w:val="000000"/>
          <w:sz w:val="20"/>
          <w:lang w:val="en-US" w:eastAsia="en-US" w:bidi="ar-SA"/>
        </w:rPr>
        <w:t>R.S.B.C. 1996, c. 79</w:t>
      </w:r>
      <w:r>
        <w:rPr>
          <w:rFonts w:ascii="arial" w:eastAsia="arial" w:hAnsi="arial" w:cs="arial"/>
          <w:color w:val="000000"/>
          <w:sz w:val="20"/>
          <w:lang w:val="en-US" w:eastAsia="en-US" w:bidi="ar-SA"/>
        </w:rPr>
        <w:t>. The plaintiff is entitled to costs on the scale of three.</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DILLON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3" style="position:absolute;z-index:25186713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19"/>
          <w:headerReference w:type="default" r:id="rId220"/>
          <w:footerReference w:type="even" r:id="rId221"/>
          <w:footerReference w:type="default" r:id="rId222"/>
          <w:headerReference w:type="first" r:id="rId223"/>
          <w:footerReference w:type="first" r:id="rId22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25" w:history="1">
        <w:r>
          <w:rPr>
            <w:rFonts w:ascii="arial" w:eastAsia="arial" w:hAnsi="arial" w:cs="arial"/>
            <w:b/>
            <w:bCs/>
            <w:i/>
            <w:color w:val="0077CC"/>
            <w:kern w:val="32"/>
            <w:sz w:val="28"/>
            <w:szCs w:val="32"/>
            <w:u w:val="single"/>
            <w:shd w:val="clear" w:color="auto" w:fill="FFFFFF"/>
            <w:lang w:val="en-US" w:eastAsia="en-US" w:bidi="ar-SA"/>
          </w:rPr>
          <w:t>Forliti (Guardian ad litem of) v. Woolley, [2003] B.C.J. No. 1989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Romilly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August 19,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26,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C995496</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[2003] B.C.J. No. 1989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2003 BCSC 1309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124 A.C.W.S. (3d) 1009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Blue Mattino Forliti, an infant plaintiff, by his Guardian ad Litem, Dawn Irene Forliti, plaintiff, and Dr. Harold Ewart Woolley, Dr. Malcolm Kim Sing, Burnaby Hospital Society, Nurse P. Dowey, Nurse May Miguel, Nurse S. Low, Nurse M. Duncombe, Nurse Miachand, Nurse Ekuelker, Radiologist Doe, Technologist Doe,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74" style="position:absolute;z-index:2516684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70" w:name="Keywords_9"/>
      <w:bookmarkEnd w:id="70"/>
      <w:r>
        <w:rPr>
          <w:rFonts w:ascii="arial" w:eastAsia="arial" w:hAnsi="arial" w:cs="arial"/>
          <w:b/>
          <w:color w:val="000000"/>
          <w:sz w:val="20"/>
          <w:lang w:val="en-US" w:eastAsia="en-US" w:bidi="ar-SA"/>
        </w:rPr>
        <w:t xml:space="preserve">Medicine — Liability of practitioners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or fault — Practice — Judgments and orders — Summary judgments — To dismiss action — Requirement that question at issue be beyond doubt — Bar to application, existence of issue to be tried — Evidence — Opinion evidence — Acceptance, rejection and weight to be given to an expert opinion.</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71" w:name="Case Summary_9"/>
            <w:bookmarkEnd w:id="7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 Kim-Sing for summary judgment to dismiss an action against him. The action was brought on behalf of the infant plaintiff Forliti who claimed damages for birth asphyxia. Kim-Sing was one of the defendants. He was a paediatrician who attended to the resuscitation of Forliti upon his birth. There was conflicting medical evidence regarding whether he adhered to the proper standard of care. Forliti relied upon the expert opinion of an Ontario neonatologist. Kim-Sing claimed this evidence was not admissible because Forliti's expert was not a paediatrician and had not trained or practiced in British Columbia. The trial was scheduled to commence in less than two weeks.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72" w:name="Holdings of Court_6"/>
            <w:bookmarkEnd w:id="72"/>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evidence of Forliti's expert was admissible. The neonatologist was appropriately qualified to provide an opinion on the causation and standard of care issues. Neonatologist were paediatricians with expertise in the diagnosis, treatment and prognosis of medical conditions of newborn infants. The neonatologist's lack of exposure to the standard of care in British Columbia was only one factor to be considered. This case involved significant damages. It was inherently complex because of the expert evidence. It would be unjust to grant summary judgment in Kim-Sing's favour.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73" w:name="Legislation Cited_6"/>
      <w:bookmarkEnd w:id="7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75" style="position:absolute;z-index:2517196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Rules 18A, 18A(11).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74" w:name="Counsel_9"/>
      <w:bookmarkEnd w:id="7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76" style="position:absolute;z-index:2517708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G.V. Lauk, Q.C., for the plaintiff. Dr. Malcolm Kim Sing and K.F. Douglas, for the defendant.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75" w:name="Judgment_9"/>
      <w:bookmarkEnd w:id="75"/>
      <w:r>
        <w:pict>
          <v:line id="_x0000_s1077" style="position:absolute;z-index:251822080"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76" w:name="ROMILLY J."/>
            <w:bookmarkEnd w:id="76"/>
            <w:r>
              <w:rPr>
                <w:rFonts w:ascii="arial" w:eastAsia="arial" w:hAnsi="arial" w:cs="arial"/>
                <w:b/>
                <w:color w:val="000000"/>
                <w:sz w:val="30"/>
                <w:lang w:val="en-US" w:eastAsia="en-US" w:bidi="ar-SA"/>
              </w:rPr>
              <w:t>ROMILLY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NATURE OF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Dr. Malcolm Kim-Sing (the "Applicant Defendant") has applied pursuant to Rule 18A for an Order that this action be dismissed as against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action in question, as brought by the Guardian ad Litem of the infant Plaintiff, Blue Mattino Forliti (the "Infant Plaintiff"), is for medical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Dawn Irene Forliti (the "Plaintiff"), also known as Dawn Irene Kumar, also known as Dawn Irene Munshull and also known as Dawn Irene Davenport, is the mother and Guardian ad Litem of the Infant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Infant Plaintiff claims damages for birth asphyxia, neonatal convulsions, neonatal seizures, spastic quadriparesis, hyponatraemia, severe hypoxic encephalopathy, cerebral palsy, brain injury, physical injury, physical impairment, mental impairment, loss of enjoyment of life and amenities, financial losses and expenses including continuous past and future care, treatment and special education, income loss and loss of earning capacity, aggravated damages, and punitive and exemplary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Dr. Kim-Sing is one of the named Defendants. It is alleged that he was negligent in his resuscitation of the Infant Plaintiff immediately after delivery on October 18, 1997 (the "Resuscitation"), and his post-delivery management.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Dr. Kim-Sing denies that he was negligent in performing the Resuscitation or in his post-delivery management of the Infant Plaintiff. He claims that the Plaintiff has tendered no admissible medical evidence in support of the allegations against him and as such the action should be dismissed as against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For the reasons stated below I am of the view that it would be unjust for me to grant judgment in these proceedings. Dr. Kim-Sing's application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Before I get into the facts and law relating to this application, I will first set out information relating to the status of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STATUS OF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Writ of Summons and Statement of Claim were filed on October 22,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Ms. Forliti's Consent to Act as Guardian ad Litem was filed on November 5,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 Statement of Defence was filed on behalf of the Burnaby Hospital Society (the "Hospital"), Nurse P. Dowey, Nurse May Miguel, Nurse S. Low, Nurse M. Duncombe and Nurse Ekuelker (the "Nurses") on December 15,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 Statement of Defence was filed on behalf of Dr. Harold Ewart Woolley ("Dr. Woolley") and Dr. Kim-Sing on January 11,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Amended Writ of Summons and Statement of Claim were filed on August 29,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An Amended Statement of Defence was filed on behalf of the Hospital and Nurses on September 11,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On February 4, 2002, counsel for the Infant Plaintiff conducted an Examination for Discovery of Dr. Kim-Sing. On April 29, 2003, counsel for the Infant Plaintiff conducted a continued Examination for Discovery of Dr. Kim-Sing.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Counsel for Dr. Kim-Sing and Dr. Woolley commenced but did not conclude an Examination for Discovery of the Plaintiff on February 5, 2002. This Examination for Discovery was continued, but not concluded, on June 14, 2003. Counsel for the Hospital conducted an Examination for Discovery of the Plaintiff on June 21,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Plaintiff's counsel conducted an Examination for Discovery of the Defendant, Nurse P. Dowey, on March 12, 2002, which was continued and concluded on June 24, 2003. Plaintiff's counsel conducted an Examination for Discovery of the Defendant, Nurse E. Kuelker, on January 31, 2002, and of the Defendant, Nurse May Miguel, on February 1,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Plaintiff's counsel conducted an Examination for Discovery of Dr. Woolley on January 30, 2002. On April 30, 2003, Dr. Woolley's Examination for Discovery was continued.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By letter dated May 1, 2003, after the conclusion of the Examination for Discovery of Dr. Kim-Sing, counsel for the Applicant Defendant wrote to Plaintiff's counsel requesting that he reconsider the merits of the claim against Dr. Kim-Sing, and asking for his available dates for a summary trial application extricating Dr. Kim-Sing from the litigation, with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By letter dated May 14, 2003, counsel for the Applicant Defendant wrote to Plaintiff's counsel confirming her understanding that the Plaintiff was not prepared to consent to a dismissal of the action as against Dr. Kim-Sing.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By letter dated June 26, 2003, counsel for the Applicant Defendant wrote to Plaintiff's counsel confirming her understanding, based on information from Plaintiff's counsel, that it might not be necessary to argue the summary trial application for an Order extricating Dr. Kim-Sing from this litigation, and confirming that the summary trial application had been scheduled to proceed on August 19,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Applicant's expert report of paediatrician, Dr. K.O. Asante, dated July 9, 2003, was served on the Plaintiff and the Co-Defendants on July 25,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Applicant Defendant's expert report of paediatrician, Dr. K.O. Asante, dated July 17, 2003, on the issue of causation was served on the Plaintiff and the Co-Defendants on August 15, 2003, after receipt that day of the reports of the Plaintiff's expert, Dr. Max Perlman, dated August 13 and 14,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With respect to evidence relating to the care provided by Dr. Kim-Sing, expert reports were served by the Plaintiff on August 15, 2003, on which date Plaintiff's counsel provided counsel for the Applicant Defendant with two reports of Toronto neonatologist, Dr. Max Perlman.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As a result of the Toronto power outages and resulting transmission failures, Dr. Perlman's full report was not served on counsel for the Applicant Defendant until August 18, 2003, the day before this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trial of this action is scheduled for 20 days commencing October 6,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Having set out the status of the action, I will now outline the relevant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Dr. Kim-Sing is a paediatrician with a particular interest in newborn medicine. He graduated from medical school at the University of Witwater Srand, South Africa, in 1978. He completed his paediatric speciality training in 1985 and a one-year neonatal Fellowship in 1986 at B.C.'s Children's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Ms. Forliti was admitted to the Hospital on the morning of October 18, 1997 for the delivery of the Infant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On October 18, 1997 the gestational age of Ms. Forliti's fetus ("the Fetus") was 41+ weeks. The Fetus was in a frank breech position. An oxytocin drip was administered to Ms. Forliti commencing at approximately 10:00 a.m. on October 18, 1997 for labour induction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Dr. Kim-Sing was present at the delivery of the Infant Plaintiff to perform a newborn resuscitation, if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Dr. Kim-Sing arrived in Ms. Forliti's delivery suite at approximately 18:20 on October 18,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Infant Plaintiff was delivered at 19:19 on October 18, 1997 by vaginal delivery. Following delivery of the buttocks, Dr. Woolley applied forceps to the after coming head. The Infant Plaintiff was not breathing at birth and accordingly, Dr. Kim-Sing immediately began resuscitation efforts. Dr. Kim-Sing observed that the Infant Plaintiff was unconscious, pale, not breathing, and not moving. He noted that the umbilical cord was wrapped around the Infant Plaintiff's neck three times at birth.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Dr. Kim-Sing commenced immediate resuscitation efforts including intubation and the administration of 100 percent oxygen by intermittent positive pressure ventilation within seconds of the Infant Plaintiff's birth.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Infant Plaintiff's heart rate was not immediately heard but was detected by the resuscitation team after two to three minutes of age, at which point it was greater than 100. The Apgar scores were one at 1 minute (indicating a heart rate of &lt; 100 beats per minute), three at 5 minutes, and four at 10 minutes. This heart rate was consistent with a depressed state at birth. At 19:28 on October 18, 1997, Dr. Kim-Sing gave the Infant Plaintiff 5 mEq sodium bicarbonate IV followed by 30 cc's of normal saline. This was followed by a second dose of 5 mEq sodium bicarbonate IV.</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At 19:39, the Infant Plaintiff was noted to be gasping with no regular respirations. His colour was pink with good perfusion and he had good pulses. A neurological examination revealed that the Infant Plaintiff was obtunded (unresponsive) with no reflexes.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At 19:59, the Infant Plaintiff was noted by Dr. Kim-Sing to have spontaneous breathing and was continued on intermittent positive pressure ventilation until the infant transport team arrived.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At 20:03, capillary gases were taken by Dr. Kim-Sing from the Infant Plaintiff by heel prick. The results indicated that the pH was 6.89, the pCO2 was 68 mmHg, the pO2 was 109 mmHg, the HCO3 was 12 mmol/L, and the base excess was -25. These results were consistent with the occurrence of an hypoxic event during labour.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During the resuscitation of the Infant Plaintiff, Dr. Kim-Sing notified the B.C.'s Children's Hospital of the Infant Plaintiff's condition and the infant transport team was dispatched.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infant transport team arrived at the Hospital at 20:17 on October 18, 1997 and continued resuscitation efforts thereafter. At 20:18 on October 18, 1997, Dr. Kim-Sing administered a third dose of 5 mEq sodium bicarbonate to the Infant Plaintiff to correct his acidosis. Thereafter, Dr. Kim-Sing had no further contact with Ms. Forliti or the Infant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While the facts in this case are not in dispute, the same cannot be said for the opinions of the parties' respective experts.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EXPERTS' OPINIONS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As in virtually all medical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cases, both sides have tendered expert opinions supporting their respective positions.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Applicant Defendant's expert, Dr. K.O. Asante, is a paediatrician with over 30 years of experience. Dr. Asante's report is supportive of the care and treatment provided by Dr. Kim-Sing to the Infant Plaintiff. The report suggests inter alia that Dr. Kim-Sing provided adequate and proper resuscitation to the Infant Plaintiff and that he met the standard of care expected of a reasonable paediatrician in similar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Infant Plaintiff's expert, Dr. Max Perlman, is a neonatologist who practices in Toronto, Ontario. Without getting into the specific details of Dr. Perlman's opinion, as set out in his report dated August 18, 2003, it is apparent that he is of the opinion that the failure of Dr. Kim-Sing to administer chest compressions to the Infant Plaintiff was a breach of the applicable standard of care and that this breach contributed to the injuries of the Infant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admissibility of Dr. Perlman's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Applicant Defendant contends that Dr. Perlman's evidence regarding the standard of care is inadmissible for two reasons: firstly because he is not a paediatrician but a neonatologist and secondly because he has never trained or practiced in British Columbia. Having reviewed Dr. Perlman's curriculum vitae, the cases cited by the Applicant in support of Dr. Kim-Sing's position and considering the difficulty in finding a qualified expert, I am of the opinion that Dr. Perlman's report is admissible and should be given some weight.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 am satisfied that as a neonatologist Dr. Perlman is appropriately qualified to provide an opinion on both the standard of care and causation issues. Neonatologists are paediatricians with expertise in the diagnosis, treatment and prognosis of medical conditions of the newborn infant. Neonatology is a "generalist" sub-speciality of paediatrics which deals with the whole patient, as opposed to system-specific sub-specialities such as cardiology or neurology. Neonatologists have knowledge and understanding of relationships between neonatal conditions and events that occur prior to conception, during pregnancy, during delivery, and during adaptation to extra-uterine life. Neonatologists study the relationship between the above events and the condition of the infant at and after birth with later outcomes, including death and various forms of disability. Just as I am satisfied that Dr. Perlman is not under qualified, I am also satisfied that he is not over qualified to provide an opinion on the standard of care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Regarding the fact that Dr. Perlman has never trained or practiced medicine in British Columbia, counsel for the Applicant Defendant cited two unreported cases in which the Court found doctor's opinions to be inadmissible with respect to the issue of standard of care: St. Jules v. Chen (17 October 1989), Nanaimo SC8412 (B.C.S.C.) and Humchitt v. Howie (16 March 1995), Kamloops 19454 (B.C.S.C.). In my view these two cases can be distinguished.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In St. Jules v. Chen the Court ruled against allowing a specialist from the University of Alberta to testify on the standard of care expected of a doctor in a rural community on Vancouver Island. I am unable to find that this case is relevant under the circumstances. Certainly a level 2 standard hospital like Burnaby Hospital cannot be equated with that of a hospital in a rural community.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In Humchitt v. Howie the Court ruled against the admission of a doctor's report relating to the issue of the standard of care expected of a family practitioner in a Kamloops hospital's emergency room. The Court reached this conclusion for a number of reasons including: an absence of any special or particular training or experience in the area of medical practice in question; limited exposure to the practice area due to the nature and scope of his practice; and his lack of exposure to the standard in B.C. In the Humchitt case the doctor had practiced in various rural locations in Ontario and Manitoba. While it is true that Dr. Perlman has a lack of exposure to the standard of care in this province, that was only one of the factors taken into consideration by Macdonald J. in Humchitt. In my view that fact alone does not make his report inadmissible. In Humchitt not only was the expert from out of province, but he also appeared to lack the necessary expertise in the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Having found Dr. Perlman's evidence to be admissible, I am left with a situation in which I have before me two competing experts' opinions regarding the potential liability of Dr. Kim-Sing. The issue then becomes whether I am able to make such a determination and grant judgment under these Rule 18A summary trial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RULE 18A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Rule 18A(11) provides:</w:t>
      </w:r>
      <w:r>
        <w:rPr>
          <w:rFonts w:ascii="arial" w:eastAsia="arial" w:hAnsi="arial" w:cs="arial"/>
          <w:sz w:val="20"/>
          <w:lang w:val="en-US" w:eastAsia="en-US" w:bidi="ar-SA"/>
        </w:rPr>
        <w:cr/>
      </w:r>
    </w:p>
    <w:p>
      <w:pPr>
        <w:numPr>
          <w:numId w:val="8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the hearing of the application, the court may</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grant judgment in favour of any party, either on an issue or generally, unless</w:t>
      </w:r>
    </w:p>
    <w:p>
      <w:pPr>
        <w:numPr>
          <w:numId w:val="3"/>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is unable, on the whole of the evidence before the court on the application, to find the facts necessary to decide the issues of fact or law, or</w:t>
      </w:r>
    </w:p>
    <w:p>
      <w:pPr>
        <w:numPr>
          <w:numId w:val="4"/>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is of the opinion that it would be unjust to decide the issues on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The factors to consider when determining whether it would be unjust to decide the issues on a particular 18A application are found in Canadian Imperial Bank of Commerce v. Charbonnages de France International S.A. </w:t>
      </w:r>
      <w:hyperlink r:id="rId226" w:history="1">
        <w:r>
          <w:rPr>
            <w:rFonts w:ascii="arial" w:eastAsia="arial" w:hAnsi="arial" w:cs="arial"/>
            <w:i/>
            <w:color w:val="0077CC"/>
            <w:sz w:val="20"/>
            <w:u w:val="single"/>
            <w:shd w:val="clear" w:color="auto" w:fill="FFFFFF"/>
            <w:lang w:val="en-US" w:eastAsia="en-US" w:bidi="ar-SA"/>
          </w:rPr>
          <w:t>(1994), 95 B.C.L.R. (2d) 104</w:t>
        </w:r>
      </w:hyperlink>
      <w:r>
        <w:rPr>
          <w:rFonts w:ascii="arial" w:eastAsia="arial" w:hAnsi="arial" w:cs="arial"/>
          <w:color w:val="000000"/>
          <w:sz w:val="20"/>
          <w:lang w:val="en-US" w:eastAsia="en-US" w:bidi="ar-SA"/>
        </w:rPr>
        <w:t xml:space="preserve"> (B.C.C.A.). Hinds J.A. sets out the factors as follows at p. 128: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judge must be satisfied that it would not be unjust to give judgment. In connection with the latter requirement the judge should consider the following factors:</w:t>
      </w:r>
    </w:p>
    <w:p>
      <w:pPr>
        <w:numPr>
          <w:numId w:val="5"/>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amount involved;</w:t>
      </w:r>
    </w:p>
    <w:p>
      <w:pPr>
        <w:numPr>
          <w:numId w:val="5"/>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complexity of the matter in issue;</w:t>
      </w:r>
    </w:p>
    <w:p>
      <w:pPr>
        <w:numPr>
          <w:numId w:val="5"/>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urgency of the matter;</w:t>
      </w:r>
    </w:p>
    <w:p>
      <w:pPr>
        <w:numPr>
          <w:numId w:val="5"/>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likelihood of prejudice arising from delay;</w:t>
      </w:r>
    </w:p>
    <w:p>
      <w:pPr>
        <w:numPr>
          <w:numId w:val="5"/>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cost of proceeding to a conventional trial in relation to the amount involved;</w:t>
      </w:r>
    </w:p>
    <w:p>
      <w:pPr>
        <w:numPr>
          <w:numId w:val="5"/>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course of proceedings; and</w:t>
      </w:r>
    </w:p>
    <w:p>
      <w:pPr>
        <w:numPr>
          <w:numId w:val="5"/>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any other matters which arise for consideration.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Taking these factors and the circumstances before me into consideration, I am of the view that it would be unjust for me to decide the issues before me on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In my view the matter before me potentially involves a significant sum of money being awarded in damages; it also, as with most medical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cases, is inherently complex with medical experts providing competing opinions with respect to standard of care and causation issues. In addition, there would appear to be no real urgency to resolve the matter at this time nor is there a likelihood for prejudice as the trial is set for early October, 2003. I am also of the view that while the cost of proceeding to a conventional trial will not be inexpensive for the Applicant Defendant, I do not believe it will be significant in relation to his potential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As for other considerations, it is significant to note that the Plaintiff's expert, Dr. Perlman, has not had the opportunity to reply to Dr. Asante's reply to his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In sum, I am of the view that under the circumstances it would be unjust for me to grant judgment in these proceedings. The matter is more appropriately dealt with by a trial judge at which time the competing experts' opinions will be available in their entirety. The trial is less than two months away.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application is dismissed with costs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ROMILLY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78" style="position:absolute;z-index:25186816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27"/>
          <w:headerReference w:type="default" r:id="rId228"/>
          <w:footerReference w:type="even" r:id="rId229"/>
          <w:footerReference w:type="default" r:id="rId230"/>
          <w:headerReference w:type="first" r:id="rId231"/>
          <w:footerReference w:type="first" r:id="rId23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33" w:history="1">
        <w:r>
          <w:rPr>
            <w:rFonts w:ascii="arial" w:eastAsia="arial" w:hAnsi="arial" w:cs="arial"/>
            <w:b/>
            <w:bCs/>
            <w:i/>
            <w:color w:val="0077CC"/>
            <w:kern w:val="32"/>
            <w:sz w:val="28"/>
            <w:szCs w:val="32"/>
            <w:u w:val="single"/>
            <w:shd w:val="clear" w:color="auto" w:fill="FFFFFF"/>
            <w:lang w:val="en-US" w:eastAsia="en-US" w:bidi="ar-SA"/>
          </w:rPr>
          <w:t>Gupta v. Gadhri, [2012] B.C.J. No. 1404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Master P. Keighley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20,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April 20,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S130642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[2012] B.C.J. No. 1404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2012 BCSC 997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Raj Kumar Gupta, Plaintiff, and Harmadan Singh Gadhri,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79" style="position:absolute;z-index:2516695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77" w:name="Keywords_10"/>
      <w:bookmarkEnd w:id="77"/>
      <w:r>
        <w:rPr>
          <w:rFonts w:ascii="arial" w:eastAsia="arial" w:hAnsi="arial" w:cs="arial"/>
          <w:b/>
          <w:color w:val="000000"/>
          <w:sz w:val="20"/>
          <w:lang w:val="en-US" w:eastAsia="en-US" w:bidi="ar-SA"/>
        </w:rPr>
        <w:t>Civil litigation — Civil procedure — Parties — Adding or substituting — Pleadings — Counterclaim, cross-claim and set-off — Application by defendant to add realty company as party to counterclaim dismissed — Parties were joint venturers who invested in real property — Plaintiff acted as realtor in the enterprise — Defendant's counterclaim was based on negligent preparation of documentation — Defendant sought to add plaintiff's employer to allege vicarious liability — Facts pleaded did not form basis of allegation that plaintiff had ostensible authority or that defendant relied upon plaintiff's representations.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Real property law — Proceedings — Practice and procedure — Parties — Pleadings — Application by defendant to add realty company as party to counterclaim dismissed — Parties were joint venturers who invested in real property — Plaintiff acted as realtor in the enterprise — Defendant's counterclaim was based on negligent preparation of documentation — Defendant sought to add plaintiff's employer to allege vicarious liability — Facts pleaded did not form basis of allegation that plaintiff had ostensible authority or that defendant relied upon plaintiff's representations.</w:t>
      </w:r>
    </w:p>
    <w:p>
      <w:pPr>
        <w:jc w:val="both"/>
        <w:rPr>
          <w:rFonts w:ascii="arial" w:eastAsia="arial" w:hAnsi="arial" w:cs="arial"/>
          <w:sz w:val="20"/>
          <w:lang w:val="en-US" w:eastAsia="en-US" w:bidi="ar-SA"/>
        </w:rPr>
      </w:pPr>
      <w:bookmarkStart w:id="78" w:name="Legislation Cited_7"/>
      <w:bookmarkEnd w:id="7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80" style="position:absolute;z-index:2517207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Rules, Rule 6-2, Rule 6-2(7), Rule 6-2(7)(a), Rule 6-2(7)(b), Rule 6-2(7)(c), Rule 9-7</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79" w:name="Counsel_10"/>
      <w:bookmarkEnd w:id="79"/>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81" style="position:absolute;z-index:2517719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R. Davidson.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 Gadhri: D. Gautam.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Proposed Respondents No. Companies and Principal of a No. Company: D.A.T. Moseley.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Proposed Defendant by Counterclaim Necheko Realty: M.G. Swanson.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80" w:name="Judgment_10"/>
      <w:bookmarkEnd w:id="80"/>
      <w:r>
        <w:pict>
          <v:line id="_x0000_s1082" style="position:absolute;z-index:25182310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Oral 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46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81" w:name="MASTER P. KEIGHLEY (orally)"/>
            <w:bookmarkEnd w:id="81"/>
            <w:r>
              <w:rPr>
                <w:rFonts w:ascii="arial" w:eastAsia="arial" w:hAnsi="arial" w:cs="arial"/>
                <w:b/>
                <w:color w:val="000000"/>
                <w:sz w:val="30"/>
                <w:lang w:val="en-US" w:eastAsia="en-US" w:bidi="ar-SA"/>
              </w:rPr>
              <w:t>MASTER P. KEIGHLEY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I have some familiarity with this litigation in general terms having heard at least two applications previously; perhaps even three, with regard to the multiple issues which have arisen as part of the pre-trial processes.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Before me today is an application by the defendant Harmadan Singh Gadhri seeking leave to amend. I will read the precise wording of the application: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amend the counterclaim in this proceeding filed on November 17, 2010, and add Necheko Real Estate Ltd., dba Century 21, as a defendant by way of counterclaim to the within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There is no draft Counterclaim annexed to the application. Neither does the application recite the terms of the pleading for which approval is sought.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 do have in the material before me draft pleadings to which I will refer in due course, but I am referring to the precise wording of the application at this point to establish what I believe is the basis for the application, and that is an application to add Necheko Real Estate, dba Century 21, as a defendant by way of Counterclaim rather than approval of a draft pleading.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As is so often the case, the resolution of this application depends on a balancing of legal principles and on a balancing of the rights of the parties and prejudice which they may suffer as a result of the order sought being granted or refused.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Just by way of some very basic background -- and I will not get into the background anywhere near the extent that counsel have found it necessary to do so; and I appreciate that it was necessary for them to do so -- this action is one of three which have been joined for trial commencing June 25 of this year, and the matter is scheduled to proceed for 14 days. There is some general connection between the issues raised in this litigation and the other two actions, hence the basis for applications which were made for their "joinder".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instant action essentially involves a dispute with Mr. Gupta and Mr. Gadhri, two joint venturers who invested in an enterprise which has given rise to the claims to be dealt with in the other two actions, which essentially dealt with the acquisition of partial development of and sale of a subdivision. I will not get into the details any more than to say that at the material time, that is back in 2006, Mr. Gupta was a licensed realtor and the defendant was not. Mr. Gupta, the defendant says, acted as the joint venturer's realtor in the purchase of the properties which form the basis of the subdivision. There may, on the basis of the identities of Mr. Gupta's employers from time to time, be some doubt about that. But I will assume it to be the case for the basis of this factual summary in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When it came time to sell off the properties prior to the completion of the subdivision, the defendant says Mr. Gupta drew up the documentation which the parties' hoped would have the effect of assigning their interests in those properties to third parties. The defendant says that Mr. Gupta was negligent in preparing the documentation and as a result has caused him, Mr. Gadhri, loss. That is the basis for his Counterclaim against Mr. Gupta.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Mr. Gadhri now seeks to add Necheko, whom he says he believes is the successor in practice to a firm which employed Mr. Gupta at the material time, alleging essentially that they are vicariously liable for Mr. Gupta's carelessness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and that they failed to adequately supervise the conduct of their employee, causing loss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Now, I will refer to the specifics of that in a little bit more in due course, but that is the bare bones, as I see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 will not keep the parties in suspense. I am going to dismiss the application. I could essentially dismiss it on the basis of a simply "too little too late", but I do not think that would serve the interests of the parties or afford Mr. Gadhri any real understanding as to why I have reached that decision. So I will elaborate.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 am treating this, whether it is an application to amend the Counterclaim, whether it is an application for an extension of time to file the Counterclaim, or simply an application to add a party, as the latter. I think the crux of the issue, however we precisely frame it, is that it is an application to add a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Now, the jurisdiction that I have to add a party is discretionary. It is a discretion which of course has to be exercised judicially. And I indicated at the outset that the hearing of applications such as this involve a balancing, almost always, of the legal principles and rights, and the general rule is that my discretion should be generously exercised to allow an effectual adjudication of all matters between the litigants, or potential litigants, without the delay, expense and inconvenience which would attend separate trials at separate times before perhaps separate judges.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That does not mean, however, that the application should be granted willy-nilly, of course.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There are two bases upon which the Court can determine whether its jurisdiction under the Rule -- and I will refer to the Rule in a moment -- can be exercised. The first is a review of any evidence brought in support of the application, and the second is the pleading referred to in the material, whether as here it is included in the material as a proposed pleading, or whether it is attached to the application as a pleading for which the applicants seek leave to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 rule established by this Court in the case of</w:t>
      </w:r>
      <w:r>
        <w:rPr>
          <w:rFonts w:ascii="arial" w:eastAsia="arial" w:hAnsi="arial" w:cs="arial"/>
          <w:i/>
          <w:color w:val="000000"/>
          <w:sz w:val="20"/>
          <w:lang w:val="en-US" w:eastAsia="en-US" w:bidi="ar-SA"/>
        </w:rPr>
        <w:t xml:space="preserve"> Harrington (Public Trustee of) v. Pappachristos</w:t>
      </w:r>
      <w:r>
        <w:rPr>
          <w:rFonts w:ascii="arial" w:eastAsia="arial" w:hAnsi="arial" w:cs="arial"/>
          <w:color w:val="000000"/>
          <w:sz w:val="20"/>
          <w:lang w:val="en-US" w:eastAsia="en-US" w:bidi="ar-SA"/>
        </w:rPr>
        <w:t xml:space="preserve">, </w:t>
      </w:r>
      <w:hyperlink r:id="rId234" w:history="1">
        <w:r>
          <w:rPr>
            <w:rFonts w:ascii="arial" w:eastAsia="arial" w:hAnsi="arial" w:cs="arial"/>
            <w:i/>
            <w:color w:val="0077CC"/>
            <w:sz w:val="20"/>
            <w:u w:val="single"/>
            <w:shd w:val="clear" w:color="auto" w:fill="FFFFFF"/>
            <w:lang w:val="en-US" w:eastAsia="en-US" w:bidi="ar-SA"/>
          </w:rPr>
          <w:t>[1992] B.C.J. No. 2600</w:t>
        </w:r>
      </w:hyperlink>
      <w:r>
        <w:rPr>
          <w:rFonts w:ascii="arial" w:eastAsia="arial" w:hAnsi="arial" w:cs="arial"/>
          <w:color w:val="000000"/>
          <w:sz w:val="20"/>
          <w:lang w:val="en-US" w:eastAsia="en-US" w:bidi="ar-SA"/>
        </w:rPr>
        <w:t>, is, where an applicant relies on the pleadings without adducing evidence, the present or proposed statement of claim must allege facts which, if assumed to be true and provable, would establish a cause of action. It suggests to me then that we can have two bases for the application to join; the pleadings, the evidence, or perhaps some combination thereof.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 am now under the heading "Too Little".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There are a couple of affidavits filed by Mr. Gadhri to which reference has been made in this application. The first is dated February 28, 2012, and I believe dealt with an earlier application, but nonetheless is in the binder before me. The second is the second affidavit which Mr. Swanson referred to perhaps somewhat unkindly as a "bootstrap affidavit". I will make reference to both.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paragraph 6 of his Affidavit number 1, that is the one dated February 28, 2012. Mr. Gadhri says: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Mr. Gupta was a registered real estate agent with Century 21 Realty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 he is referring to September 2006 as the time: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agreed to use his training and experience in the preparation of the contracts and other documents respecting the transfer and assignment of interests in these lots to the purchasers. While drawing up contracts Mr. Gupta negligently failed to incorporate into the sale price the servicing cost of each lot.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 he then goes on to say what damage that occasioned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paragraph 8 he goes on to say: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within action by Mr. Gupta against me only seeks payment of certain monies which Mr. Gupta claims are payable by me and also alleges misappropriation of funds from our joint account. I have made a counterclaim against Mr. Gupta for an accounting of my losses suffered as a result of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for misappropriation of funds from our joint account by Mr. Gupta and return of those funds to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Going on to paragraph 8, the second of such:</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have now instructed my lawyer to make an application to add Century 21 Realty Company as a party to this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That is the extent to which that affidavit, Affidavit number 1, refers to the potential liability of a realty firm. And there the reference is to Century 21 Realty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 am moving now to Mr. Gadhri's Affidavit number 2 sworn April 18,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In paragraph 3 of that Affidavit he again refers to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which he alleges of Mr. Gupta in failing to enter the correct purchase price on some of the assignment agreements which resulted in losses to him and proceedings against Mr. Gupta and himself. He then goes on to say in the last four, perhaps five lines of that paragraph:</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all material times I believe that Mr. Gupta was working with Century 21 and that they would be supervising Mr. Gupta in these real estate transactions. A copy of some of the assignment agreements negligently prepared by Mr. Gupta is now shown to me and attached as Exhibit B to this my affidavit.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At paragraph 5 of that Affidavit he goes on to say: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or about August 2011 my lawyer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 he is referring there to his new lawyer, not the lawyer who prepared the pleadings: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reviewed this file and advised me about adding the realty company of the plaintiff as a party to this litigation. My lawyer has further advised me and I do verily believe that he immediately contacted counsel for Mr. Gupta and advised him of his intentions to add the realty company as a party to this litigation and asked him to confirm if he would consent to such an addition.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Now, I have included that quote from Affidavit number 2 because it is some indication of the potential claim against the realty firm. But in terms of the timing it suggests, it may well be more appropriately referred to under the heading "Too Late" to which I will get in a few moments.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At paragraph 8 of that Affidavit Mr. Gadhri says: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addition of Century 21 is integral to the conduct of this proceeding and if Century 21 is not joined as a party it would cause serious prejudice to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Now, that is, as I see it, the sum total of the evidence in support of the application and it essentially indicates a belief on the part of Mr. Gadhri that in preparing the assignment documents Mr. Gupta was "working with Century 21" and that "they would be supervising Mr. Gupta."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Now to go to the proposed pleading, and I am going to refer to the one to which I was referred, and it is the one which is annexed as an exhibit to Mr. Gadhri's Affidavit number 2, and it is Exhibit C. I believe the references to "the realty firm" begin at paragraph 18 thereof. Paragraph 18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addition to being a partner and/or joint venturer of the defendant the plaintiff was at all relevant times a licensed realtor with training and experience in the preparation of contracts and other documents respecting the transfer and assignment of interests in real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19, continuing the quote: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all material times the plaintiff was a licensed realtor working as an agent of Century 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Carrying on with the next paragraph, 20: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 acted as the real estate agent for the defendant in the purchase transaction relating to the land. Century 21 acted as the buyer's, plaintiff and defendant, agency in that purchase transaction. The rights flowing from the contract of purchase and sale of the land were later assigned to third parties. The plaintiff was solely responsible for preparing contracts and dealing with the purchase of the land and the subsequent transfer or assignment of the lots or the right to purchase the lots to third parties. The defendant relied entirely on the plaintiff to handle all such matters appropriately, diligently, professionally, and in good faith and exercise his skill, knowledge and judgment as a professional real estate agent while conducting those transactions.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And then he goes on to say in paragraph 21: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all material times the plaintiff had actual and/or ostensible authority from Century 21 to act as realtor in purchase and sale of real estate including the purchase and sale of the 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Paragraph 22: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all material times Century 21 owed a duty to the defendant to supervise the plaintiff, its agent, while it conducted real estate transactions, including the purchase of land and subsequent sale assignments of the lots. Century 21 in breach of its obligation and duty failed to properly supervise the conduct of the plaintiff resulting in loss and damage to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 will stop there. There are some further references to the realty company to which I will refer in a moment.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 note the references are to Century 21 and not Necheko, and there is no pleading which would clarify the discrepancy in naming.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There is no factual basis set forth in the proposed pleading which would form the basis of an allegation that the plaintiff had ostensible authority to act in the sale of these lots. There are no facts alleged which would form the basis of a claim that Century 21 or Necheko owed a duty to Mr. Gadhri to supervise the plaintiff in his work connected with the sale of the lots.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If we move then to the relief sought provision of the proposed amended Counterclaim, paragraph 11, it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Wherefore the defendant claims from the defendant [sic] by way of counterclaim as follows:</w:t>
      </w:r>
    </w:p>
    <w:p>
      <w:pPr>
        <w:numPr>
          <w:numId w:val="8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declaration that Century 21 is vicariously liable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plaintiff</w:t>
      </w:r>
    </w:p>
    <w:p>
      <w:pPr>
        <w:numPr>
          <w:numId w:val="8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 order that Century 21 indemnifies the defendant for the losses suffered as a result of its agent's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Which is essentially the same thing I would think:</w:t>
      </w:r>
      <w:r>
        <w:rPr>
          <w:rFonts w:ascii="arial" w:eastAsia="arial" w:hAnsi="arial" w:cs="arial"/>
          <w:sz w:val="20"/>
          <w:lang w:val="en-US" w:eastAsia="en-US" w:bidi="ar-SA"/>
        </w:rPr>
        <w:cr/>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general damages</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costs.</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such further and other relief that this honourable court may deem just and proper.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terms of the basis for those claims we have to go over to page 15 of the proposed pleading, paragraph 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 represented to the defendant that he was a licensed realtor working for Century 21 and has the necessary skills, knowledge and experience in conducting real estate transactions. The defendant was induced by such representations, completely relied on these representations, and allowed the plaintiff to handle all aspects of the purchase and subsequent sale of the 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There are no facts pleaded which indicates the basis for a claim that such representations were relied upon by Mr. Gadhri in connection with the sale of the lots.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Paragraph 8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drawing up the assignment agreements resulted in a loss and damage to the defendant. The plaintiff had actual and/or ostensible authority from Century 21 to prepare contracts relating to the purchase and sale of 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 think I have already indicated that there were no facts pleaded which indicated the basis for a claim of ostensible authority with respect to the sale transactions.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Paragraph 9, Mr. Gadhri says: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all material times the plaintiff was the agent of Century 21 and during the course of his employment committed the negligent acts resulting in loss and damage to the defendant for which the plaintiff's principal, Century 21, is vicariously 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Again, a bare assertion of their liability without any factual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Now, I could stop there because it is incumbent upon the applicant to show that the claim being advanced against the proposed party is not frivolous. And while frivolous should not perhaps be equated with capricious or other irresponsible adjectives, it certainly seems to cover a situation where the facts pleaded do not support the claim being advanced. And that is the situation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the event that I am wrong and the evidence -- the pleadings, or some combination of the two -- establish a claim to be advanced against a realty firm; whether Necheko, Century 21, or one of the successor of the other, then I will go on to consider the provisions of Rule 6-2 dealing with the principles to be applied on applications of this nature; that is for the addition of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Now Rule 6-2(7) it seems to me has no application to this application. Rule 6-2(7) which reads under the heading "Adding, removing or substituting parties by order":</w:t>
      </w:r>
      <w:r>
        <w:rPr>
          <w:rFonts w:ascii="arial" w:eastAsia="arial" w:hAnsi="arial" w:cs="arial"/>
          <w:sz w:val="20"/>
          <w:lang w:val="en-US" w:eastAsia="en-US" w:bidi="ar-SA"/>
        </w:rPr>
        <w:cr/>
      </w:r>
    </w:p>
    <w:p>
      <w:pPr>
        <w:numPr>
          <w:numId w:val="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At any stage of a proceeding, the court, on application by any person, may, subject to subrules (9) and (10),</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order that a person cease to be party if that person is not, or has ceased to be, a proper or necessary party,</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order that a person be added or substituted as a party if</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person ought to have been joined as a party, or</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person's participation in the proceeding is necessary to ensure that all matters in the proceeding may be effectually adjudicated on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It is essentially remedial and has been assigned a very narrow construction by this Court and the Court of Appeal, essentially designed to remedy, the Court has said, a failure, whether revertant or inadvertent, to add a party whose joinder is necessary to ensure that the claim against the original party may be effectually adjudicated on. That is not the case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It has been suggested that if the legislature was moved to add a provision which is now 6-2(c) to the former Rules, it is simply renumbered and incorporated into the new Rules unchanged, as a result of the restrictive view taken by the Courts of this province with respect to the provisions of 6-2(7)(a) and (b). Sub (c) reads that the Court may:</w:t>
      </w:r>
      <w:r>
        <w:rPr>
          <w:rFonts w:ascii="arial" w:eastAsia="arial" w:hAnsi="arial" w:cs="arial"/>
          <w:sz w:val="20"/>
          <w:lang w:val="en-US" w:eastAsia="en-US" w:bidi="ar-SA"/>
        </w:rPr>
        <w:cr/>
      </w:r>
    </w:p>
    <w:p>
      <w:pPr>
        <w:numPr>
          <w:numId w:val="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order that a person be added as a party if there may exist, between the person and any party to the proceeding, a question or issue relating to or connected with:</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relief claimed in the proceeding, or</w:t>
      </w:r>
    </w:p>
    <w:p>
      <w:pPr>
        <w:numPr>
          <w:numId w:val="9"/>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subject matter of the proceeding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that, in the opinion of the court, it would be just and convenient to determine as between the person and that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Now, one of the considerations which has led me to the conclusion that it would be inappropriate to add the realty firm as a defendant by Counterclaim comes under this general heading of "too late".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There are a number of reasons why it seems to me it would not be just and convenient to determine an issue relating to the realty firm, even were I satisfied that the proper basis for adding that party was reflected by the evidence or the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trial is upcoming, as I indicated, on June 25. That trial involves multiple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In very general terms, the addition of the realty firm will add one more passenger into what is already a very crowded lifeboat; but of course broader considerations than that are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As Mr. Swanson points out, the rapidly advancing trial date does not afford the realty firm sufficient time to -- assuming it is served forthwith with an amended pleading -- file its response sufficiently in advance of the upcoming trial management conference, will not afford it any opportunity to even consider the possibility of an application under Rule 9-7. I think it is now for a summary trial, or summary resolution of the issue against it. It is hard to imagine that there would be sufficient time for the assembly of documentary evidence, for the interviewing of witnesses, for the conduct of examinations for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On top of that there is the question which I am unable to resolve on this application as to whether a limitation period relating to the claim against the realty firm has expired or not. It seems to me that the authorities indicate that in the event that I am unable to resolve that issue I have to assume that it has expired and throw the potential for the expiration of a limitation period into the mix as to whether it is just and convenient to add the realty firm as a defendant. It seems to be pretty clear law now that in the event that I add the realty firm, no matter how I precisely name the entity, as a party to this litigation, that it would be estopped from raising a limitation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Although counsel has spent some time with it, I do not mean disrespect by dealing with their arguments fairly summarily on this point, but I am not going to deal at any great length with the issue of delay except to say that it appears that however earlier Mr. Gadhri should have been in a position to instruct counsel with respect to the possibility of adding the realty firm as a party, he certainly appears to have been aware of that possibility from, I believe it was August of last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 am not going to get into the consequences of delay insofar as that might enjoin him from amending his Counterclaim, but of course I can take delay generally into account in terms of considering the prejudice to the parties. I have already indicated that it seems to me that there is now simply insufficient time to allow an orderly preparation by the realty firm for the trial scheduled to proceed approximately two months from now. So delay is certainly relevant with respect to that aspect of my adjudication.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For those reasons the application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(SUBMISSIONS RE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Costs follow the event and in these circumstances Necheko is entitled to its costs, and because it is not a party, the only sensible order to make is that their costs be payable forthwith after assessment, and I will so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MASTER P. KEIGHLEY</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83" style="position:absolute;z-index:25186918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35"/>
          <w:headerReference w:type="default" r:id="rId236"/>
          <w:footerReference w:type="even" r:id="rId237"/>
          <w:footerReference w:type="default" r:id="rId238"/>
          <w:headerReference w:type="first" r:id="rId239"/>
          <w:footerReference w:type="first" r:id="rId24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41" w:history="1">
        <w:r>
          <w:rPr>
            <w:rFonts w:ascii="arial" w:eastAsia="arial" w:hAnsi="arial" w:cs="arial"/>
            <w:b/>
            <w:bCs/>
            <w:i/>
            <w:color w:val="0077CC"/>
            <w:kern w:val="32"/>
            <w:sz w:val="28"/>
            <w:szCs w:val="32"/>
            <w:u w:val="single"/>
            <w:shd w:val="clear" w:color="auto" w:fill="FFFFFF"/>
            <w:lang w:val="en-US" w:eastAsia="en-US" w:bidi="ar-SA"/>
          </w:rPr>
          <w:t>Hartley v. RCM Management Ltd., [2010] B.C.J. No. 761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L.B. Gerow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9 and March 12,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28,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S023782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[2010] B.C.J. No. 761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BCSC 579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188 A.C.W.S. (3d) 604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CarswellBC 1014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Russ Kenneth Hartley, Plaintiff, and RCM Management Ltd., RCM Management Ltd. doing business as the Barfly Cabaret, 582642 B.C. Ltd. and 582642 B.C. Ltd. doing business as the Barfly Cabaret, Empress Towers Ltd., John Doe and Richard Roe,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84" style="position:absolute;z-index:2516705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82" w:name="Keywords_11"/>
      <w:bookmarkEnd w:id="82"/>
      <w:r>
        <w:rPr>
          <w:rFonts w:ascii="arial" w:eastAsia="arial" w:hAnsi="arial" w:cs="arial"/>
          <w:b/>
          <w:color w:val="000000"/>
          <w:sz w:val="20"/>
          <w:lang w:val="en-US" w:eastAsia="en-US" w:bidi="ar-SA"/>
        </w:rPr>
        <w:t>Civil litigation — Civil procedure — Judgments and orders — Summary judgments — Availability — Action for damages for personal injury allowed in part — Plaintiff was struck in the eye by an unknown assailant with a beer bottle in the corporate defendants' bar after intervening in a fight — The corporate defendants had a number of security staff working that night, whose duties included preventing fights — Had the staff been reasonably attentive and intervened in a timely fashion, the plaintiff's injury would likely have been avoided or minimized — Liability apportioned 50 per cent to the unknown assailant, 35 per cent to the corporate defendants and 15 per cent to the plaintiff.</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Occupiers' liability — Duty of occupier — To invitees — Particular situations — Hotels and taverns — Action for damages for personal injury allowed in part — Plaintiff was struck in the eye by an unknown assailant with a beer bottle in the corporate defendants' bar after intervening in a fight — The corporate defendants had a number of security staff working that night, whose duties included preventing fights — Had the staff been reasonably attentive and intervened in a timely fashion, the plaintiff's injury would likely have been avoided or minimized — Liability apportioned 50 per cent to the unknown assailant, 35 per cent to the corporate defendants and 15 per cent to the plaintiff.</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83" w:name="Case Summary_10"/>
            <w:bookmarkEnd w:id="8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plaintiff for summary judgment for damages for injuries sustained to his right eye when struck by an unknown assailant with a beer bottle in the corporate defendants' cabaret on Feb. 23, 2002. The corporate defendants, who operated the cabaret at the time, sought to summarily dismiss the claim. The plaintiff alleged they were negligent and in breach of their duty under s. 3 of the Occupiers Liability Act. He argued that if they had intervened in a timely fashion and stopped the pushing and shoving he would not have been injured. The issues were: (1) whether it was appropriate to determine liability by means of a summary trial; (2) if so, whether the corporate defendants were liable to him for failing to intervene in the fight; and (3) whether liability ought to be apportioned between the plaintiff, the corporate defendants and the unknown assailant, and if so, in what proportions.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84" w:name="Holdings of Court_7"/>
            <w:bookmarkEnd w:id="84"/>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corporate defendants were found 35 per cent liable for the injuries. There was sufficient evidence to decide the necessary factual and legal issues, and it would not be unjust or inappropriate to decide the issue of liability by means of a summary trial. There was no conflict in the affidavit evidence as to what occurred. The altercation was loud, and it was reasonably foreseeable that the type of altercation described could escalate and lead to a fight in which someone could be injured by being hit by a bottle. The altercation went on for two to two and one-half minutes before the plaintiff was struck with the bottle. There was more than adequate time for security staff to intervene. Their failure to do so was a breach of their duty under s. 3 of the Act. As for the apportionment of liability, by intervening when he saw Lutke struck with a bottle, the plaintiff was to be taken to have assumed some risk of the possibility of injury. The appropriate apportionment to the unknown assailant was 50 per cent. The corporate defendants were 35 per cent liable and the plaintiff 15 per cent. The corporate defendants had a number of security staff working that night, whose duties included preventing fights. Had they been reasonably attentive and intervened in a timely fashion, the injury to the plaintiff would likely have been avoided or minimized.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85" w:name="Legislation Cited_8"/>
      <w:bookmarkEnd w:id="8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85" style="position:absolute;z-index:2517217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18A(11)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hyperlink r:id="rId242" w:history="1">
        <w:r>
          <w:rPr>
            <w:rFonts w:ascii="arial" w:eastAsia="arial" w:hAnsi="arial" w:cs="arial"/>
            <w:i/>
            <w:color w:val="0077CC"/>
            <w:sz w:val="20"/>
            <w:u w:val="single"/>
            <w:shd w:val="clear" w:color="auto" w:fill="FFFFFF"/>
            <w:lang w:val="en-US" w:eastAsia="en-US" w:bidi="ar-SA"/>
          </w:rPr>
          <w:t>RSBC 1996, CHAPTER 333, s. 1</w:t>
        </w:r>
      </w:hyperlink>
      <w:r>
        <w:rPr>
          <w:rFonts w:ascii="arial" w:eastAsia="arial" w:hAnsi="arial" w:cs="arial"/>
          <w:color w:val="000000"/>
          <w:sz w:val="20"/>
          <w:lang w:val="en-US" w:eastAsia="en-US" w:bidi="ar-SA"/>
        </w:rPr>
        <w:t>(1)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Occupiers Liability Act, </w:t>
      </w:r>
      <w:hyperlink r:id="rId64" w:history="1">
        <w:r>
          <w:rPr>
            <w:rFonts w:ascii="arial" w:eastAsia="arial" w:hAnsi="arial" w:cs="arial"/>
            <w:i/>
            <w:color w:val="0077CC"/>
            <w:sz w:val="20"/>
            <w:u w:val="single"/>
            <w:shd w:val="clear" w:color="auto" w:fill="FFFFFF"/>
            <w:lang w:val="en-US" w:eastAsia="en-US" w:bidi="ar-SA"/>
          </w:rPr>
          <w:t>RSBC 1996, CHAPTER 337, s. 3</w:t>
        </w:r>
      </w:hyperlink>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86" w:name="Counsel_11"/>
      <w:bookmarkEnd w:id="86"/>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86" style="position:absolute;z-index:2517729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P.D. Granger.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582642 B.C. Ltd. and 582642 B.C. Ltd. doing business as the Barfly Cabaret: M.J. Libby.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87" w:name="Judgment_11"/>
      <w:bookmarkEnd w:id="87"/>
      <w:r>
        <w:pict>
          <v:line id="_x0000_s1087" style="position:absolute;z-index:25182412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88" w:name="L.B. GEROW J."/>
            <w:bookmarkEnd w:id="88"/>
            <w:r>
              <w:rPr>
                <w:rFonts w:ascii="arial" w:eastAsia="arial" w:hAnsi="arial" w:cs="arial"/>
                <w:b/>
                <w:color w:val="000000"/>
                <w:sz w:val="30"/>
                <w:lang w:val="en-US" w:eastAsia="en-US" w:bidi="ar-SA"/>
              </w:rPr>
              <w:t>L.B. GEROW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case arises out of an incident which occurred in the Barfly Cabaret on February 23, 2002. Russ Kenneth Hartley, who was 22 years old, was injured when he was struck by a beer bottle in his right eye by an unidentified assailant. As a result of the injury, he lost vision in his right eye. The defendants, 582642 B.C. Ltd. and 58642 B.C. Ltd. doing business as Barfly Cabaret (collectively "the corporate defendants") were the operators of the Barfly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corporate defendants are seeking to have the claims against them dismissed on this summary trial application. Mr. Hartley alleges the corporate defendants were negligent and in breach of duty their duty as occupiers by failing to comply with s. 3 of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337</w:t>
      </w:r>
      <w:r>
        <w:rPr>
          <w:rFonts w:ascii="arial" w:eastAsia="arial" w:hAnsi="arial" w:cs="arial"/>
          <w:color w:val="000000"/>
          <w:sz w:val="20"/>
          <w:lang w:val="en-US" w:eastAsia="en-US" w:bidi="ar-SA"/>
        </w:rPr>
        <w:t>. Mr. Hartley agrees that it is appropriate to determine the issue of whether the corporate defendants are at fault by summary trial and seeks judgment against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issues are:</w:t>
      </w:r>
      <w:r>
        <w:rPr>
          <w:rFonts w:ascii="arial" w:eastAsia="arial" w:hAnsi="arial" w:cs="arial"/>
          <w:sz w:val="20"/>
          <w:lang w:val="en-US" w:eastAsia="en-US" w:bidi="ar-SA"/>
        </w:rPr>
        <w:cr/>
      </w:r>
    </w:p>
    <w:p>
      <w:pPr>
        <w:numPr>
          <w:numId w:val="8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it appropriate to determine liability by way of summary trial?</w:t>
      </w:r>
    </w:p>
    <w:p>
      <w:pPr>
        <w:numPr>
          <w:numId w:val="8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so, are the corporate defendants liable to Mr. Hartley for failing to intervene in the fight before Mr. Hartley was hit with the bottle?</w:t>
      </w:r>
    </w:p>
    <w:p>
      <w:pPr>
        <w:numPr>
          <w:numId w:val="8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Should liability be apportioned between Mr. Hartley, the corporate defendants and the unknown assailant, the defendant John Doe, and, if so, in what proportions?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At the time of the incident, the Barfly was a nightclub located in New Westminster, B.C. The capacity of the Barfly was 350 people. On the night in question, there were approximately 250 people at the nightclub, which was typical for a Friday night.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There were four doormen working that night who were experienced security staff. There were also approximately 12 other staff members on duty, including bartenders and servers, all of whom have completed the "Serving it Right" course. In addition, the manager, Cass MacLeod, was on duty. Mr. MacLeod acted both as manager and as an additional security staff. The security staff have specific stations within the club. According to Mr. MacLeod, you can see the entire nightclub from just about every vantage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Barfly has two bars. The bar in the centre of the Barfly is the largest one. There is a smaller bar towards the back of the Barfly against the wall furthest from the door. Although the Barfly consists of one large room, there are three floor levels. There are elevated areas on both the left and right side of the Barfly. The left side is elevated by one or two steps and the right side is slightly higher than the left.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Hartley was at the Barfly to celebrate a friend's birthday. The fight occurred approximately half an hour after he arrived.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Hartley was walking with his friend Dylan Lutke after buying drinks at the smaller bar at the rear of the Barfly, when Mr. Lutke bumped into another man. Mr. Hartley's evidence is that the bumping did not appear to be deliberate and was not at all violent. Even though the bumping was a minor incident, the man immediately pushed and yelled at Mr. Lutke. Mr. Lutke responded by yelling and pushing back. Mr. Lutke's evidence is that the pushing and yelling went on for at least two minutes.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Hartley's evidence is that when Mr. Lutke and the other man started to argue, he did not intervene. Rather, he stepped back from the situation and watched the men from a distance of 10 to 15 feet. The man appeared to be with a group of three or four people. According to Mr. Hartley, Mr. Lutke and the man engaged in pushing and shoving for between 2 to 2 1/2 minutes. The men were pushing each other in the chest with their hands in a forceful and aggressive manner. Both men continued to yell loudly at one another during the altercation. After 2 to 2 1/2 minutes, Mr. Lutke was struck on the head by a bottle wielded by a third man from the group with the man he was fighting. Mr. Hartley stepped in to assist Mr. Lutke and was hit with a bottle wielded by another unidentified individual. Mr. Hartley did not alert any of Barfly's staff before he stepped in to assist Mr. Lutke.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Hartley deposes that he knew immediately he had a serious injury. His eyesight from his right eye was very impaired, and he reacted by withdrawing from the area. His friends came to his assistance and took him to the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MacLeod's evidence is that altercations are rare at the Barfly. He was talking to someone when he heard a crash and turned to see several men fighting approximately 10 feet away from where he was standing. He immediately grabbed the biggest man, who seemed to be the most threatening, and took him outside. Mr. MacLeod noticed the doorman, Andrew Vowles, approaching the group to assist. Mr. Vowles brought a second man outside. He saw one man with a bleeding face but his description did not match that of Mr. Hartley.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MacLeod did not see any pushing or shoving before he heard the crash. His evidence is that 2 to 2 1/2 minutes of pushing and shoving with hands to the chest would not be tolerated in the Barfly. He agreed that would exceed the amount of tolerable physical contact.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Vowles' evidence is that he was working as the inside doorman. He was also keeping an eye on what was going on in the nightclub. Just before 1:00 a.m., he saw a group of people fighting about 10 to 15 feet away from him. He immediately went over and tried to stop the fight by separating the men. He recalls hearing a beer bottle break during the fight. One of the men hit him in the face, breaking his nose. Prior to seeing the fighting, he had not seen or heard anything that suggested that a fight was going to occur.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Is it appropriate to determine liability by way of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Both Mr. Hartley and the corporate defendants agreed that the matter is appropriate for determination by way of summary trial. However, even when the parties agree a summary trial is appropriate, the court must consider whether the matter is suitable for determination by summary trial: </w:t>
      </w:r>
      <w:r>
        <w:rPr>
          <w:rFonts w:ascii="arial" w:eastAsia="arial" w:hAnsi="arial" w:cs="arial"/>
          <w:i/>
          <w:color w:val="000000"/>
          <w:sz w:val="20"/>
          <w:lang w:val="en-US" w:eastAsia="en-US" w:bidi="ar-SA"/>
        </w:rPr>
        <w:t>North Vancouver (District) v. Fawcett</w:t>
      </w:r>
      <w:r>
        <w:rPr>
          <w:rFonts w:ascii="arial" w:eastAsia="arial" w:hAnsi="arial" w:cs="arial"/>
          <w:color w:val="000000"/>
          <w:sz w:val="20"/>
          <w:lang w:val="en-US" w:eastAsia="en-US" w:bidi="ar-SA"/>
        </w:rPr>
        <w:t xml:space="preserve"> </w:t>
      </w:r>
      <w:hyperlink r:id="rId243" w:history="1">
        <w:r>
          <w:rPr>
            <w:rFonts w:ascii="arial" w:eastAsia="arial" w:hAnsi="arial" w:cs="arial"/>
            <w:i/>
            <w:color w:val="0077CC"/>
            <w:sz w:val="20"/>
            <w:u w:val="single"/>
            <w:shd w:val="clear" w:color="auto" w:fill="FFFFFF"/>
            <w:lang w:val="en-US" w:eastAsia="en-US" w:bidi="ar-SA"/>
          </w:rPr>
          <w:t>(1998), 60 B.C.L.R. (3d) 201</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test for granting a summary judgment is set out in Rule 18A(11) which provides that the court may grant judgment in favour of any party, either on an issue or generally, unless the court is unable on the whole of the evidence to find the facts necessary to decide the issues of fact or law. Even if there is sufficient evidence to decide the necessary factual and legal issues, the court may nevertheless decline to give judgment if it would be unjust to decide the issues on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Having reviewed the application material and considered the arguments advanced by both parties, I am satisfied that there is sufficient evidence to decide the necessary factual and legal issues and that it would not be unjust or inappropriate to decide the issue of liability. As well, I am of the view that determining the issue of liability by way of summary trial results in both the effective use of court time and the efficient resolution of the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There is no conflict in the affidavit evidence as to what occurred. None of the security guards or staff of the Barfly recall seeing the altercation described by Mr. Lutke and Mr. Hartley before they heard the bottle breaking, by which time three or four people were fighting with fists. As well, none of the Barfly's staff recall ever seeing or dealing with Mr. Hartley or Mr. Lutke either before or after Mr. Hartley was injured. As a result, Mr. Hartley's and Mr. Lutke's versions of the events which resulted in Mr. Hartley's injuries are unchallenged.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Are the corporate defendants liable to Mr. Hartley for failing to intervene in the fight before Mr. Hartley was hit with the bottle?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Parties' positions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Mr. Hartley's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Hartley takes the position that the corporate defendants, as occupiers of the Barfly, had a duty to take the amount of care which in all the circumstances was reasonable to see that he would be reasonably safe when using the premises. He says it was the duty of the corporate defendants to take reasonable care that he was not injured by dangers on the premises which the corporate defendants either knew or ought to have known existed. Mr. Hartley submits the corporate defendants did not meet that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Hartley says the pushing and shoving altercation between Mr. Lutke and the unidentified man should have been seen by the Barfly's staff, and they should have taken steps to intervene and stop it. Mr. Hartley submits there was an inordinate delay on the part of the corporate defendants' staff, given the size of the premises and the admitted ease with which the activities in the nightclub could be watched if the staff were attentive. He argues that if they had intervened in a timely fashion and stopped the pushing and shoving, he would not have been injured.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Corporate defendants'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corporate defendants' position is that they met the standard of care owed to Mr. Hartley. They say that the law requires a bar owner to take reasonable steps to prevent harm to its patrons. Such harm has to be foreseeable. They submit that the assault on Mr. Hartley was not reasonably foreseeable. They say the fact that there was pushing and shoving for 2 to 2 1/2 minutes does not amount to proof that the Barfly staff knew, or should have known of the altercation, or that things might escalate in an unexpected way, eventually leading to Mr. Hartley's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corporate defendants submit the evidence establishes there was no reasonably foreseeable risk to Mr. Hartley until, at most, seconds before he was injured. By that time the Barfly staff, who had been 10 to 15 feet away from the altercation were responding. They say that although the staff responded as quickly as was possible, Mr. Hartley had already been struck with a bottle and had suffered the injury complained 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As well, the corporate defendants take the position that Mr. Hartley was well aware of the physical risk to him when he intervened, yet did so instead of seeking help from the staff. Therefore, he willing accepted the risk of becoming involved in the altercation.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The applicable provisions in s. 3 of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337</w:t>
      </w:r>
      <w:r>
        <w:rPr>
          <w:rFonts w:ascii="arial" w:eastAsia="arial" w:hAnsi="arial" w:cs="arial"/>
          <w:color w:val="000000"/>
          <w:sz w:val="20"/>
          <w:lang w:val="en-US" w:eastAsia="en-US" w:bidi="ar-SA"/>
        </w:rPr>
        <w:t xml:space="preserve"> provide:</w:t>
      </w:r>
      <w:r>
        <w:rPr>
          <w:rFonts w:ascii="arial" w:eastAsia="arial" w:hAnsi="arial" w:cs="arial"/>
          <w:sz w:val="20"/>
          <w:lang w:val="en-US" w:eastAsia="en-US" w:bidi="ar-SA"/>
        </w:rPr>
        <w:cr/>
      </w:r>
    </w:p>
    <w:p>
      <w:pPr>
        <w:numPr>
          <w:numId w:val="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 occupier of premises owes a duty to take that care that in all the circumstances of the case is reasonable to see that a person, and the person's property, on the premises, and property on the premises of a person, whether or not that person personally enters on the premises, will be reasonably safe in using the premises.</w:t>
      </w:r>
    </w:p>
    <w:p>
      <w:pPr>
        <w:numPr>
          <w:numId w:val="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duty of care referred to in subsection (1) applies in relation to the</w:t>
      </w:r>
    </w:p>
    <w:p>
      <w:pPr>
        <w:numPr>
          <w:numId w:val="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condition of the premises,</w:t>
      </w:r>
    </w:p>
    <w:p>
      <w:pPr>
        <w:numPr>
          <w:numId w:val="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activities on the premises, or</w:t>
      </w:r>
    </w:p>
    <w:p>
      <w:pPr>
        <w:numPr>
          <w:numId w:val="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conduct of third parties on the premises.</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Despite subsection (1), an occupier has no duty of care to a person in respect of risks willingly assumed by that person other than a duty not to</w:t>
      </w:r>
    </w:p>
    <w:p>
      <w:pPr>
        <w:numPr>
          <w:numId w:val="5"/>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create a danger with intent to do harm to the person or damage to the person's property, or</w:t>
      </w:r>
    </w:p>
    <w:p>
      <w:pPr>
        <w:numPr>
          <w:numId w:val="5"/>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act with reckless disregard to the safety of the person or the integrity of the person's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Both Mr. Hartley and the corporate defendants referred to a number of cases involving fights in bars and restaurants, including </w:t>
      </w:r>
      <w:r>
        <w:rPr>
          <w:rFonts w:ascii="arial" w:eastAsia="arial" w:hAnsi="arial" w:cs="arial"/>
          <w:i/>
          <w:color w:val="000000"/>
          <w:sz w:val="20"/>
          <w:lang w:val="en-US" w:eastAsia="en-US" w:bidi="ar-SA"/>
        </w:rPr>
        <w:t>Lehnert v. Nelson, Carveth and L. &amp; R. Limited</w:t>
      </w:r>
      <w:r>
        <w:rPr>
          <w:rFonts w:ascii="arial" w:eastAsia="arial" w:hAnsi="arial" w:cs="arial"/>
          <w:color w:val="000000"/>
          <w:sz w:val="20"/>
          <w:lang w:val="en-US" w:eastAsia="en-US" w:bidi="ar-SA"/>
        </w:rPr>
        <w:t xml:space="preserve">, </w:t>
      </w:r>
      <w:hyperlink r:id="rId244" w:history="1">
        <w:r>
          <w:rPr>
            <w:rFonts w:ascii="arial" w:eastAsia="arial" w:hAnsi="arial" w:cs="arial"/>
            <w:i/>
            <w:color w:val="0077CC"/>
            <w:sz w:val="20"/>
            <w:u w:val="single"/>
            <w:shd w:val="clear" w:color="auto" w:fill="FFFFFF"/>
            <w:lang w:val="en-US" w:eastAsia="en-US" w:bidi="ar-SA"/>
          </w:rPr>
          <w:t>[1947] 4 D.L.R. 473</w:t>
        </w:r>
      </w:hyperlink>
      <w:r>
        <w:rPr>
          <w:rFonts w:ascii="arial" w:eastAsia="arial" w:hAnsi="arial" w:cs="arial"/>
          <w:color w:val="000000"/>
          <w:sz w:val="20"/>
          <w:lang w:val="en-US" w:eastAsia="en-US" w:bidi="ar-SA"/>
        </w:rPr>
        <w:t xml:space="preserve"> (B.C.S.C.); </w:t>
      </w:r>
      <w:r>
        <w:rPr>
          <w:rFonts w:ascii="arial" w:eastAsia="arial" w:hAnsi="arial" w:cs="arial"/>
          <w:i/>
          <w:color w:val="000000"/>
          <w:sz w:val="20"/>
          <w:lang w:val="en-US" w:eastAsia="en-US" w:bidi="ar-SA"/>
        </w:rPr>
        <w:t>Hesse v. Laurie and Morinville Hotel Ltd.</w:t>
      </w:r>
      <w:r>
        <w:rPr>
          <w:rFonts w:ascii="arial" w:eastAsia="arial" w:hAnsi="arial" w:cs="arial"/>
          <w:color w:val="000000"/>
          <w:sz w:val="20"/>
          <w:lang w:val="en-US" w:eastAsia="en-US" w:bidi="ar-SA"/>
        </w:rPr>
        <w:t xml:space="preserve"> </w:t>
      </w:r>
      <w:hyperlink r:id="rId245" w:history="1">
        <w:r>
          <w:rPr>
            <w:rFonts w:ascii="arial" w:eastAsia="arial" w:hAnsi="arial" w:cs="arial"/>
            <w:i/>
            <w:color w:val="0077CC"/>
            <w:sz w:val="20"/>
            <w:u w:val="single"/>
            <w:shd w:val="clear" w:color="auto" w:fill="FFFFFF"/>
            <w:lang w:val="en-US" w:eastAsia="en-US" w:bidi="ar-SA"/>
          </w:rPr>
          <w:t>(1962), 35 D.L.R. (2d) 413</w:t>
        </w:r>
      </w:hyperlink>
      <w:r>
        <w:rPr>
          <w:rFonts w:ascii="arial" w:eastAsia="arial" w:hAnsi="arial" w:cs="arial"/>
          <w:color w:val="000000"/>
          <w:sz w:val="20"/>
          <w:lang w:val="en-US" w:eastAsia="en-US" w:bidi="ar-SA"/>
        </w:rPr>
        <w:t xml:space="preserve"> (Alta. S.C.); </w:t>
      </w:r>
      <w:r>
        <w:rPr>
          <w:rFonts w:ascii="arial" w:eastAsia="arial" w:hAnsi="arial" w:cs="arial"/>
          <w:i/>
          <w:color w:val="000000"/>
          <w:sz w:val="20"/>
          <w:lang w:val="en-US" w:eastAsia="en-US" w:bidi="ar-SA"/>
        </w:rPr>
        <w:t>Jeffrey v. Commodore Cabaret Ltd.</w:t>
      </w:r>
      <w:r>
        <w:rPr>
          <w:rFonts w:ascii="arial" w:eastAsia="arial" w:hAnsi="arial" w:cs="arial"/>
          <w:color w:val="000000"/>
          <w:sz w:val="20"/>
          <w:lang w:val="en-US" w:eastAsia="en-US" w:bidi="ar-SA"/>
        </w:rPr>
        <w:t xml:space="preserve"> </w:t>
      </w:r>
      <w:hyperlink r:id="rId246" w:history="1">
        <w:r>
          <w:rPr>
            <w:rFonts w:ascii="arial" w:eastAsia="arial" w:hAnsi="arial" w:cs="arial"/>
            <w:i/>
            <w:color w:val="0077CC"/>
            <w:sz w:val="20"/>
            <w:u w:val="single"/>
            <w:shd w:val="clear" w:color="auto" w:fill="FFFFFF"/>
            <w:lang w:val="en-US" w:eastAsia="en-US" w:bidi="ar-SA"/>
          </w:rPr>
          <w:t>(1995), 13 B.C.L.R. (3d) 149</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Penney v. Fort Nelson Hotel (1974) Ltd.</w:t>
      </w:r>
      <w:r>
        <w:rPr>
          <w:rFonts w:ascii="arial" w:eastAsia="arial" w:hAnsi="arial" w:cs="arial"/>
          <w:color w:val="000000"/>
          <w:sz w:val="20"/>
          <w:lang w:val="en-US" w:eastAsia="en-US" w:bidi="ar-SA"/>
        </w:rPr>
        <w:t xml:space="preserve">, </w:t>
      </w:r>
      <w:hyperlink r:id="rId247" w:history="1">
        <w:r>
          <w:rPr>
            <w:rFonts w:ascii="arial" w:eastAsia="arial" w:hAnsi="arial" w:cs="arial"/>
            <w:i/>
            <w:color w:val="0077CC"/>
            <w:sz w:val="20"/>
            <w:u w:val="single"/>
            <w:shd w:val="clear" w:color="auto" w:fill="FFFFFF"/>
            <w:lang w:val="en-US" w:eastAsia="en-US" w:bidi="ar-SA"/>
          </w:rPr>
          <w:t>[1988] B.C.J. No. 2506</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Duncan v. Braaten</w:t>
      </w:r>
      <w:r>
        <w:rPr>
          <w:rFonts w:ascii="arial" w:eastAsia="arial" w:hAnsi="arial" w:cs="arial"/>
          <w:color w:val="000000"/>
          <w:sz w:val="20"/>
          <w:lang w:val="en-US" w:eastAsia="en-US" w:bidi="ar-SA"/>
        </w:rPr>
        <w:t xml:space="preserve"> </w:t>
      </w:r>
      <w:hyperlink r:id="rId248" w:history="1">
        <w:r>
          <w:rPr>
            <w:rFonts w:ascii="arial" w:eastAsia="arial" w:hAnsi="arial" w:cs="arial"/>
            <w:i/>
            <w:color w:val="0077CC"/>
            <w:sz w:val="20"/>
            <w:u w:val="single"/>
            <w:shd w:val="clear" w:color="auto" w:fill="FFFFFF"/>
            <w:lang w:val="en-US" w:eastAsia="en-US" w:bidi="ar-SA"/>
          </w:rPr>
          <w:t>(1980), 21 B.C.L.R. 369</w:t>
        </w:r>
      </w:hyperlink>
      <w:r>
        <w:rPr>
          <w:rFonts w:ascii="arial" w:eastAsia="arial" w:hAnsi="arial" w:cs="arial"/>
          <w:color w:val="000000"/>
          <w:sz w:val="20"/>
          <w:lang w:val="en-US" w:eastAsia="en-US" w:bidi="ar-SA"/>
        </w:rPr>
        <w:t xml:space="preserve"> (S.C.); and </w:t>
      </w:r>
      <w:r>
        <w:rPr>
          <w:rFonts w:ascii="arial" w:eastAsia="arial" w:hAnsi="arial" w:cs="arial"/>
          <w:i/>
          <w:color w:val="000000"/>
          <w:sz w:val="20"/>
          <w:lang w:val="en-US" w:eastAsia="en-US" w:bidi="ar-SA"/>
        </w:rPr>
        <w:t>Petersen v. Stadnyk</w:t>
      </w:r>
      <w:r>
        <w:rPr>
          <w:rFonts w:ascii="arial" w:eastAsia="arial" w:hAnsi="arial" w:cs="arial"/>
          <w:color w:val="000000"/>
          <w:sz w:val="20"/>
          <w:lang w:val="en-US" w:eastAsia="en-US" w:bidi="ar-SA"/>
        </w:rPr>
        <w:t xml:space="preserve">, </w:t>
      </w:r>
      <w:hyperlink r:id="rId249" w:history="1">
        <w:r>
          <w:rPr>
            <w:rFonts w:ascii="arial" w:eastAsia="arial" w:hAnsi="arial" w:cs="arial"/>
            <w:i/>
            <w:color w:val="0077CC"/>
            <w:sz w:val="20"/>
            <w:u w:val="single"/>
            <w:shd w:val="clear" w:color="auto" w:fill="FFFFFF"/>
            <w:lang w:val="en-US" w:eastAsia="en-US" w:bidi="ar-SA"/>
          </w:rPr>
          <w:t>2003 BCSC 2012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It is clear from the case law that the corporate defendants were not an insurer of Mr. Hartley's safety. However, there are circumstances in which an occupier of a nightclub or bar has been found liable to its patron for injuries caused by another patron. Whether or not an occupier of a nightclub or bar will be liable for injuries caused to a patron by another patron is very fact dependent.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issue is whether the corporate defendants took reasonable steps to protect Mr. Hartley from a danger they ought to have recognized when Mr. Lutke and the unidentified man were yelling and pushing and shoving.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On the night of the incident, there were five security staff on duty. The uncontroverted evidence of Mr. Lutke and Mr. Hartley is that Mr. Lutke and an unidentified man were involved in an altercation - pushing and shoving accompanied by loud yelling - for 2 to 2 1/2 minutes.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According to the corporate defendants, the Barfly's staff did not see the altercation, notwithstanding its duration. Nor did the staff see Mr. Hartley or Mr. Lutke struck with a bottle. The Barfly's staff did not become aware of the altercation until they heard the sound of a bottle breaking.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corporate defendants submit that the altercation occurred suddenly and that their staff had no warning. They point to the fact that Mr. Hartley admitted on his examination for discovery that he was surprised when the individuals who had bumped into each other decided to take it one step further, and equally surprised when another individual hit Mr. Lutke with the bottle. Mr. Hartley also testified he didn't think anything would come of the dispute when Mr. Lutke and the man started arguing.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However, Mr. Hartley's evidence is that the altercation was loud, and he could see something starting. In my view, it is reasonably foreseeable that the type of altercation described by Mr. Lutke and Mr. Hartley could escalate, and lead to a fight in which someone could be injured by being hit by a bottle.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The uncontradicted evidence of Mr. Hartley and Mr. Lutke is that the altercation went on for 2 to 2 1/2 minutes before Mr. Lutke was hit with the bottle and Mr. Hartley stepped in to assist him. As indicated earlier, Mr. MacLeod conceded that such behaviour - yelling and shoving and pushing - would not be tolerated for that length of time in the Barfly. I am of the view there was more than adequate time for security staff to intervene before Mr. Hartley felt it necessary to go to Mr. Lutke's aid. Their failure to do so was, in my view, a breach of their duty under s. 3 of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Should liability be apportioned between Mr. Hartley, the corporate defendants and the unknown assailant, and, if so, in what proportions?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Section 1(1)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 xml:space="preserve">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by the fault of 2 or more persons damage or loss is caused to one or more of them, the liability to make good the damage or loss is in proportion to the degree to which each person was at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In this case, the corporate defendants submit that both Mr. Hartley and the unidentified assailant who wielded the beer bottle should be found at fault. Mr. Hartley takes the position that his intervention was made necessary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duty of the corporate defendants whose staff failed to see the altercation for an inordinate length of time. Had they intervened in a timely manner there was more than enough time to prevent Mr. Hartley from having to intervene and he would have suffered no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 Hartley says he was forced to intervene, and as such he should not be found liable. However, Mr. Hartley did not alert the staff of the Barfly when he saw Mr. Lutke and the other man pushing and shoving each other. By intervening when he saw Mr. Lutke struck with a bottle, he must be taken to have assumed some risk of the possibility of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As well, the assailant must be assessed liability. His action was an intentional assault, and as such he should bear most of the responsibility. It is my view that the appropriate apportionment to the unknown assailant is 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other 50% should be apportioned between the corporate defendants and Mr. Hartley. The corporate defendants had a number of security staff working in the Barfly that night whose duties included preventing fights from occurring. If the Barfly's staff had been reasonably attentive and intervened in a timely fashion, the injury to Mr. Hartley would likely have been avoided or minimized. While Mr. Hartley must bear some responsibility for intervening rather than alerting the Barfly's staff, it is my view that the corporate defendants bear more of the responsibility for failing to intervene in a timely fashion. Having considered the roles of the corporate defendants and Mr. Hartley, I have concluded the appropriate apportionment is 35% to the corporate defendants and 15% to Mr. Hartley.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parties are at liberty to make submissions regarding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L.B. GEROW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88" style="position:absolute;z-index:25187020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50"/>
          <w:headerReference w:type="default" r:id="rId251"/>
          <w:footerReference w:type="even" r:id="rId252"/>
          <w:footerReference w:type="default" r:id="rId253"/>
          <w:headerReference w:type="first" r:id="rId254"/>
          <w:footerReference w:type="first" r:id="rId25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56" w:history="1">
        <w:r>
          <w:rPr>
            <w:rFonts w:ascii="arial" w:eastAsia="arial" w:hAnsi="arial" w:cs="arial"/>
            <w:b/>
            <w:bCs/>
            <w:i/>
            <w:color w:val="0077CC"/>
            <w:kern w:val="32"/>
            <w:sz w:val="28"/>
            <w:szCs w:val="32"/>
            <w:u w:val="single"/>
            <w:shd w:val="clear" w:color="auto" w:fill="FFFFFF"/>
            <w:lang w:val="en-US" w:eastAsia="en-US" w:bidi="ar-SA"/>
          </w:rPr>
          <w:t>Herman v. Accent Homes Realty Ltd., [2017] B.C.J. No. 572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Master R. McDiarmid</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14,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24,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S143747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[2017] B.C.J. No. 572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2017 BCSC 479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Randy Sheldon Herman, Plaintiff, and Accent Homes Realty Ltd., Fairway Mobile Homes Ltd., George Brown, Westbank First Nation and Grant Trask, Defendant, and George Brown doing business as All-Rite Heating &amp; Cooling, Accent Homes Realty Ltd., Fairway Mobile Homes Ltd.,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89" style="position:absolute;z-index:2516715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89" w:name="Keywords_12"/>
      <w:bookmarkEnd w:id="89"/>
      <w:r>
        <w:rPr>
          <w:rFonts w:ascii="arial" w:eastAsia="arial" w:hAnsi="arial" w:cs="arial"/>
          <w:b/>
          <w:color w:val="000000"/>
          <w:sz w:val="20"/>
          <w:lang w:val="en-US" w:eastAsia="en-US" w:bidi="ar-SA"/>
        </w:rPr>
        <w:t>Civil litigation — Civil procedure — Parties — Adding or substituting — After expiry of limitation period — Application by defendant Brown to add Palm Harbor Homes as third party dismissed — Plaintiff alleged he suffered seizure as result of carbon monoxide poisoning emitted from furnace of his mobile home — Brown had been retained by Accent Homes to run pipe from gas meter to furnace in 2012 — Palm Harbor was manufacturer of home — Had he exercised appropriate diligence, Brown would have known Palm Harbor manufactured home when he attended at home in 2012 and certainly by 2014 when he was served with plaintiff's claim — Two-year limitation period for adding Palm Harbor had expired.</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Civil litigation — Limitation of actions — Time — Discoverability — Application by defendant Brown to add Palm Harbor Homes as third party dismissed — Plaintiff alleged he suffered seizure as result of carbon monoxide poisoning emitted from furnace of his mobile home — Brown had been retained by Accent Homes to run pipe from gas meter to furnace in 2012 — Palm Harbor was manufacturer of home — Had he exercised appropriate diligence, Brown would have known Palm Harbor manufactured home when he attended at home in 2012 and certainly by 2014 when he was served with plaintiff's claim — Two-year limitation period for adding Palm Harbor had expired.</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Practice and procedure — Parties — Adding or striking out parties — Application by defendant Brown to add Palm Harbor Homes as third party dismissed — Plaintiff alleged he suffered seizure as result of carbon monoxide poisoning emitted from furnace of his mobile home — Brown had been retained by Accent Homes to run pipe from gas meter to furnace in 2012 — Palm Harbor was manufacturer of home — Had he exercised appropriate diligence, Brown would have known Palm Harbor manufactured home when he attended at home in 2012 and certainly by 2014 when he was served with plaintiff's claim — Two-year limitation period for adding Palm Harbor had expired.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90" w:name="Case Summary_11"/>
            <w:bookmarkEnd w:id="9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 Brown to add as a third party Palm Harbor Homes. The plaintiff alleged he suffered a seizure as a result of carbon monoxide poisoning emitted from the furnace of his mobile home. He alleged Brown performed faulty work regarding the installation and ventilation of the furnace. The plaintiff had purchased the home from the defendants Fairway Mobile Homes and Accent Homes Realty. Brown pled the furnace was already installed when he arrived at the home in 2012 and he had been retained by Accent Homes to install an air conditioning unit and run a pipe from the gas meter to the furnace. Palm Harbor was the manufacturer of the mobile home. It transported the home to Accent in 2012. Brown submitted he did not discover a potential claim against Palm Harbor until examinations for discovery in 2016.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91" w:name="Holdings of Court_8"/>
            <w:bookmarkEnd w:id="91"/>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Had he exercised appropriate diligence, Brown would have known Palm Harbor manufactured the home when he attended at the home in 2012 and certainly by 2014 when he was served with the plaintiff's claim. There would be some actual prejudice to Palm Harbor, given the passage of time, to determine which employees were involved in the manufacturing process. The two-year limitation period for adding Palm Harbor had expired.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92" w:name="Legislation Cited_9"/>
      <w:bookmarkEnd w:id="9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90" style="position:absolute;z-index:2517227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Limitation Act, </w:t>
      </w:r>
      <w:hyperlink r:id="rId257" w:history="1">
        <w:r>
          <w:rPr>
            <w:rFonts w:ascii="arial" w:eastAsia="arial" w:hAnsi="arial" w:cs="arial"/>
            <w:i/>
            <w:color w:val="0077CC"/>
            <w:sz w:val="20"/>
            <w:u w:val="single"/>
            <w:shd w:val="clear" w:color="auto" w:fill="FFFFFF"/>
            <w:lang w:val="en-US" w:eastAsia="en-US" w:bidi="ar-SA"/>
          </w:rPr>
          <w:t>S.B.C. 2012, c. 13, s. 16</w:t>
        </w:r>
      </w:hyperlink>
      <w:r>
        <w:rPr>
          <w:rFonts w:ascii="arial" w:eastAsia="arial" w:hAnsi="arial" w:cs="arial"/>
          <w:color w:val="000000"/>
          <w:sz w:val="20"/>
          <w:lang w:val="en-US" w:eastAsia="en-US" w:bidi="ar-SA"/>
        </w:rPr>
        <w:t>, s. 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Manufactured Home Act, </w:t>
      </w:r>
      <w:r>
        <w:rPr>
          <w:rFonts w:ascii="arial" w:eastAsia="arial" w:hAnsi="arial" w:cs="arial"/>
          <w:i/>
          <w:color w:val="000000"/>
          <w:sz w:val="20"/>
          <w:lang w:val="en-US" w:eastAsia="en-US" w:bidi="ar-SA"/>
        </w:rPr>
        <w:t>S.B.C. 2003, c. 75</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Supreme Court Civil Rules, </w:t>
      </w:r>
      <w:r>
        <w:rPr>
          <w:rFonts w:ascii="arial" w:eastAsia="arial" w:hAnsi="arial" w:cs="arial"/>
          <w:i/>
          <w:color w:val="000000"/>
          <w:sz w:val="20"/>
          <w:lang w:val="en-US" w:eastAsia="en-US" w:bidi="ar-SA"/>
        </w:rPr>
        <w:t>B.C. Reg. 168/2009, Rule 1-3</w:t>
      </w:r>
      <w:r>
        <w:rPr>
          <w:rFonts w:ascii="arial" w:eastAsia="arial" w:hAnsi="arial" w:cs="arial"/>
          <w:color w:val="000000"/>
          <w:sz w:val="20"/>
          <w:lang w:val="en-US" w:eastAsia="en-US" w:bidi="ar-SA"/>
        </w:rPr>
        <w:t>, Rule 14-1(15)</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93" w:name="Counsel_12"/>
      <w:bookmarkEnd w:id="93"/>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91" style="position:absolute;z-index:2517739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 one appeared on behalf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and Third Party, George Brown: B. Driedger.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Proposed Third Party, Palm Harbor Homes, Inc., F. Cabanos, C. Cairns.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94" w:name="Judgment_12"/>
      <w:bookmarkEnd w:id="94"/>
      <w:r>
        <w:pict>
          <v:line id="_x0000_s1092" style="position:absolute;z-index:25182515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70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95" w:name="MASTER R. McDIARMID"/>
            <w:bookmarkEnd w:id="95"/>
            <w:r>
              <w:rPr>
                <w:rFonts w:ascii="arial" w:eastAsia="arial" w:hAnsi="arial" w:cs="arial"/>
                <w:b/>
                <w:color w:val="000000"/>
                <w:sz w:val="30"/>
                <w:lang w:val="en-US" w:eastAsia="en-US" w:bidi="ar-SA"/>
              </w:rPr>
              <w:t>MASTER R. McDIARMID</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application by the defendant and third party, George Brown, doing business as All-Rite Heating &amp; Cooling, to add as a third party, Palm Harbor Homes, Inc. ("Palm Harbor").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By way of background, the plaintiff alleges in Notice of Civil Claim ("Notice") filed May 15, 2014 that on October 29, 2012, he suffered a seizure as a result of cumulative carbon monoxide poisoning emitted from the furnace in the house, defined in the pleadings as a home at 1315 - 2440 Old Okanagan Highway in West Kelowna, British Columbia. The pleadings set out that the house is a pre-fabricated residence in the development known as Sierra Westside and contains a furnace. Paragraph 10 of the Notice is as follows:</w:t>
      </w:r>
      <w:r>
        <w:rPr>
          <w:rFonts w:ascii="arial" w:eastAsia="arial" w:hAnsi="arial" w:cs="arial"/>
          <w:sz w:val="20"/>
          <w:lang w:val="en-US" w:eastAsia="en-US" w:bidi="ar-SA"/>
        </w:rPr>
        <w:cr/>
      </w:r>
    </w:p>
    <w:p>
      <w:pPr>
        <w:numPr>
          <w:numId w:val="8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Brown performed faulty work, or failed to perform work pertaining to the installation and ventilation of the Furnace such that it would not emit carbon monoxide gas.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pleadings allege that the defendants, Fairway Mobile Homes Ltd. ("Fairway") and Accent Homes Realty Ltd. ("Accent"), built and developed the house and sold it to the plaintiff. The pleadings allege that Westbank First Nation governed the inspection approval process of the furnace and ventilation systems resulting in the occupancy of the house. The pleadings allege that Grant Trask had an obligation to inspect the furnace and ventilation systems of the house and ensure that they were appropriate and safe; the allegation is that Mr. Trask was an employee or agent of Westbank First 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discontinued its claim against Westbank First Nation and Grant Trask on December 16, 2015. The plaintiff has not made a claim against Palm Harbor. Accent, who contracted with Palm Harbor, has not sought to third party Palm Harbor.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various defendants is particularized under "Part 3: LEGAL BASIS", following a pleading that the plaintiff's injuries, loss and damages were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defendants jointly and severally. Paragraph 3 is as follows:</w:t>
      </w:r>
      <w:r>
        <w:rPr>
          <w:rFonts w:ascii="arial" w:eastAsia="arial" w:hAnsi="arial" w:cs="arial"/>
          <w:sz w:val="20"/>
          <w:lang w:val="en-US" w:eastAsia="en-US" w:bidi="ar-SA"/>
        </w:rPr>
        <w:cr/>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particulars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Brown includes but is not limited to the following:</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select an appropriate furnace for the House;</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installing and configuring the Furnace in an unsafe manner;</w:t>
      </w:r>
    </w:p>
    <w:p>
      <w:pPr>
        <w:numPr>
          <w:numId w:val="5"/>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adequately test the Furnace to ensure safe operations in all circumstances;</w:t>
      </w:r>
    </w:p>
    <w:p>
      <w:pPr>
        <w:numPr>
          <w:numId w:val="6"/>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install an appropriate mechanism for keeping water out of the Furnace ventilation system;</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notify another person or entity that no appropriate mechanism for keeping water out of the Furnace ventilation system was in place;</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adequately disable the furnace until an appropriate ventilation system was in place;</w:t>
      </w:r>
    </w:p>
    <w:p>
      <w:pPr>
        <w:numPr>
          <w:numId w:val="9"/>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properly inspect the Furnace and ventilation system; and</w:t>
      </w:r>
    </w:p>
    <w:p>
      <w:pPr>
        <w:numPr>
          <w:numId w:val="10"/>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other particulars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that counsel may advise.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applicant filed a Response to Civil Claim ("Response") on June 27, 2014. It sets out in Division 2 his version of the facts. Paragraphs 7 through 16 of the Response are as follows:</w:t>
      </w:r>
      <w:r>
        <w:rPr>
          <w:rFonts w:ascii="arial" w:eastAsia="arial" w:hAnsi="arial" w:cs="arial"/>
          <w:sz w:val="20"/>
          <w:lang w:val="en-US" w:eastAsia="en-US" w:bidi="ar-SA"/>
        </w:rPr>
        <w:cr/>
      </w:r>
    </w:p>
    <w:p>
      <w:pPr>
        <w:numPr>
          <w:numId w:val="11"/>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Mr. Brown arrived at the plaintiffs pre-fabricated house, the furnace and venting had already been installed, by a person or persons unknown to Mr. Brown.</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8.</w:t>
      </w:r>
      <w:r>
        <w:rPr>
          <w:rFonts w:ascii="arial" w:eastAsia="arial" w:hAnsi="arial" w:cs="arial"/>
          <w:color w:val="000000"/>
          <w:sz w:val="20"/>
          <w:lang w:val="en-US" w:eastAsia="en-US" w:bidi="ar-SA"/>
        </w:rPr>
        <w:t xml:space="preserve"> George Brown was retained by Accent Homes Realty Ltd., to install an air conditioning unit and barbecue box, as well as to run a pipe from the Fortis gas meter to the furnace.</w:t>
      </w:r>
    </w:p>
    <w:p>
      <w:pPr>
        <w:numPr>
          <w:numId w:val="12"/>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Mr. Brown's "installation" work was limited to attaching an 18 inch "extension" to the vent / pipe exiting the house on the roof.</w:t>
      </w:r>
    </w:p>
    <w:p>
      <w:pPr>
        <w:numPr>
          <w:numId w:val="13"/>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"extension" is a piece of pipe which was supplied as part of the pre-fabricated home. Mr. Brown's work was limited to removing a piece of tape from the pre-supplied pipe and inserting said pipe into the vent on the roof.</w:t>
      </w:r>
    </w:p>
    <w:p>
      <w:pPr>
        <w:numPr>
          <w:numId w:val="14"/>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Other than tying the gas line into the meter and adding the extension to the vent, Mr. Brown did not do any installation work on the furnace or venting.</w:t>
      </w:r>
    </w:p>
    <w:p>
      <w:pPr>
        <w:numPr>
          <w:numId w:val="1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Mr. Brown tested the furnace, including running the furnace for approximately 30 minutes. The furnace was functioning normally.</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Mr. Brown completed his work on the plaintiff's home on or about June 13, 2012.</w:t>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Mr. Brown issued a permit, triggering an inspection by a third party.</w:t>
      </w:r>
    </w:p>
    <w:p>
      <w:pPr>
        <w:numPr>
          <w:numId w:val="1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time Mr. Brown completed his work on June 13, 2012, the furnace was functioning normally.</w:t>
      </w:r>
    </w:p>
    <w:p>
      <w:pPr>
        <w:numPr>
          <w:numId w:val="1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At no time after June 13, 2012 did Mr. Brown return to the plaintiff's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On July 7, 2014, Mr. Brown filed a Third Party Notice issuing third party proceedings against the defendants, Accent and Fairway. Paragraph 22 of that Third Party Notice is as follows:</w:t>
      </w:r>
      <w:r>
        <w:rPr>
          <w:rFonts w:ascii="arial" w:eastAsia="arial" w:hAnsi="arial" w:cs="arial"/>
          <w:sz w:val="20"/>
          <w:lang w:val="en-US" w:eastAsia="en-US" w:bidi="ar-SA"/>
        </w:rPr>
        <w:cr/>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furnace, ducting, or venting in the prefabricated home malfunctioned, then liability rests with Accent Homes Realty Ltd., and/or Fairway Mobile Homes Ltd.:</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the installer and supplier of the furnace, ducting and venting, pursuant to the </w:t>
      </w:r>
      <w:r>
        <w:rPr>
          <w:rFonts w:ascii="arial" w:eastAsia="arial" w:hAnsi="arial" w:cs="arial"/>
          <w:i/>
          <w:color w:val="000000"/>
          <w:sz w:val="20"/>
          <w:lang w:val="en-US" w:eastAsia="en-US" w:bidi="ar-SA"/>
        </w:rPr>
        <w:t>Sale of Goods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410</w:t>
      </w:r>
      <w:r>
        <w:rPr>
          <w:rFonts w:ascii="arial" w:eastAsia="arial" w:hAnsi="arial" w:cs="arial"/>
          <w:color w:val="000000"/>
          <w:sz w:val="20"/>
          <w:lang w:val="en-US" w:eastAsia="en-US" w:bidi="ar-SA"/>
        </w:rPr>
        <w:t>; and/or</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the vendor of the prefabricated home in which the furnace was contained, pursuant to the </w:t>
      </w:r>
      <w:r>
        <w:rPr>
          <w:rFonts w:ascii="arial" w:eastAsia="arial" w:hAnsi="arial" w:cs="arial"/>
          <w:i/>
          <w:color w:val="000000"/>
          <w:sz w:val="20"/>
          <w:lang w:val="en-US" w:eastAsia="en-US" w:bidi="ar-SA"/>
        </w:rPr>
        <w:t>Sale of Goods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seeking to add Palm Harbor, the applicant has provided a draft Amended Third Party Notice. The allegations sought against Palm Harbor are as follows:</w:t>
      </w:r>
      <w:r>
        <w:rPr>
          <w:rFonts w:ascii="arial" w:eastAsia="arial" w:hAnsi="arial" w:cs="arial"/>
          <w:sz w:val="20"/>
          <w:lang w:val="en-US" w:eastAsia="en-US" w:bidi="ar-SA"/>
        </w:rPr>
        <w:cr/>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 xml:space="preserve">Further or in the alternative, if the furnace, ducting or venting in the prefabricated home malfunctioned, then George Brown says such was caused or contributed to by the acts, omissions, </w:t>
      </w:r>
      <w:r>
        <w:rPr>
          <w:rFonts w:ascii="arial" w:eastAsia="arial" w:hAnsi="arial" w:cs="arial"/>
          <w:b/>
          <w:i/>
          <w:color w:val="000000"/>
          <w:sz w:val="20"/>
          <w:u w:val="single"/>
          <w:lang w:val="en-US" w:eastAsia="en-US" w:bidi="ar-SA"/>
        </w:rPr>
        <w:t>negligence</w:t>
      </w:r>
      <w:r>
        <w:rPr>
          <w:rFonts w:ascii="arial" w:eastAsia="arial" w:hAnsi="arial" w:cs="arial"/>
          <w:color w:val="000000"/>
          <w:sz w:val="20"/>
          <w:u w:val="single"/>
          <w:lang w:val="en-US" w:eastAsia="en-US" w:bidi="ar-SA"/>
        </w:rPr>
        <w:t xml:space="preserve"> or breach of duty of Palm Harbor, particulars of which include but are not limited to the following</w:t>
      </w:r>
      <w:r>
        <w:rPr>
          <w:rFonts w:ascii="arial" w:eastAsia="arial" w:hAnsi="arial" w:cs="arial"/>
          <w:color w:val="000000"/>
          <w:sz w:val="20"/>
          <w:lang w:val="en-US" w:eastAsia="en-US" w:bidi="ar-SA"/>
        </w:rPr>
        <w:t>:</w:t>
      </w:r>
    </w:p>
    <w:p>
      <w:pPr>
        <w:numPr>
          <w:numId w:val="2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negligently manufacturing and/or supplying .a defective mobile home which it knew or ought to have known contained a defect and was potentially dangerous, and which it ought to have known could cause loss, expense, injury or damage when used in the ordinary way</w:t>
      </w:r>
      <w:r>
        <w:rPr>
          <w:rFonts w:ascii="arial" w:eastAsia="arial" w:hAnsi="arial" w:cs="arial"/>
          <w:color w:val="000000"/>
          <w:sz w:val="20"/>
          <w:lang w:val="en-US" w:eastAsia="en-US" w:bidi="ar-SA"/>
        </w:rPr>
        <w:t>;</w:t>
      </w:r>
    </w:p>
    <w:p>
      <w:pPr>
        <w:numPr>
          <w:numId w:val="2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negligently manufacturing and/or supplying a mobile home without first ascertaining by wav of examination, tests, inspection or otherwise, that the mobile home was and would remain safe and suitable for the purposes for which it was manufactured:</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Palm Harbor failed in its duty to warn or adequately warn potential users of the mobile home, including the furnace, of its defects and potential dangers, thereby causing foreseeable loss, expense, injury or damage to users of the Carpet Shredder and those in proximity to users of the Carpet Shredder</w:t>
      </w:r>
      <w:r>
        <w:rPr>
          <w:rFonts w:ascii="arial" w:eastAsia="arial" w:hAnsi="arial" w:cs="arial"/>
          <w:color w:val="000000"/>
          <w:sz w:val="20"/>
          <w:lang w:val="en-US" w:eastAsia="en-US" w:bidi="ar-SA"/>
        </w:rPr>
        <w:t>;</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Palm Harbor failed in its duty to provide clear instructions, including precautions to be taken so as to avoid loss, expense, injury or damage from ordinary shipment, installation and/ or use of the mobile home; and,</w:t>
      </w:r>
    </w:p>
    <w:p>
      <w:pPr>
        <w:numPr>
          <w:numId w:val="2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Such further and other particulars as counsel may advise.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The applicant also seeks to amend the "RELIEF SOUGHT" section by alleging that the plaintiff's loss or damage was caused wholly or in part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existing defendants, Access and Fairway and/or Palm Harbor, and also seeks a declaration that the applicant is entitled to be indemnified by,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Palm Harbor.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applicant submits that he did not discover a potential claim against Palm Harbor until Examinations for Discovery in April of 2016. Attached to the Affidavit of Ashley Carlson, legal assistant employed by counsel for the applicant, are some extracts from the Examination for Discovery, the representative of Accent. The discovery evidence confirms that the home was constructed by Palm Harbor. It is a modular home, so it was in two sections shipped by transport truck. The two parts to the home were put together by a contractor identified in the Examination for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questions relied upon by the applicant are questions and answers 130 to 134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What is United Contracting, Pudge, responsible for doing?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They put the two halves together and then seal up the roof so it's at lock-up stage and then they're done.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Do they install the furnace?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sir.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Do they install the ventilation?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already done by Palm Habour,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furnace and the ventilation for the furnace is installed by Palm Harbour, that's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United Contracting would have nothing to do with the hook-up of the furnace or the installation of the HVAC ventilation related to the furnace?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 was advised that this Examination for Discovery was done by counsel for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 Notice of Application seeking to add Palm Harbor was filed November 24,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Palm Harbor opposes the application. In its Response, it sets out facts, proven by Mr. Barnes' Affidavit, confirming that Palm Harbor is in the business of designing, constructing and marketing manufactured and modular homes. The Affidavit confirms that this home was ordered by Accent to be a display home in April of 2009, was constructed in two sections for delivery, was transported to Accent in May of 2012, was registered in accordance with the </w:t>
      </w:r>
      <w:r>
        <w:rPr>
          <w:rFonts w:ascii="arial" w:eastAsia="arial" w:hAnsi="arial" w:cs="arial"/>
          <w:i/>
          <w:color w:val="000000"/>
          <w:sz w:val="20"/>
          <w:lang w:val="en-US" w:eastAsia="en-US" w:bidi="ar-SA"/>
        </w:rPr>
        <w:t>Manufactured Home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2003, c. 75</w:t>
      </w:r>
      <w:r>
        <w:rPr>
          <w:rFonts w:ascii="arial" w:eastAsia="arial" w:hAnsi="arial" w:cs="arial"/>
          <w:color w:val="000000"/>
          <w:sz w:val="20"/>
          <w:lang w:val="en-US" w:eastAsia="en-US" w:bidi="ar-SA"/>
        </w:rPr>
        <w:t>, and was subsequently sold and delivered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the Notice of Application, the applicant, in paragraphs 13 to 15, sets out that on or about June 13, 2012, the applicant, Mr. Brown, performed some work on the manufactured home, including the connection of the gas lines to the furnace. This is also pleaded by the applicant in his Response, filed June 27, 2014, Division 2, paragraphs 7 to 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opposing the application to join Palm Harbor as a third party, Forrest Barnes, the General Manager of Palm Harbor, swore an Affidavit filed in these proceedings on February 3, 2017. Attached as Exhibit "O" to that Affidavit is the List of Documents of Accent and Fairway. Those documents include a document entitled "Smoke Alarm Operational Test Procedure -- Palm Harbor Homes, Inc. (5 pgs)" disclosed on the list at document 1.16. That five-page document is attached to Mr. Barnes' Affidavit as Exhibit "S". The words "Palm Harbor Homes, Inc." appear on all five pages.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There is no dispute as to the applicable principles under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168/2009</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Paragraphs 3 through 6 of the "LEGAL BASIS" of the Notice of Application are as follows:</w:t>
      </w:r>
      <w:r>
        <w:rPr>
          <w:rFonts w:ascii="arial" w:eastAsia="arial" w:hAnsi="arial" w:cs="arial"/>
          <w:sz w:val="20"/>
          <w:lang w:val="en-US" w:eastAsia="en-US" w:bidi="ar-SA"/>
        </w:rPr>
        <w:cr/>
      </w:r>
    </w:p>
    <w:p>
      <w:pPr>
        <w:numPr>
          <w:numId w:val="2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Rule 3-5(1) provides that a party against whom relief is sought may pursue a third party claim against any person if the party alleges that:</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party is entitled to contribution or indemnity from the person in relation to any relief that is being sought against the party in the action,</w:t>
      </w:r>
    </w:p>
    <w:p>
      <w:pPr>
        <w:numPr>
          <w:numId w:val="31"/>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party is entitled to relief against the person and that relief relates to or is connected with the subject matter of the action, or</w:t>
      </w:r>
    </w:p>
    <w:p>
      <w:pPr>
        <w:numPr>
          <w:numId w:val="3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question or issue between the party and the person (i) is substantially the same as a question or issue that relates to or is connected with (A) relief claimed in the action, or (B) the subject matter of the action; and (ii) should properly be determined in the action.</w:t>
      </w:r>
    </w:p>
    <w:p>
      <w:pPr>
        <w:numPr>
          <w:numId w:val="3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facts pleaded in the proposed amended third party notice do not have to be supported by evidence. In considering an application for leave to commence third party proceedings, the court will proceed on the assumption that all the facts pleaded in the proposed third party notice are true.</w:t>
      </w:r>
    </w:p>
    <w:p>
      <w:pPr>
        <w:spacing w:before="120" w:line="260" w:lineRule="atLeast"/>
        <w:ind w:left="1440"/>
        <w:rPr>
          <w:rFonts w:ascii="arial" w:eastAsia="arial" w:hAnsi="arial" w:cs="arial"/>
          <w:sz w:val="20"/>
          <w:lang w:val="en-US" w:eastAsia="en-US" w:bidi="ar-SA"/>
        </w:rPr>
      </w:pPr>
      <w:r>
        <w:rPr>
          <w:rFonts w:ascii="arial" w:eastAsia="arial" w:hAnsi="arial" w:cs="arial"/>
          <w:i/>
          <w:color w:val="000000"/>
          <w:sz w:val="20"/>
          <w:lang w:val="en-US" w:eastAsia="en-US" w:bidi="ar-SA"/>
        </w:rPr>
        <w:t xml:space="preserve">McNaughton v. Baker, </w:t>
      </w:r>
      <w:hyperlink r:id="rId258" w:history="1">
        <w:r>
          <w:rPr>
            <w:rFonts w:ascii="arial" w:eastAsia="arial" w:hAnsi="arial" w:cs="arial"/>
            <w:i/>
            <w:color w:val="0077CC"/>
            <w:sz w:val="20"/>
            <w:u w:val="single"/>
            <w:shd w:val="clear" w:color="auto" w:fill="FFFFFF"/>
            <w:lang w:val="en-US" w:eastAsia="en-US" w:bidi="ar-SA"/>
          </w:rPr>
          <w:t>1988 CanLII3036</w:t>
        </w:r>
      </w:hyperlink>
      <w:r>
        <w:rPr>
          <w:rFonts w:ascii="arial" w:eastAsia="arial" w:hAnsi="arial" w:cs="arial"/>
          <w:i/>
          <w:color w:val="000000"/>
          <w:sz w:val="20"/>
          <w:lang w:val="en-US" w:eastAsia="en-US" w:bidi="ar-SA"/>
        </w:rPr>
        <w:t xml:space="preserve"> (BC CA), [1988] B.C.J. No.</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 xml:space="preserve">515,  </w:t>
      </w:r>
      <w:hyperlink r:id="rId258" w:history="1">
        <w:r>
          <w:rPr>
            <w:rFonts w:ascii="arial" w:eastAsia="arial" w:hAnsi="arial" w:cs="arial"/>
            <w:i/>
            <w:color w:val="0077CC"/>
            <w:sz w:val="20"/>
            <w:u w:val="single"/>
            <w:shd w:val="clear" w:color="auto" w:fill="FFFFFF"/>
            <w:lang w:val="en-US" w:eastAsia="en-US" w:bidi="ar-SA"/>
          </w:rPr>
          <w:t>25 B.C.L.R. (2d) 17</w:t>
        </w:r>
      </w:hyperlink>
      <w:r>
        <w:rPr>
          <w:rFonts w:ascii="arial" w:eastAsia="arial" w:hAnsi="arial" w:cs="arial"/>
          <w:i/>
          <w:color w:val="000000"/>
          <w:sz w:val="20"/>
          <w:lang w:val="en-US" w:eastAsia="en-US" w:bidi="ar-SA"/>
        </w:rPr>
        <w:t xml:space="preserve"> (C.A.).</w:t>
      </w:r>
      <w:r>
        <w:rPr>
          <w:rFonts w:ascii="arial" w:eastAsia="arial" w:hAnsi="arial" w:cs="arial"/>
          <w:sz w:val="20"/>
          <w:lang w:val="en-US" w:eastAsia="en-US" w:bidi="ar-SA"/>
        </w:rPr>
        <w:cr/>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fundamental question on a third party application is whether greater injustice and inconvenience would arise from allowing the contribution claim to continue as a third party proceeding, or from striking it and leaving it to be pursued in a separate future action.</w:t>
      </w:r>
    </w:p>
    <w:p>
      <w:pPr>
        <w:spacing w:before="120" w:line="260" w:lineRule="atLeast"/>
        <w:ind w:left="1440"/>
        <w:rPr>
          <w:rFonts w:ascii="arial" w:eastAsia="arial" w:hAnsi="arial" w:cs="arial"/>
          <w:sz w:val="20"/>
          <w:lang w:val="en-US" w:eastAsia="en-US" w:bidi="ar-SA"/>
        </w:rPr>
      </w:pPr>
      <w:r>
        <w:rPr>
          <w:rFonts w:ascii="arial" w:eastAsia="arial" w:hAnsi="arial" w:cs="arial"/>
          <w:i/>
          <w:color w:val="000000"/>
          <w:sz w:val="20"/>
          <w:lang w:val="en-US" w:eastAsia="en-US" w:bidi="ar-SA"/>
        </w:rPr>
        <w:t>Strata Plan LMS1751 v. Scott Management Ltd.,</w:t>
      </w:r>
      <w:r>
        <w:rPr>
          <w:rFonts w:ascii="arial" w:eastAsia="arial" w:hAnsi="arial" w:cs="arial"/>
          <w:color w:val="000000"/>
          <w:sz w:val="20"/>
          <w:lang w:val="en-US" w:eastAsia="en-US" w:bidi="ar-SA"/>
        </w:rPr>
        <w:t xml:space="preserve"> </w:t>
      </w:r>
      <w:hyperlink r:id="rId259" w:history="1">
        <w:r>
          <w:rPr>
            <w:rFonts w:ascii="arial" w:eastAsia="arial" w:hAnsi="arial" w:cs="arial"/>
            <w:i/>
            <w:color w:val="0077CC"/>
            <w:sz w:val="20"/>
            <w:u w:val="single"/>
            <w:shd w:val="clear" w:color="auto" w:fill="FFFFFF"/>
            <w:lang w:val="en-US" w:eastAsia="en-US" w:bidi="ar-SA"/>
          </w:rPr>
          <w:t>2010 BCCA 192</w:t>
        </w:r>
      </w:hyperlink>
      <w:r>
        <w:rPr>
          <w:rFonts w:ascii="arial" w:eastAsia="arial" w:hAnsi="arial" w:cs="arial"/>
          <w:color w:val="000000"/>
          <w:sz w:val="20"/>
          <w:lang w:val="en-US" w:eastAsia="en-US" w:bidi="ar-SA"/>
        </w:rPr>
        <w:t xml:space="preserve"> at para 90.</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exercising its discretion to grant leave to file a third party notice, the court may consider the following factors:</w:t>
      </w:r>
    </w:p>
    <w:p>
      <w:pPr>
        <w:numPr>
          <w:numId w:val="3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prejudice to the parties;</w:t>
      </w:r>
    </w:p>
    <w:p>
      <w:pPr>
        <w:numPr>
          <w:numId w:val="3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expiration of limitation period;</w:t>
      </w:r>
    </w:p>
    <w:p>
      <w:pPr>
        <w:numPr>
          <w:numId w:val="3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merits of the proposed claim;</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delay in proceedings; and</w:t>
      </w:r>
    </w:p>
    <w:p>
      <w:pPr>
        <w:numPr>
          <w:numId w:val="4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timeliness of the application.</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Clayton Systems 2001 Ltd. v. Quizno's Canada Corporation</w:t>
      </w:r>
      <w:r>
        <w:rPr>
          <w:rFonts w:ascii="arial" w:eastAsia="arial" w:hAnsi="arial" w:cs="arial"/>
          <w:color w:val="000000"/>
          <w:sz w:val="20"/>
          <w:lang w:val="en-US" w:eastAsia="en-US" w:bidi="ar-SA"/>
        </w:rPr>
        <w:t xml:space="preserve">, </w:t>
      </w:r>
      <w:hyperlink r:id="rId260" w:history="1">
        <w:r>
          <w:rPr>
            <w:rFonts w:ascii="arial" w:eastAsia="arial" w:hAnsi="arial" w:cs="arial"/>
            <w:i/>
            <w:color w:val="0077CC"/>
            <w:sz w:val="20"/>
            <w:u w:val="single"/>
            <w:shd w:val="clear" w:color="auto" w:fill="FFFFFF"/>
            <w:lang w:val="en-US" w:eastAsia="en-US" w:bidi="ar-SA"/>
          </w:rPr>
          <w:t>2003 BCSC 573</w:t>
        </w:r>
      </w:hyperlink>
      <w:r>
        <w:rPr>
          <w:rFonts w:ascii="arial" w:eastAsia="arial" w:hAnsi="arial" w:cs="arial"/>
          <w:color w:val="000000"/>
          <w:sz w:val="20"/>
          <w:lang w:val="en-US" w:eastAsia="en-US" w:bidi="ar-SA"/>
        </w:rPr>
        <w:t xml:space="preserve"> at para 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Dealing with the limitation issue, the applicant cites applicable sections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2012, c. 13</w:t>
      </w:r>
      <w:r>
        <w:rPr>
          <w:rFonts w:ascii="arial" w:eastAsia="arial" w:hAnsi="arial" w:cs="arial"/>
          <w:color w:val="000000"/>
          <w:sz w:val="20"/>
          <w:lang w:val="en-US" w:eastAsia="en-US" w:bidi="ar-SA"/>
        </w:rPr>
        <w:t xml:space="preserve"> in paragraphs 12 and 13 of their Notice of Application as follows:</w:t>
      </w:r>
      <w:r>
        <w:rPr>
          <w:rFonts w:ascii="arial" w:eastAsia="arial" w:hAnsi="arial" w:cs="arial"/>
          <w:sz w:val="20"/>
          <w:lang w:val="en-US" w:eastAsia="en-US" w:bidi="ar-SA"/>
        </w:rPr>
        <w:cr/>
      </w:r>
    </w:p>
    <w:p>
      <w:pPr>
        <w:numPr>
          <w:numId w:val="41"/>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2012 SBC, c 13 (the "2012 Limitation Act") is applicable in the circumstances. Pursuant to Section 16 of the 2012 Limitation Act, the limitation period for bringing a contribution or indemnity claim expires two years from the later of:</w:t>
      </w:r>
    </w:p>
    <w:p>
      <w:pPr>
        <w:numPr>
          <w:numId w:val="42"/>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day on which the claimant for contribution or indemnity is served with a pleading in respect of a claim on which the claim for contribution or indemnity is based; or</w:t>
      </w:r>
    </w:p>
    <w:p>
      <w:pPr>
        <w:numPr>
          <w:numId w:val="43"/>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first day on which the claimant knew or reasonably ought to have known that a claim for contribution or indemnity may be made.</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2012 Limitation Act, Section 16.</w:t>
      </w:r>
      <w:r>
        <w:rPr>
          <w:rFonts w:ascii="arial" w:eastAsia="arial" w:hAnsi="arial" w:cs="arial"/>
          <w:sz w:val="20"/>
          <w:lang w:val="en-US" w:eastAsia="en-US" w:bidi="ar-SA"/>
        </w:rPr>
        <w:cr/>
      </w:r>
    </w:p>
    <w:p>
      <w:pPr>
        <w:numPr>
          <w:numId w:val="4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Section 8 of the 2012 Limitation Act provides:</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General discovery rules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464"/>
        <w:gridCol w:w="523"/>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w:t>
            </w:r>
          </w:p>
        </w:tc>
        <w:tc>
          <w:tcPr>
            <w:tcW w:w="51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Except for those special situations referred to in sections 9 to 11, a claim is discovered by a person on the first day on which the person knew or reasonably ought to have known all of the following: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45"/>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injury, loss or damage had occurred;</w:t>
      </w:r>
    </w:p>
    <w:p>
      <w:pPr>
        <w:numPr>
          <w:numId w:val="46"/>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injury, loss or damage was caused by or contributed to by an act or omission;</w:t>
      </w:r>
    </w:p>
    <w:p>
      <w:pPr>
        <w:numPr>
          <w:numId w:val="47"/>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act or omission was that of the person against whom the claim is or may be made;</w:t>
      </w:r>
    </w:p>
    <w:p>
      <w:pPr>
        <w:numPr>
          <w:numId w:val="48"/>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having regard to the nature of the injury, loss or damage, a court proceeding would be an appropriate means to seek to remedy the injury, loss or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their Application Response, Palm Harbor submits that portions of ss. 16 and 22 are applicable. Paragraphs 7 and 8 of its Response are as follows:</w:t>
      </w:r>
      <w:r>
        <w:rPr>
          <w:rFonts w:ascii="arial" w:eastAsia="arial" w:hAnsi="arial" w:cs="arial"/>
          <w:sz w:val="20"/>
          <w:lang w:val="en-US" w:eastAsia="en-US" w:bidi="ar-SA"/>
        </w:rPr>
        <w:cr/>
      </w:r>
    </w:p>
    <w:p>
      <w:pPr>
        <w:numPr>
          <w:numId w:val="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For claims of contribution or indemnity, section 16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states: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claim for contribution or indemnity is discovered on the later of the following:</w:t>
      </w:r>
    </w:p>
    <w:p>
      <w:pPr>
        <w:numPr>
          <w:numId w:val="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day on which the claimant for contribution or indemnity is served with a pleading in respect of a claim on which the claim for contribution or indemnity is based;</w:t>
      </w:r>
    </w:p>
    <w:p>
      <w:pPr>
        <w:numPr>
          <w:numId w:val="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first day on which the claimant knew or reasonably ought to have known that a claim for contribution or indemnity may be made.</w:t>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Section 22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does not allow discretion for the Court to extend the two-year limitation period:</w:t>
      </w:r>
    </w:p>
    <w:p>
      <w:pPr>
        <w:numPr>
          <w:numId w:val="5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a court proceeding has been commenced in relation to a claim widiin the basic limitation period and ultimate limitation period applicable to the claim and there is another claim (the "related claim") relating to or connected with the first mentioned claim, the following may, in the court proceeding, be done with respect to the related claim even though a limitation period applicable to either or both of the claims has expired:</w:t>
      </w:r>
    </w:p>
    <w:p>
      <w:pPr>
        <w:numPr>
          <w:numId w:val="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proceedings by counterclaim may be brought, including the addition of a new party as a defendant by counterclaim;</w:t>
      </w:r>
    </w:p>
    <w:p>
      <w:pPr>
        <w:numPr>
          <w:numId w:val="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third party proceedings may be brought;</w:t>
      </w:r>
    </w:p>
    <w:p>
      <w:pPr>
        <w:numPr>
          <w:numId w:val="5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claims by way of set off may be advanced;</w:t>
      </w:r>
    </w:p>
    <w:p>
      <w:pPr>
        <w:numPr>
          <w:numId w:val="5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new parties may be added or substituted as plaintiffs or defendants.</w:t>
      </w:r>
    </w:p>
    <w:p>
      <w:pPr>
        <w:numPr>
          <w:numId w:val="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Nothing in subsection (1) gives a person a right to commence a court - proceeding under subsection (1) fa) or (b) in relation to a claim for contribution or indemnity after the expiry of a limitation period applicable to that claim.</w:t>
      </w:r>
      <w:r>
        <w:rPr>
          <w:rFonts w:ascii="arial" w:eastAsia="arial" w:hAnsi="arial" w:cs="arial"/>
          <w:color w:val="000000"/>
          <w:sz w:val="20"/>
          <w:lang w:val="en-US" w:eastAsia="en-US" w:bidi="ar-SA"/>
        </w:rPr>
        <w:t xml:space="preserve">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analyzing this application, I assume that the applicant can prove the facts he seeks to plead in the Amended Third Party Notice.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One issue here is whether the principles of discoverability mean that the applicant did not discover that the ventilation for the furnace was installed by Palm Harbor until the Examination for Discovery of a representative of Action in April of 2016. Palm Harbor submits that applying the principles of discoverability and, exercising the required diligence, it must have been apparent to this defendant that Palm Harbor manufactured the ventilation when this defendant hooked up the gas line and did other work as set out in paragraphs 10 to 13 of the Notice of Application, which is essentially a summary of the defendants' version of facts as pleaded in his Response. No Affidavit evidence from the applicant, George Brown, has been provided.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The principles of discoverability have been set out by our Court of Appeal in </w:t>
      </w:r>
      <w:r>
        <w:rPr>
          <w:rFonts w:ascii="arial" w:eastAsia="arial" w:hAnsi="arial" w:cs="arial"/>
          <w:i/>
          <w:color w:val="000000"/>
          <w:sz w:val="20"/>
          <w:lang w:val="en-US" w:eastAsia="en-US" w:bidi="ar-SA"/>
        </w:rPr>
        <w:t>Roberts v. E. Sands &amp; Associates Inc.</w:t>
      </w:r>
      <w:r>
        <w:rPr>
          <w:rFonts w:ascii="arial" w:eastAsia="arial" w:hAnsi="arial" w:cs="arial"/>
          <w:color w:val="000000"/>
          <w:sz w:val="20"/>
          <w:lang w:val="en-US" w:eastAsia="en-US" w:bidi="ar-SA"/>
        </w:rPr>
        <w:t xml:space="preserve">, </w:t>
      </w:r>
      <w:hyperlink r:id="rId261" w:history="1">
        <w:r>
          <w:rPr>
            <w:rFonts w:ascii="arial" w:eastAsia="arial" w:hAnsi="arial" w:cs="arial"/>
            <w:i/>
            <w:color w:val="0077CC"/>
            <w:sz w:val="20"/>
            <w:u w:val="single"/>
            <w:shd w:val="clear" w:color="auto" w:fill="FFFFFF"/>
            <w:lang w:val="en-US" w:eastAsia="en-US" w:bidi="ar-SA"/>
          </w:rPr>
          <w:t>2014 BCCA 122</w:t>
        </w:r>
      </w:hyperlink>
      <w:r>
        <w:rPr>
          <w:rFonts w:ascii="arial" w:eastAsia="arial" w:hAnsi="arial" w:cs="arial"/>
          <w:color w:val="000000"/>
          <w:sz w:val="20"/>
          <w:lang w:val="en-US" w:eastAsia="en-US" w:bidi="ar-SA"/>
        </w:rPr>
        <w:t xml:space="preserve"> at para. 34: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[34] The two operative concepts in this case are diligence and the knowledge of facts supporting a cause of action. According to the doctrine of discoverability, a limitation period does not begin to run until the claimant knows the material facts upon which a cause of action is founded. The claimant must be diligent in discovering those facts. The judge understood the doctrine; his discussion on the topic correctly summarizes the law:</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[44] The concept of discoverability was discussed by the learned author of </w:t>
      </w:r>
      <w:r>
        <w:rPr>
          <w:rFonts w:ascii="arial" w:eastAsia="arial" w:hAnsi="arial" w:cs="arial"/>
          <w:i/>
          <w:color w:val="000000"/>
          <w:sz w:val="20"/>
          <w:lang w:val="en-US" w:eastAsia="en-US" w:bidi="ar-SA"/>
        </w:rPr>
        <w:t>The Law of Limitations</w:t>
      </w:r>
      <w:r>
        <w:rPr>
          <w:rFonts w:ascii="arial" w:eastAsia="arial" w:hAnsi="arial" w:cs="arial"/>
          <w:color w:val="000000"/>
          <w:sz w:val="20"/>
          <w:lang w:val="en-US" w:eastAsia="en-US" w:bidi="ar-SA"/>
        </w:rPr>
        <w:t xml:space="preserve"> (2nd Ed.) (LexisNexis Butterworths) 2004:</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In all cases where the discoverability rule is invoked, the claimant must have exercised reasonable diligence in discovering the material facts upon which to found an action. It has been clear for some time now that wilful blindness to the existence of damages will not be an effective answer to a limitation defence.</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to what amounts to "reasonable diligence", </w:t>
      </w:r>
      <w:r>
        <w:rPr>
          <w:rFonts w:ascii="arial" w:eastAsia="arial" w:hAnsi="arial" w:cs="arial"/>
          <w:color w:val="000000"/>
          <w:sz w:val="20"/>
          <w:u w:val="single"/>
          <w:lang w:val="en-US" w:eastAsia="en-US" w:bidi="ar-SA"/>
        </w:rPr>
        <w:t>the test is a subjective one</w:t>
      </w:r>
      <w:r>
        <w:rPr>
          <w:rFonts w:ascii="arial" w:eastAsia="arial" w:hAnsi="arial" w:cs="arial"/>
          <w:color w:val="000000"/>
          <w:sz w:val="20"/>
          <w:lang w:val="en-US" w:eastAsia="en-US" w:bidi="ar-SA"/>
        </w:rPr>
        <w:t xml:space="preserve">. In the 1996 decision of </w:t>
      </w:r>
      <w:r>
        <w:rPr>
          <w:rFonts w:ascii="arial" w:eastAsia="arial" w:hAnsi="arial" w:cs="arial"/>
          <w:i/>
          <w:color w:val="000000"/>
          <w:sz w:val="20"/>
          <w:lang w:val="en-US" w:eastAsia="en-US" w:bidi="ar-SA"/>
        </w:rPr>
        <w:t>Bourne v. Saunby</w:t>
      </w:r>
      <w:r>
        <w:rPr>
          <w:rFonts w:ascii="arial" w:eastAsia="arial" w:hAnsi="arial" w:cs="arial"/>
          <w:color w:val="000000"/>
          <w:sz w:val="20"/>
          <w:lang w:val="en-US" w:eastAsia="en-US" w:bidi="ar-SA"/>
        </w:rPr>
        <w:t xml:space="preserve">, </w:t>
      </w:r>
      <w:hyperlink r:id="rId262" w:history="1">
        <w:r>
          <w:rPr>
            <w:rFonts w:ascii="arial" w:eastAsia="arial" w:hAnsi="arial" w:cs="arial"/>
            <w:i/>
            <w:color w:val="0077CC"/>
            <w:sz w:val="20"/>
            <w:u w:val="single"/>
            <w:shd w:val="clear" w:color="auto" w:fill="FFFFFF"/>
            <w:lang w:val="en-US" w:eastAsia="en-US" w:bidi="ar-SA"/>
          </w:rPr>
          <w:t>[1996] O.J. No. 3693</w:t>
        </w:r>
      </w:hyperlink>
      <w:r>
        <w:rPr>
          <w:rFonts w:ascii="arial" w:eastAsia="arial" w:hAnsi="arial" w:cs="arial"/>
          <w:color w:val="000000"/>
          <w:sz w:val="20"/>
          <w:lang w:val="en-US" w:eastAsia="en-US" w:bidi="ar-SA"/>
        </w:rPr>
        <w:t>, the court declined to apply the discoverability rule because "everything was then and there available to enable the plaintiff and his family and their advisors, exercising due diligence to bring an action". Similar approaches have been taken in more recent cases. It is not adequate, for example, to say that where medical evidence is available but has unreasonably not been obtained, that lack of knowledge of the nature and extent of an injury should trump a limitation defence. A claimant cannot simply wait until he or she has an expert report in hand which supports the claim.</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(at p. 54)</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[45] The postponement of a limitation period is based upon the common law notion of discoverability. The Supreme Court of Canada has held that the concept of discoverability is only an interpretative tool and each statute must be examined to determine whether this concept can be "read into" the particular statute: </w:t>
      </w:r>
      <w:r>
        <w:rPr>
          <w:rFonts w:ascii="arial" w:eastAsia="arial" w:hAnsi="arial" w:cs="arial"/>
          <w:i/>
          <w:color w:val="000000"/>
          <w:sz w:val="20"/>
          <w:lang w:val="en-US" w:eastAsia="en-US" w:bidi="ar-SA"/>
        </w:rPr>
        <w:t>Peixeiro v. Haberma</w:t>
      </w:r>
      <w:r>
        <w:rPr>
          <w:rFonts w:ascii="arial" w:eastAsia="arial" w:hAnsi="arial" w:cs="arial"/>
          <w:color w:val="000000"/>
          <w:sz w:val="20"/>
          <w:lang w:val="en-US" w:eastAsia="en-US" w:bidi="ar-SA"/>
        </w:rPr>
        <w:t xml:space="preserve"> n </w:t>
      </w:r>
      <w:hyperlink r:id="rId263" w:history="1">
        <w:r>
          <w:rPr>
            <w:rFonts w:ascii="arial" w:eastAsia="arial" w:hAnsi="arial" w:cs="arial"/>
            <w:i/>
            <w:color w:val="0077CC"/>
            <w:sz w:val="20"/>
            <w:u w:val="single"/>
            <w:shd w:val="clear" w:color="auto" w:fill="FFFFFF"/>
            <w:lang w:val="en-US" w:eastAsia="en-US" w:bidi="ar-SA"/>
          </w:rPr>
          <w:t>[1997] 3 SCR 549</w:t>
        </w:r>
      </w:hyperlink>
      <w:r>
        <w:rPr>
          <w:rFonts w:ascii="arial" w:eastAsia="arial" w:hAnsi="arial" w:cs="arial"/>
          <w:color w:val="000000"/>
          <w:sz w:val="20"/>
          <w:lang w:val="en-US" w:eastAsia="en-US" w:bidi="ar-SA"/>
        </w:rPr>
        <w:t xml:space="preserve">, at para. 37. See also </w:t>
      </w:r>
      <w:r>
        <w:rPr>
          <w:rFonts w:ascii="arial" w:eastAsia="arial" w:hAnsi="arial" w:cs="arial"/>
          <w:i/>
          <w:color w:val="000000"/>
          <w:sz w:val="20"/>
          <w:lang w:val="en-US" w:eastAsia="en-US" w:bidi="ar-SA"/>
        </w:rPr>
        <w:t>410727 B.C. Ltd. v. Dayhu Investments Ltd.</w:t>
      </w:r>
      <w:r>
        <w:rPr>
          <w:rFonts w:ascii="arial" w:eastAsia="arial" w:hAnsi="arial" w:cs="arial"/>
          <w:color w:val="000000"/>
          <w:sz w:val="20"/>
          <w:lang w:val="en-US" w:eastAsia="en-US" w:bidi="ar-SA"/>
        </w:rPr>
        <w:t xml:space="preserve">, </w:t>
      </w:r>
      <w:hyperlink r:id="rId264" w:history="1">
        <w:r>
          <w:rPr>
            <w:rFonts w:ascii="arial" w:eastAsia="arial" w:hAnsi="arial" w:cs="arial"/>
            <w:i/>
            <w:color w:val="0077CC"/>
            <w:sz w:val="20"/>
            <w:u w:val="single"/>
            <w:shd w:val="clear" w:color="auto" w:fill="FFFFFF"/>
            <w:lang w:val="en-US" w:eastAsia="en-US" w:bidi="ar-SA"/>
          </w:rPr>
          <w:t>(2004), 30 B.C.L.R. (4th) 157</w:t>
        </w:r>
      </w:hyperlink>
      <w:r>
        <w:rPr>
          <w:rFonts w:ascii="arial" w:eastAsia="arial" w:hAnsi="arial" w:cs="arial"/>
          <w:color w:val="000000"/>
          <w:sz w:val="20"/>
          <w:lang w:val="en-US" w:eastAsia="en-US" w:bidi="ar-SA"/>
        </w:rPr>
        <w:t xml:space="preserve"> (B.C.C.A.), at para. 34. The fact that s. 140(b) (i)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retains the concept of "knowledge of the facts", allows me to conclude that the principle of discoverability must be taken into account here.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[46] In </w:t>
      </w:r>
      <w:r>
        <w:rPr>
          <w:rFonts w:ascii="arial" w:eastAsia="arial" w:hAnsi="arial" w:cs="arial"/>
          <w:i/>
          <w:color w:val="000000"/>
          <w:sz w:val="20"/>
          <w:lang w:val="en-US" w:eastAsia="en-US" w:bidi="ar-SA"/>
        </w:rPr>
        <w:t>Consumers Glass Co. Ltd. v. Foundation Co. of Canada Ltd./Compagnie Foundation du Canada Ltee et al.</w:t>
      </w:r>
      <w:r>
        <w:rPr>
          <w:rFonts w:ascii="arial" w:eastAsia="arial" w:hAnsi="arial" w:cs="arial"/>
          <w:color w:val="000000"/>
          <w:sz w:val="20"/>
          <w:lang w:val="en-US" w:eastAsia="en-US" w:bidi="ar-SA"/>
        </w:rPr>
        <w:t xml:space="preserve"> </w:t>
      </w:r>
      <w:hyperlink r:id="rId265" w:history="1">
        <w:r>
          <w:rPr>
            <w:rFonts w:ascii="arial" w:eastAsia="arial" w:hAnsi="arial" w:cs="arial"/>
            <w:i/>
            <w:color w:val="0077CC"/>
            <w:sz w:val="20"/>
            <w:u w:val="single"/>
            <w:shd w:val="clear" w:color="auto" w:fill="FFFFFF"/>
            <w:lang w:val="en-US" w:eastAsia="en-US" w:bidi="ar-SA"/>
          </w:rPr>
          <w:t>(1985), 20 D.L.R. (4th) 126</w:t>
        </w:r>
      </w:hyperlink>
      <w:r>
        <w:rPr>
          <w:rFonts w:ascii="arial" w:eastAsia="arial" w:hAnsi="arial" w:cs="arial"/>
          <w:color w:val="000000"/>
          <w:sz w:val="20"/>
          <w:lang w:val="en-US" w:eastAsia="en-US" w:bidi="ar-SA"/>
        </w:rPr>
        <w:t xml:space="preserve"> (Ont. C.A.), Dubin J.A., on behalf of the Court, made this statement regarding when a limitation period begins to run and the concept of discoverability:</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In my opinion, in cases which are based on a breach of duty to take care, a cause of action does not arise, and time does not begin to run for the purposes of the Limitations Act, until such time as the plaintiff discovers or ought reasonably to have discovered the facts with respect to which the remedy is being sought, whether the issue arises in contract or in tort.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I read the judgment of the Supreme Court of Canada in </w:t>
      </w:r>
      <w:r>
        <w:rPr>
          <w:rFonts w:ascii="arial" w:eastAsia="arial" w:hAnsi="arial" w:cs="arial"/>
          <w:i/>
          <w:color w:val="000000"/>
          <w:sz w:val="20"/>
          <w:lang w:val="en-US" w:eastAsia="en-US" w:bidi="ar-SA"/>
        </w:rPr>
        <w:t>Kamloops</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City of Kamloops v. Nielsen et al</w:t>
      </w:r>
      <w:r>
        <w:rPr>
          <w:rFonts w:ascii="arial" w:eastAsia="arial" w:hAnsi="arial" w:cs="arial"/>
          <w:color w:val="000000"/>
          <w:sz w:val="20"/>
          <w:lang w:val="en-US" w:eastAsia="en-US" w:bidi="ar-SA"/>
        </w:rPr>
        <w:t xml:space="preserve">., </w:t>
      </w:r>
      <w:hyperlink r:id="rId266" w:history="1">
        <w:r>
          <w:rPr>
            <w:rFonts w:ascii="arial" w:eastAsia="arial" w:hAnsi="arial" w:cs="arial"/>
            <w:i/>
            <w:color w:val="0077CC"/>
            <w:sz w:val="20"/>
            <w:u w:val="single"/>
            <w:shd w:val="clear" w:color="auto" w:fill="FFFFFF"/>
            <w:lang w:val="en-US" w:eastAsia="en-US" w:bidi="ar-SA"/>
          </w:rPr>
          <w:t>[1984] 2 S.C.R. 2</w:t>
        </w:r>
      </w:hyperlink>
      <w:r>
        <w:rPr>
          <w:rFonts w:ascii="arial" w:eastAsia="arial" w:hAnsi="arial" w:cs="arial"/>
          <w:color w:val="000000"/>
          <w:sz w:val="20"/>
          <w:lang w:val="en-US" w:eastAsia="en-US" w:bidi="ar-SA"/>
        </w:rPr>
        <w:t xml:space="preserve">, </w:t>
      </w:r>
      <w:hyperlink r:id="rId266" w:history="1">
        <w:r>
          <w:rPr>
            <w:rFonts w:ascii="arial" w:eastAsia="arial" w:hAnsi="arial" w:cs="arial"/>
            <w:i/>
            <w:color w:val="0077CC"/>
            <w:sz w:val="20"/>
            <w:u w:val="single"/>
            <w:shd w:val="clear" w:color="auto" w:fill="FFFFFF"/>
            <w:lang w:val="en-US" w:eastAsia="en-US" w:bidi="ar-SA"/>
          </w:rPr>
          <w:t>10 D.L.R. (4th) 641</w:t>
        </w:r>
      </w:hyperlink>
      <w:r>
        <w:rPr>
          <w:rFonts w:ascii="arial" w:eastAsia="arial" w:hAnsi="arial" w:cs="arial"/>
          <w:color w:val="000000"/>
          <w:sz w:val="20"/>
          <w:lang w:val="en-US" w:eastAsia="en-US" w:bidi="ar-SA"/>
        </w:rPr>
        <w:t xml:space="preserve">, </w:t>
      </w:r>
      <w:hyperlink r:id="rId266" w:history="1">
        <w:r>
          <w:rPr>
            <w:rFonts w:ascii="arial" w:eastAsia="arial" w:hAnsi="arial" w:cs="arial"/>
            <w:i/>
            <w:color w:val="0077CC"/>
            <w:sz w:val="20"/>
            <w:u w:val="single"/>
            <w:shd w:val="clear" w:color="auto" w:fill="FFFFFF"/>
            <w:lang w:val="en-US" w:eastAsia="en-US" w:bidi="ar-SA"/>
          </w:rPr>
          <w:t>[1984] 5 W.W.R. 1</w:t>
        </w:r>
      </w:hyperlink>
      <w:r>
        <w:rPr>
          <w:rFonts w:ascii="arial" w:eastAsia="arial" w:hAnsi="arial" w:cs="arial"/>
          <w:color w:val="000000"/>
          <w:sz w:val="20"/>
          <w:lang w:val="en-US" w:eastAsia="en-US" w:bidi="ar-SA"/>
        </w:rPr>
        <w:t>], the underlying policy consideration was "the injustice of a law which statute-bars a claim before the plaintiff is even aware of its existence". That principle, in my opinion, is equally applicable where the issue arises in cases sounding in contract or in tort. That is not to say that the plaintiff would have to know the extent of the damage complained of before the time begins to run, but the cause of action does not arise, in my opinion, until the plaintiff could first have brought an action and proved sufficient facts to sustain it, or ought reasonably to have discovered the facts upon which the cause of action is premised.</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(at paras. 41-42)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Had he exercised appropriate diligence, the applicant, Mr. Brown, would have known that Palm Harbor manufactured the home, probably when he attended to the mobile home to hook up the gas line in June 2012. He must have known that Palm Harbor was the manufacturer of the home shortly after he was served with the Notice. He had counsel; counsel filed a Response on his behalf on June 24,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Ms. Carlson's Affidavit attaches as Exhibit "J", a letter from counsel for Accent and Fairway sent to counsel for the applicant. That letter is dated July 4, 2014 and encloses a List of Documents. Document 1.3 in the List is a document dated April 17, 2012 described as "Accent Homes Contract of Purchase and Sale (2 pgs)". That document is attached to the Affidavit of Mr. Barnes as Exhibit "R". It identifies that the mobile home is made by Palm Harbor.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Brown's counsel must have reviewed the documents disclosed by the other defendants, including in particular, the List of Documents of Accent and Fairway listed on September 9, 2014. These would have been reviewed shortly after September 9, 2014, at least two years and two months before filing the Notice of Application on November 24,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evidence provided to me satisfies me that, with reasonable diligence, the applicant would have known the material facts upon which his Third Party Notice is founded, namely that the proposed third party manufactured the home and installed the furnace and ventilation for the furnace. Those facts were probably known when he worked on the furnace, as pleaded by him in his version of facts, sometime on or about June 13, 2012. He would have had, and in fact did have, a lawyer retained. That lawyer received documents referencing the proposed third party when the lawyer received the July 4, 2014 letter. Disclosure of the "Smoke Alarm Operational Test Procedure" which was done on the documents dated September 9, 2014 would have confirmed the requisite facts to the applicant and his counsel. All of that was more than two years prior to the filing of the Notice to join Palm Harbor.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 reiterate that there is no Affidavit evidence deposed to by Mr. Brown.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looking at prejudice, I find that there is some actual prejudice to the proposed third party in that, given the passage of time, it will be difficult, if not impossible, for the proposed third party to determine which employees were involved in the manufacturing process. I appreciate that may or may not garner relevant evidence, but the opportunity to even start that investigation has been lost by delay. That prejudice is established by the evidence put forward by Palm Harbor. The applicant has not sought to cross-examine Mr. Barnes on his evidence. I accept it as evidence of some prejudice.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two-year limitation period for adding third parties expired before this application was brought. It expired, at the latest, shortly after September 9, 2016 (i.e. shortly after Mr. Brown's counsel's review of Accent and Fairway's September 9, 2014 List of Documents, plus two years). It probably expired earlier, by June 24, 2016, two years after Mr. Brown's Response was filed.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application is dismissed with costs to Palm Harbor payable by Mr. Brown.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Given that Palm Harbor is not a party and, keeping in mind Rule 1-3, I summarily fix costs pursuant to Rule 14-1(15) at $1,000.00 inclusive of disbursements and taxes. I have determined that amount by referencing Appendix B, tariff items 26(b) and 27(b) for a half day, plus applicable taxes and an allowance for disbursements. Those costs are payable forthwith.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MASTER R. McDIARMID</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93" style="position:absolute;z-index:25187123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67"/>
          <w:headerReference w:type="default" r:id="rId268"/>
          <w:footerReference w:type="even" r:id="rId269"/>
          <w:footerReference w:type="default" r:id="rId270"/>
          <w:headerReference w:type="first" r:id="rId271"/>
          <w:footerReference w:type="first" r:id="rId27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73" w:history="1">
        <w:r>
          <w:rPr>
            <w:rFonts w:ascii="arial" w:eastAsia="arial" w:hAnsi="arial" w:cs="arial"/>
            <w:b/>
            <w:bCs/>
            <w:i/>
            <w:color w:val="0077CC"/>
            <w:kern w:val="32"/>
            <w:sz w:val="28"/>
            <w:szCs w:val="32"/>
            <w:u w:val="single"/>
            <w:shd w:val="clear" w:color="auto" w:fill="FFFFFF"/>
            <w:lang w:val="en-US" w:eastAsia="en-US" w:bidi="ar-SA"/>
          </w:rPr>
          <w:t>Hunter v. Anderson, [2011] I.L.R. para. G-2357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Canadian Insurance Law Reporter Cases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Before: Cullen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Decision: November 8,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No. S052951</w:t>
      </w:r>
    </w:p>
    <w:p>
      <w:pPr>
        <w:rPr>
          <w:rFonts w:ascii="arial" w:eastAsia="arial" w:hAnsi="arial" w:cs="arial"/>
          <w:sz w:val="20"/>
          <w:lang w:val="en-US" w:eastAsia="en-US" w:bidi="ar-SA"/>
        </w:rPr>
      </w:pPr>
    </w:p>
    <w:p>
      <w:pPr>
        <w:spacing w:before="120" w:after="120" w:line="280" w:lineRule="atLeast"/>
        <w:rPr>
          <w:rFonts w:ascii="arial" w:eastAsia="arial" w:hAnsi="arial" w:cs="arial"/>
          <w:sz w:val="20"/>
          <w:lang w:val="en-US" w:eastAsia="en-US" w:bidi="ar-SA"/>
        </w:rPr>
      </w:pPr>
      <w:r>
        <w:rPr>
          <w:rFonts w:ascii="arial" w:eastAsia="arial" w:hAnsi="arial" w:cs="arial"/>
          <w:b/>
          <w:i/>
          <w:color w:val="000000"/>
          <w:sz w:val="22"/>
          <w:lang w:val="en-US" w:eastAsia="en-US" w:bidi="ar-SA"/>
        </w:rPr>
        <w:t xml:space="preserve">Canadian Insurance Law Reporter Cases  </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Cases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2010s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2010</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[2011] I.L.R. para. G-2357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274" w:history="1">
        <w:r>
          <w:rPr>
            <w:rFonts w:ascii="arial" w:eastAsia="arial" w:hAnsi="arial" w:cs="arial"/>
            <w:i/>
            <w:color w:val="0077CC"/>
            <w:sz w:val="20"/>
            <w:u w:val="single"/>
            <w:shd w:val="clear" w:color="auto" w:fill="FFFFFF"/>
            <w:lang w:val="en-US" w:eastAsia="en-US" w:bidi="ar-SA"/>
          </w:rPr>
          <w:t>[2010] B.C.J. No. 2191</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274" w:history="1">
        <w:r>
          <w:rPr>
            <w:rFonts w:ascii="arial" w:eastAsia="arial" w:hAnsi="arial" w:cs="arial"/>
            <w:i/>
            <w:color w:val="0077CC"/>
            <w:sz w:val="20"/>
            <w:u w:val="single"/>
            <w:shd w:val="clear" w:color="auto" w:fill="FFFFFF"/>
            <w:lang w:val="en-US" w:eastAsia="en-US" w:bidi="ar-SA"/>
          </w:rPr>
          <w:t>2010 BCSC 1591</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Shannon Hunter Plaintiff v. Flora Anderson Defendant</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94" style="position:absolute;z-index:2516725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96" w:name="Keywords_13"/>
      <w:bookmarkEnd w:id="96"/>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Costs — Settlement offer — Defendant was substantially successful at trial, as plaintiff was found 75% contributorily negligent — Relative financial circumstances favoured neither party — Defendant's offer six days before trial could not be characterized as one which ought reasonably to have been accepted — Short duration of offer and lack of assessment of defendant's liability were factors — Plaintiff was awarded costs up to and including the first two days of trial, and defendant was awarded costs for the last six days of trial.</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97" w:name="Case Summary_12"/>
            <w:bookmarkEnd w:id="97"/>
          </w:p>
          <w:p>
            <w:pPr>
              <w:spacing w:before="120" w:line="260" w:lineRule="atLeast"/>
              <w:ind w:left="240"/>
              <w:jc w:val="both"/>
              <w:rPr>
                <w:rFonts w:ascii="arial" w:eastAsia="arial" w:hAnsi="arial" w:cs="arial"/>
                <w:sz w:val="20"/>
                <w:lang w:val="en-US" w:eastAsia="en-US" w:bidi="ar-SA"/>
              </w:rPr>
            </w:pPr>
            <w:r>
              <w:rPr>
                <w:rFonts w:ascii="arial" w:eastAsia="arial" w:hAnsi="arial" w:cs="arial"/>
                <w:b/>
                <w:color w:val="000000"/>
                <w:sz w:val="20"/>
                <w:lang w:val="en-US" w:eastAsia="en-US" w:bidi="ar-SA"/>
              </w:rPr>
              <w:t>Facts:</w:t>
            </w:r>
            <w:r>
              <w:rPr>
                <w:rFonts w:ascii="arial" w:eastAsia="arial" w:hAnsi="arial" w:cs="arial"/>
                <w:color w:val="000000"/>
                <w:sz w:val="20"/>
                <w:lang w:val="en-US" w:eastAsia="en-US" w:bidi="ar-SA"/>
              </w:rPr>
              <w:t xml:space="preserv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for a slip and fall, the trial lasted eight days. The Court found the defendant liable, but held that plaintiff was 75 per cent contributorily negligent. The plaintiff netted $9,127. (For that decision, see </w:t>
            </w:r>
            <w:hyperlink r:id="rId275" w:history="1">
              <w:r>
                <w:rPr>
                  <w:rFonts w:ascii="arial" w:eastAsia="arial" w:hAnsi="arial" w:cs="arial"/>
                  <w:i/>
                  <w:color w:val="0077CC"/>
                  <w:sz w:val="20"/>
                  <w:u w:val="single"/>
                  <w:shd w:val="clear" w:color="auto" w:fill="FFFFFF"/>
                  <w:lang w:val="en-US" w:eastAsia="en-US" w:bidi="ar-SA"/>
                </w:rPr>
                <w:t>[2010] I.L.R. G-2342</w:t>
              </w:r>
            </w:hyperlink>
            <w:r>
              <w:rPr>
                <w:rFonts w:ascii="arial" w:eastAsia="arial" w:hAnsi="arial" w:cs="arial"/>
                <w:color w:val="000000"/>
                <w:sz w:val="20"/>
                <w:lang w:val="en-US" w:eastAsia="en-US" w:bidi="ar-SA"/>
              </w:rPr>
              <w:t xml:space="preserve">.) The current issue was what costs should be awarded, given that six days before trial the defendant had made an offer to settle for $25,000, which was open for three days. The defendant argued that she should be granted all costs and disbursements subsequent to the offer, while the plaintiff submitted that the offer was not one that ought reasonably to have been accepted, given its short duration for consideration before trial, the small disparity between what she was awarded and the offer, and the relative financial circumstances of the parties. The plaintiff stated she was close to declaring bankruptcy.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98" w:name="Holdings of Court_9"/>
            <w:bookmarkEnd w:id="98"/>
            <w:r>
              <w:rPr>
                <w:rFonts w:ascii="arial" w:eastAsia="arial" w:hAnsi="arial" w:cs="arial"/>
                <w:color w:val="000000"/>
                <w:sz w:val="20"/>
                <w:lang w:val="en-US" w:eastAsia="en-US" w:bidi="ar-SA"/>
              </w:rPr>
              <w:t>HELD: The Court awarded the plaintiff her costs up to and including the first two days of trial, and awarded the defendant her costs for the last six days of trial.</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Court agreed with the plaintiff that on balance, in the circumstances, despite the result, the offer could not be characterized as one which ought reasonably to have been accepted. The Court noted the short duration of the offer and the fact that it was not based on an assessment of the liability of the defendant. The Court took note of the fact that, at the time of the offer, there was ongoing disclosure of the plaintiff's documents. The Court held that the relative financial circumstances of the parties favoured neither side, nor was this a case where the defendant's insurance coverage led to protracted litigation.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99" w:name="Counsel_13"/>
      <w:bookmarkEnd w:id="9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95" style="position:absolute;z-index:2517237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 Andersen for the plaintiff; L.C. Boulton for the defendant .</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00" w:name="Judgment_13"/>
      <w:bookmarkEnd w:id="100"/>
      <w:r>
        <w:pict>
          <v:line id="_x0000_s1096" style="position:absolute;z-index:251774976"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A correction was released by the Court December 10, 2010; the change has been made to the text and the corrigendum is appended to this document.]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01" w:name="A.F. CULLEN J."/>
            <w:bookmarkEnd w:id="101"/>
            <w:r>
              <w:rPr>
                <w:rFonts w:ascii="arial" w:eastAsia="arial" w:hAnsi="arial" w:cs="arial"/>
                <w:b/>
                <w:color w:val="000000"/>
                <w:sz w:val="30"/>
                <w:lang w:val="en-US" w:eastAsia="en-US" w:bidi="ar-SA"/>
              </w:rPr>
              <w:t>A.F. CULLEN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trial of this matter consumed eight days, commencing March 15, 2010. The action was grounded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contrary to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and in breach of a tenancy agreement between the plaintiff and the defendant. The plaintiff sought damages for injuries arising to her shoulder and elbow from a slip and fall on the stairs of her rental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In the result, I found the defendant to be liable under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but found the plaintiff to be contributorily negligent, concluding that she was 75% liable for the accident, giving rise to her injuries and the defendant was 25% liable. I assessed the plaintiff's damages at $25,000 for non-pecuniary damages, $11,179.03 for past wage loss, and $329.28 for special damages and awarded her judgment for 25% of that amount, or $9,127.25 together with interest on the portion representing past wage loss and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 also awarded the plaintiff "costs and disbursements unless there is some matter of which I am unaware, in which case the parties have liberty to apply."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defendant contested her liability, although admitted that the slip and fall took place. The plaintiff asserted liability on several bases, including the defendant's failure to comply with the City of Coquitlam by-laws and a failure to ensure the stairs on which the plaintiff slipped were safely cleared of snow and ice. There is evidence that the plaintiff and her son undertook cleaning of the stairs of snow the previous evening which was one of the basis on which the defendant resisted liability or, in the alternative, sought a finding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advanced a claim for loss of earning capacity, as well as cost of future care, which I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Ultimately, the plaintiff and defendant's shared liability was determined by a legal principal and tested in this jurisdiction and the extent of the plaintiff's damages, although founded on some objective evidence, was limited by factors relating to the plaintiff's reliability. In that regard, I found that the plaintiff's evidence of the nature and extent of her injuries "was beset by exaggeration and embellishment" and I accepted that there was a likelihood "that the plaintiff's perception and presentation of her injuries may have been influenced by the difficult and unfortunate psychological stresses she was undergoing leading up to and following the slip and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What has given rise to this contest as to whether and to whom and what costs should be awarded is that on March 9, 2010, counsel for the defendant made an offer to settle for $25,000 plus costs and disbursements and court ordered interest to the date of the offer.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offer of settlement read, in part,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Please note that this is an Offer to Settle under Rule 37B of the </w:t>
      </w:r>
      <w:r>
        <w:rPr>
          <w:rFonts w:ascii="arial" w:eastAsia="arial" w:hAnsi="arial" w:cs="arial"/>
          <w:i/>
          <w:color w:val="000000"/>
          <w:sz w:val="20"/>
          <w:lang w:val="en-US" w:eastAsia="en-US" w:bidi="ar-SA"/>
        </w:rPr>
        <w:t>Supreme Court Rules.</w:t>
      </w:r>
      <w:r>
        <w:rPr>
          <w:rFonts w:ascii="arial" w:eastAsia="arial" w:hAnsi="arial" w:cs="arial"/>
          <w:color w:val="000000"/>
          <w:sz w:val="20"/>
          <w:lang w:val="en-US" w:eastAsia="en-US" w:bidi="ar-SA"/>
        </w:rPr>
        <w:t xml:space="preserve"> The Defendant reserves the right to bring this Offer to the attention of the Court for consideration in relation to costs after the Court has rendered judgment on all other issues in the proceeding. The Defendant further reserves the right to bring all previous offers delivered by the Defendant, whether under Rule 37, Rule 37A, Rule 37B, or otherwise, to the attention of the Court for consideration in relation to costs after the Court has rendered judgment on all other issues in the proceeding.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advise that this Offer to Settle is open for acceptance at any time before 4:00 p.m. Pacific Time on March 12,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defendant also referenced an earlier offer made in a letter dated January 20, 2010 which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is an Offer to Settle under Rule 37B of the </w:t>
      </w:r>
      <w:r>
        <w:rPr>
          <w:rFonts w:ascii="arial" w:eastAsia="arial" w:hAnsi="arial" w:cs="arial"/>
          <w:i/>
          <w:color w:val="000000"/>
          <w:sz w:val="20"/>
          <w:lang w:val="en-US" w:eastAsia="en-US" w:bidi="ar-SA"/>
        </w:rPr>
        <w:t>Supreme Court Rules.</w:t>
      </w:r>
      <w:r>
        <w:rPr>
          <w:rFonts w:ascii="arial" w:eastAsia="arial" w:hAnsi="arial" w:cs="arial"/>
          <w:color w:val="000000"/>
          <w:sz w:val="20"/>
          <w:lang w:val="en-US" w:eastAsia="en-US" w:bidi="ar-SA"/>
        </w:rPr>
        <w:t xml:space="preserve"> The Defendant reserves the right to bring this Offer to the attention of the Court for consideration in relations [sic] to costs after the Court has renders judgment on all other issues in the proceeding. The Defendant further reserves the right to bring all previous offers delivered by the Defendant, whether under Rule 37, Rule 37A, Rule 37B, or otherwise, to the attention of the Court for consideration in relation to costs after the Court has rendered judgment on all other issues in the proceeding.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Defendant, Flora Anderson, offers to pay the Plaintiff the amount of TWELVE THOUSAND FIVE HUNDRED DOLLARS ($12,500.00), inclusive ("the amount offered"). The amount offered includes Court Order interest assessed to the date of the delivery of this Offer.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note that the Residential Policy Guidelines, a copy of which we attach for your reference, provide:</w:t>
      </w:r>
    </w:p>
    <w:p>
      <w:pPr>
        <w:numPr>
          <w:numId w:val="8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Generally the tenant who lives in a single-family dwelling is responsible for routine yard maintenance, which includes cutting grass, and clearing snow. The tenant is responsible for a reasonable amount of weeding the flower beds if the tenancy agreement requires a tenant to maintain the flower beds.</w:t>
      </w:r>
    </w:p>
    <w:p>
      <w:pPr>
        <w:numPr>
          <w:numId w:val="8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Generally the tenant living in a townhouse or multi-family dwelling who has exclusive use of the yard is responsible for routine yard maintenance, which includes cutting grass, clearing snow.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circumstances, given that the Plaintiff, by her own admission, had with her unit, exclusive use of the staircase leading to the front of the home, it was at all material times the Plaintiff's responsibility to clear the area of ice and/or show [sic] and or keep the area properly maintained. Any failure rests, in these circumstances, solely with the Plaintiff.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advise that this Offer to Settle is open for acceptance at any time before 4:00 p.m. Pacific Time on February 5,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defendant submits that in view of the offer, the defendant is entitled to all costs and disbursements incurred from the date of receipt of the letter, or by the date set for a termination of the offer. The defendant further submits that all the disbursements incurred by the plaintiff prior to the offer to settle, those associated with an engineering report relating to the condition of the stairs, with the plaintiff's cost of future care and relating to her future loss of earning capacity, should be borne by the plaintiff, as they were not incurred in relation to an evidentiary foundation that found success in the final outcome.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 for her part submits that in all the circumstances and in light of the provisions of Rule 37B(6) (now Rule 9-1(6)) the court ought to award the plaintiff her costs. The plaintiff takes the position that the offer made by the defendant was not one that ought reasonably to have been accepted, given its short duration for consideration before trial, the relatively small disparity between what was offered and what was ordered, and the relative financial circumstances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support of her submissions, the plaintiff tendered an affidavit as to her financial state. It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SHANNON HUNTER, of Port Coquitlam, British Columbia, SWEAR (OR AFFIRM) THAT:</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 am the Plaintiff herein. I am a single parent raising two teenage boys.</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My annual income is just enough to cover the costs of living in the rental premises we occupy in Port Coquitlam.</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 am advised by my lawyer that I owe him in excess of $34,000.00 as a result of the trial including disbursements. That obligation effectively leaves me insolvent and I am considering bankruptcy.</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effect of awarding costs of the trial to the Defendant will be to eliminate any payment to me pursuant to the judgment of this Court and will leave me substantially in debt.</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offer to settle made January 20, 2010, some six years after the date of loss does not exceed the judgment sum considering that it includes costs and disbursements.</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offer made March 9, 2010, and delivered by fax to my lawyer at 3:59 p.m. was not communicated to me until the following day when my lawyer became aware of the faxed offer. That left approximately two and a half days to consider that offer since it expired at 4:00 p.m. on March 12, 2010, before the start of trial.</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limited amount of time to consider the offer was at the time that preparations were underway anticipating the start of trial on Monday, March 15, 2010. The amount of time available to consider such an offer was unreasonably short.</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admits that the defence was funded by an insurance contract and during the trial, two counsel devoted themselves to their defence.</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trial preparation was hindered by the Defendant's late delivery of the List of Documents. On March 9, 2010, the Defendant delivered the Third Supplementary List of Documents at 3:40 in the afternoon and at 3:40 in the afternoon on March 10, 2010, at the same time, the Defendant delivered an amended Fourth Supplementary List of Documents. On March 10, 2010, my lawyer was still asking for answers to questions outstanding from examination for discovery of the Defendant held February 12, 2008.</w:t>
      </w:r>
    </w:p>
    <w:p>
      <w:pPr>
        <w:numPr>
          <w:numId w:val="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As late as March 11, 2010, my lawyer was obliged to respond to the request of solicitor for the Defendant for documents.</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swear this affidavit in support of an Order granting costs to me consistent with the Reasons for Judgment notwithstanding the very late offer made by the Defendant.</w:t>
      </w:r>
    </w:p>
    <w:p>
      <w:pPr>
        <w:numPr>
          <w:numId w:val="5"/>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 also swear this affidavit in support of the Court exercising its discretion in favour of granting costs of these proceedings in their entirety to me from a punitive costs order in favour of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Rule 9-1, so far as relevant to the case at bar,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6"/>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may consider an offer to settle when exercising the court's discretion in relation to costs.</w:t>
      </w:r>
    </w:p>
    <w:p>
      <w:pPr>
        <w:numPr>
          <w:numId w:val="6"/>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a proceeding in which an offer to settle has been made, the court may do one or more of the following:</w:t>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deprive a party of any or all of the costs, including any or all of the disbursements, to which the party would otherwise be entitled in respect of all or some of the steps taken in the proceeding after the date of delivery or service of the offer to settle;</w:t>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award double costs of all or some of the steps taken in the proceeding after the date of delivery or service of the offer to settle;</w:t>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award to a party, in respect of all or some of the steps taken in the proceeding after the date of delivery or service of the offer to settle, costs to which the party would have been entitled had the offer not been made;</w:t>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offer was made by a defendant and the judgment awarded to the plaintiff was no greater than the amount of the offer to settle, award to the defendant the defendant's costs in respect of all or some of the steps taken in the proceeding after the date of delivery or service of the offer to settle.</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making an order under subrule (5), the court may consider the following:</w:t>
      </w:r>
    </w:p>
    <w:p>
      <w:pPr>
        <w:numPr>
          <w:numId w:val="9"/>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offer to settle was one that ought reasonably to have been accepted, either on the date that the offer to settle was delivered or served or on any later date;</w:t>
      </w:r>
    </w:p>
    <w:p>
      <w:pPr>
        <w:numPr>
          <w:numId w:val="9"/>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relationship between the terms of settlement offered and the final judgment of the court;</w:t>
      </w:r>
    </w:p>
    <w:p>
      <w:pPr>
        <w:numPr>
          <w:numId w:val="9"/>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relative financial circumstances of the parties;</w:t>
      </w:r>
    </w:p>
    <w:p>
      <w:pPr>
        <w:numPr>
          <w:numId w:val="9"/>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any other factor the court considers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In dealing with the first issue under Rule 9-1(6), whether the offer was one that might reasonably have been accepted "the analysis is not one of hindsight, once the final result is known". See </w:t>
      </w:r>
      <w:r>
        <w:rPr>
          <w:rFonts w:ascii="arial" w:eastAsia="arial" w:hAnsi="arial" w:cs="arial"/>
          <w:i/>
          <w:color w:val="000000"/>
          <w:sz w:val="20"/>
          <w:lang w:val="en-US" w:eastAsia="en-US" w:bidi="ar-SA"/>
        </w:rPr>
        <w:t>A.E. v. D.W.J.</w:t>
      </w:r>
      <w:r>
        <w:rPr>
          <w:rFonts w:ascii="arial" w:eastAsia="arial" w:hAnsi="arial" w:cs="arial"/>
          <w:color w:val="000000"/>
          <w:sz w:val="20"/>
          <w:lang w:val="en-US" w:eastAsia="en-US" w:bidi="ar-SA"/>
        </w:rPr>
        <w:t xml:space="preserve"> </w:t>
      </w:r>
      <w:hyperlink r:id="rId276" w:history="1">
        <w:r>
          <w:rPr>
            <w:rFonts w:ascii="arial" w:eastAsia="arial" w:hAnsi="arial" w:cs="arial"/>
            <w:i/>
            <w:color w:val="0077CC"/>
            <w:sz w:val="20"/>
            <w:u w:val="single"/>
            <w:shd w:val="clear" w:color="auto" w:fill="FFFFFF"/>
            <w:lang w:val="en-US" w:eastAsia="en-US" w:bidi="ar-SA"/>
          </w:rPr>
          <w:t>2009 BCSC 505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Bailey v. Jang,</w:t>
      </w:r>
      <w:r>
        <w:rPr>
          <w:rFonts w:ascii="arial" w:eastAsia="arial" w:hAnsi="arial" w:cs="arial"/>
          <w:color w:val="000000"/>
          <w:sz w:val="20"/>
          <w:lang w:val="en-US" w:eastAsia="en-US" w:bidi="ar-SA"/>
        </w:rPr>
        <w:t xml:space="preserve"> </w:t>
      </w:r>
      <w:hyperlink r:id="rId277" w:history="1">
        <w:r>
          <w:rPr>
            <w:rFonts w:ascii="arial" w:eastAsia="arial" w:hAnsi="arial" w:cs="arial"/>
            <w:i/>
            <w:color w:val="0077CC"/>
            <w:sz w:val="20"/>
            <w:u w:val="single"/>
            <w:shd w:val="clear" w:color="auto" w:fill="FFFFFF"/>
            <w:lang w:val="en-US" w:eastAsia="en-US" w:bidi="ar-SA"/>
          </w:rPr>
          <w:t>2008 BCSC 1372</w:t>
        </w:r>
      </w:hyperlink>
      <w:r>
        <w:rPr>
          <w:rFonts w:ascii="arial" w:eastAsia="arial" w:hAnsi="arial" w:cs="arial"/>
          <w:color w:val="000000"/>
          <w:sz w:val="20"/>
          <w:lang w:val="en-US" w:eastAsia="en-US" w:bidi="ar-SA"/>
        </w:rPr>
        <w:t>. In the present case, the operative offer of the defendant was made relatively late in the day and was essentially premised on the defendant having no potential liability, but simply to offset the costs of a potential trial. From the plaintiff's perspective, she had some medical and other expert evidence as to the nature and extent of her injuries and several potential theories as to causation. At the same time, there were clearly live issues as to the plaintiff's credibility and/or reliability and a live issue as to the defendant's liability for any injury that may have been caused.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my view, on balance, in the circumstances, despite the ultimate result, given the short duration of the offer, the fact that it was not based on an assessment of the liability of the defendant, it could not be characterized as one which ought reasonably to have been accepted. I note that on March 9, 2010, when the offer was made, the defendant had not yet provided her fourth and final list of documents which was provided on March 10th. As well, there was ongoing disclosure of the plaintiff's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In addition I note that in </w:t>
      </w:r>
      <w:r>
        <w:rPr>
          <w:rFonts w:ascii="arial" w:eastAsia="arial" w:hAnsi="arial" w:cs="arial"/>
          <w:i/>
          <w:color w:val="000000"/>
          <w:sz w:val="20"/>
          <w:lang w:val="en-US" w:eastAsia="en-US" w:bidi="ar-SA"/>
        </w:rPr>
        <w:t>Bailey v. Jang</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Hinkson J. (as he then was) considered a seven day period "a reasonable time after which the plaintiff could consider (the defendant's) offer" for purposes of awarding double costs under the old Rule 37B(6) after the expiry of that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As to the relationship between the settlement offered and the final judgment of the court, while there is a clear difference between the amount offered and that awarded, it is not of an order of magnitude that weighs too heavily in favour of the defendants. As to the relative financial circumstances of the parties, I have evidence of the financial circumstances of the plaintiff on this application, and her contention that because the defendant was insured, should favour the plaintiff's position. I have no evidence on this application of what the defendant's present financial circumstances are, although at trial I had evidence that she was on disability payments and suffering from significant health complaints. The issue of whether the presence of an insurer is a factor for consideration is a live issue. In </w:t>
      </w:r>
      <w:r>
        <w:rPr>
          <w:rFonts w:ascii="arial" w:eastAsia="arial" w:hAnsi="arial" w:cs="arial"/>
          <w:i/>
          <w:color w:val="000000"/>
          <w:sz w:val="20"/>
          <w:lang w:val="en-US" w:eastAsia="en-US" w:bidi="ar-SA"/>
        </w:rPr>
        <w:t>Bailey v. Jang, supra,</w:t>
      </w:r>
      <w:r>
        <w:rPr>
          <w:rFonts w:ascii="arial" w:eastAsia="arial" w:hAnsi="arial" w:cs="arial"/>
          <w:color w:val="000000"/>
          <w:sz w:val="20"/>
          <w:lang w:val="en-US" w:eastAsia="en-US" w:bidi="ar-SA"/>
        </w:rPr>
        <w:t xml:space="preserve"> Hinkson J. (as he then was) held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wording of sub-rule 37B does not invite consideration of a defendant's insurance coverage. There may be good policy reasons for this. Insurance coverage limits with ICBC are not unusual and will vary from insured to insured. Certain activities may result in a breach of an individual's insurance coverage or the defence of an action under a reservation of rights by ICBC. The plaintiff will not and likely should not be privy to such matters of insurance coverage between a defendant and ICBC. The contest in this case was between the plaintiff and the defendants and the insurance benefits available to the defendants do not, in my view, fall within the rubric of their financial circumstances any more than the collateral benefit entitlement that a plaintiff may have would affect that person's financial circumstances for the purposes of determining their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Smith v. Tedford,</w:t>
      </w:r>
      <w:r>
        <w:rPr>
          <w:rFonts w:ascii="arial" w:eastAsia="arial" w:hAnsi="arial" w:cs="arial"/>
          <w:color w:val="000000"/>
          <w:sz w:val="20"/>
          <w:lang w:val="en-US" w:eastAsia="en-US" w:bidi="ar-SA"/>
        </w:rPr>
        <w:t xml:space="preserve"> </w:t>
      </w:r>
      <w:hyperlink r:id="rId278" w:history="1">
        <w:r>
          <w:rPr>
            <w:rFonts w:ascii="arial" w:eastAsia="arial" w:hAnsi="arial" w:cs="arial"/>
            <w:i/>
            <w:color w:val="0077CC"/>
            <w:sz w:val="20"/>
            <w:u w:val="single"/>
            <w:shd w:val="clear" w:color="auto" w:fill="FFFFFF"/>
            <w:lang w:val="en-US" w:eastAsia="en-US" w:bidi="ar-SA"/>
          </w:rPr>
          <w:t>2009 BCSC 905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Radke v. Parry</w:t>
      </w:r>
      <w:r>
        <w:rPr>
          <w:rFonts w:ascii="arial" w:eastAsia="arial" w:hAnsi="arial" w:cs="arial"/>
          <w:color w:val="000000"/>
          <w:sz w:val="20"/>
          <w:lang w:val="en-US" w:eastAsia="en-US" w:bidi="ar-SA"/>
        </w:rPr>
        <w:t xml:space="preserve">, </w:t>
      </w:r>
      <w:hyperlink r:id="rId279" w:history="1">
        <w:r>
          <w:rPr>
            <w:rFonts w:ascii="arial" w:eastAsia="arial" w:hAnsi="arial" w:cs="arial"/>
            <w:i/>
            <w:color w:val="0077CC"/>
            <w:sz w:val="20"/>
            <w:u w:val="single"/>
            <w:shd w:val="clear" w:color="auto" w:fill="FFFFFF"/>
            <w:lang w:val="en-US" w:eastAsia="en-US" w:bidi="ar-SA"/>
          </w:rPr>
          <w:t>2008 BCSC 1397</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Jayetileke v. Blake,</w:t>
      </w:r>
      <w:r>
        <w:rPr>
          <w:rFonts w:ascii="arial" w:eastAsia="arial" w:hAnsi="arial" w:cs="arial"/>
          <w:color w:val="000000"/>
          <w:sz w:val="20"/>
          <w:lang w:val="en-US" w:eastAsia="en-US" w:bidi="ar-SA"/>
        </w:rPr>
        <w:t xml:space="preserve"> </w:t>
      </w:r>
      <w:hyperlink r:id="rId280" w:history="1">
        <w:r>
          <w:rPr>
            <w:rFonts w:ascii="arial" w:eastAsia="arial" w:hAnsi="arial" w:cs="arial"/>
            <w:i/>
            <w:color w:val="0077CC"/>
            <w:sz w:val="20"/>
            <w:u w:val="single"/>
            <w:shd w:val="clear" w:color="auto" w:fill="FFFFFF"/>
            <w:lang w:val="en-US" w:eastAsia="en-US" w:bidi="ar-SA"/>
          </w:rPr>
          <w:t>2010 BCSC 1478</w:t>
        </w:r>
      </w:hyperlink>
      <w:r>
        <w:rPr>
          <w:rFonts w:ascii="arial" w:eastAsia="arial" w:hAnsi="arial" w:cs="arial"/>
          <w:color w:val="000000"/>
          <w:sz w:val="20"/>
          <w:lang w:val="en-US" w:eastAsia="en-US" w:bidi="ar-SA"/>
        </w:rPr>
        <w:t>, the court considered the defendant's insurance coverage in dealing with the issue of the parties' relative financial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Tedford,</w:t>
      </w:r>
      <w:r>
        <w:rPr>
          <w:rFonts w:ascii="arial" w:eastAsia="arial" w:hAnsi="arial" w:cs="arial"/>
          <w:color w:val="000000"/>
          <w:sz w:val="20"/>
          <w:lang w:val="en-US" w:eastAsia="en-US" w:bidi="ar-SA"/>
        </w:rPr>
        <w:t xml:space="preserve"> the plaintiff made an offer to settle for $200,000 on January 23, 2009. He was accepted on February 9th, six and one-half days into trial. Grist J. considered what the appropriate award of costs was under 37B in light of the acceptance of the plaintiff's offer six and one-half days into trial. In making his assessment, Grist J. held as follows:</w:t>
      </w:r>
      <w:r>
        <w:rPr>
          <w:rFonts w:ascii="arial" w:eastAsia="arial" w:hAnsi="arial" w:cs="arial"/>
          <w:sz w:val="20"/>
          <w:lang w:val="en-US" w:eastAsia="en-US" w:bidi="ar-SA"/>
        </w:rPr>
        <w:cr/>
      </w:r>
    </w:p>
    <w:p>
      <w:pPr>
        <w:numPr>
          <w:numId w:val="10"/>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Timeliness bears on this case because, in my view, there was sufficient time prior to trial to consider the offer eventually accepted. The practice of proceeding to trial to test the plaintiff's case, while here not expressly invalidating the outstanding offer, is generally not to be encouraged. This is particularly so in a case such as this one which was structured as a civil jury quantum assessment by the defendants' issuance of a jury notice.</w:t>
      </w:r>
    </w:p>
    <w:p>
      <w:pPr>
        <w:numPr>
          <w:numId w:val="11"/>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Civil juries are not constrained by authority in assessing damages. Rather, we rely on jurors' common sense and good judgment in setting quantum. Further, their assessments are given considerable deference on appeal. The alternate trial system has its stronger points but I do not believe it can be denied that a jury trial raises the prospect of a wider range of outcomes. Further, actions before a jury involve substantial jury fees and take longer to try.</w:t>
      </w:r>
    </w:p>
    <w:p>
      <w:pPr>
        <w:numPr>
          <w:numId w:val="12"/>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These features are more easily accommodated by a litigant such as ICBC, which manages a large volume of actions. A plaintiff may well only have one case during his or her lifetime and will not be able to set off the swings and roundabouts of contentious litigation.</w:t>
      </w:r>
    </w:p>
    <w:p>
      <w:pPr>
        <w:numPr>
          <w:numId w:val="13"/>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Here, I think the consideration stipulated in Rule 37B(6)(c), "the relative financial circumstances of the parties," also has a bearing. The plaintiff has very limited financial resources and the personal defendant had the advantage of a defence conducted by her automobile insurer. This fact should not constantly put the defence at a disadvantage on costs but, in my view, it is particularly relevant when a late acceptance of an outstanding offer has required the plaintiff to submit to a less certain and potentially prohibitively costly mode of trial.</w:t>
      </w:r>
    </w:p>
    <w:p>
      <w:pPr>
        <w:numPr>
          <w:numId w:val="14"/>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Counsel for the defence argues that insurer's conduct of the case is not a relevant feature and cites </w:t>
      </w:r>
      <w:r>
        <w:rPr>
          <w:rFonts w:ascii="arial" w:eastAsia="arial" w:hAnsi="arial" w:cs="arial"/>
          <w:i/>
          <w:color w:val="000000"/>
          <w:sz w:val="20"/>
          <w:lang w:val="en-US" w:eastAsia="en-US" w:bidi="ar-SA"/>
        </w:rPr>
        <w:t>Bailey v. Jang,</w:t>
      </w:r>
      <w:r>
        <w:rPr>
          <w:rFonts w:ascii="arial" w:eastAsia="arial" w:hAnsi="arial" w:cs="arial"/>
          <w:color w:val="000000"/>
          <w:sz w:val="20"/>
          <w:lang w:val="en-US" w:eastAsia="en-US" w:bidi="ar-SA"/>
        </w:rPr>
        <w:t xml:space="preserve"> </w:t>
      </w:r>
      <w:hyperlink r:id="rId277" w:history="1">
        <w:r>
          <w:rPr>
            <w:rFonts w:ascii="arial" w:eastAsia="arial" w:hAnsi="arial" w:cs="arial"/>
            <w:i/>
            <w:color w:val="0077CC"/>
            <w:sz w:val="20"/>
            <w:u w:val="single"/>
            <w:shd w:val="clear" w:color="auto" w:fill="FFFFFF"/>
            <w:lang w:val="en-US" w:eastAsia="en-US" w:bidi="ar-SA"/>
          </w:rPr>
          <w:t>[2008] B.C.J. No. 1952</w:t>
        </w:r>
      </w:hyperlink>
      <w:r>
        <w:rPr>
          <w:rFonts w:ascii="arial" w:eastAsia="arial" w:hAnsi="arial" w:cs="arial"/>
          <w:color w:val="000000"/>
          <w:sz w:val="20"/>
          <w:lang w:val="en-US" w:eastAsia="en-US" w:bidi="ar-SA"/>
        </w:rPr>
        <w:t xml:space="preserve">, in this regard. In </w:t>
      </w:r>
      <w:r>
        <w:rPr>
          <w:rFonts w:ascii="arial" w:eastAsia="arial" w:hAnsi="arial" w:cs="arial"/>
          <w:i/>
          <w:color w:val="000000"/>
          <w:sz w:val="20"/>
          <w:lang w:val="en-US" w:eastAsia="en-US" w:bidi="ar-SA"/>
        </w:rPr>
        <w:t>Bailey</w:t>
      </w:r>
      <w:r>
        <w:rPr>
          <w:rFonts w:ascii="arial" w:eastAsia="arial" w:hAnsi="arial" w:cs="arial"/>
          <w:color w:val="000000"/>
          <w:sz w:val="20"/>
          <w:lang w:val="en-US" w:eastAsia="en-US" w:bidi="ar-SA"/>
        </w:rPr>
        <w:t xml:space="preserve"> the court held that the fact a defendant's case was conducted by the defendant's insurer was irrelevant to the Rule 37B(6)(c) consideration of relative financial circumstances. Almost contemporaneous to this decision, however, the issue was independently considered in </w:t>
      </w:r>
      <w:r>
        <w:rPr>
          <w:rFonts w:ascii="arial" w:eastAsia="arial" w:hAnsi="arial" w:cs="arial"/>
          <w:i/>
          <w:color w:val="000000"/>
          <w:sz w:val="20"/>
          <w:lang w:val="en-US" w:eastAsia="en-US" w:bidi="ar-SA"/>
        </w:rPr>
        <w:t>Radke v. Parry,</w:t>
      </w:r>
      <w:r>
        <w:rPr>
          <w:rFonts w:ascii="arial" w:eastAsia="arial" w:hAnsi="arial" w:cs="arial"/>
          <w:color w:val="000000"/>
          <w:sz w:val="20"/>
          <w:lang w:val="en-US" w:eastAsia="en-US" w:bidi="ar-SA"/>
        </w:rPr>
        <w:t xml:space="preserve"> </w:t>
      </w:r>
      <w:hyperlink r:id="rId279" w:history="1">
        <w:r>
          <w:rPr>
            <w:rFonts w:ascii="arial" w:eastAsia="arial" w:hAnsi="arial" w:cs="arial"/>
            <w:i/>
            <w:color w:val="0077CC"/>
            <w:sz w:val="20"/>
            <w:u w:val="single"/>
            <w:shd w:val="clear" w:color="auto" w:fill="FFFFFF"/>
            <w:lang w:val="en-US" w:eastAsia="en-US" w:bidi="ar-SA"/>
          </w:rPr>
          <w:t>[2008] B.C.J. No. 1991</w:t>
        </w:r>
      </w:hyperlink>
      <w:r>
        <w:rPr>
          <w:rFonts w:ascii="arial" w:eastAsia="arial" w:hAnsi="arial" w:cs="arial"/>
          <w:color w:val="000000"/>
          <w:sz w:val="20"/>
          <w:lang w:val="en-US" w:eastAsia="en-US" w:bidi="ar-SA"/>
        </w:rPr>
        <w:t xml:space="preserve">. In the </w:t>
      </w:r>
      <w:r>
        <w:rPr>
          <w:rFonts w:ascii="arial" w:eastAsia="arial" w:hAnsi="arial" w:cs="arial"/>
          <w:i/>
          <w:color w:val="000000"/>
          <w:sz w:val="20"/>
          <w:lang w:val="en-US" w:eastAsia="en-US" w:bidi="ar-SA"/>
        </w:rPr>
        <w:t>Radke</w:t>
      </w:r>
      <w:r>
        <w:rPr>
          <w:rFonts w:ascii="arial" w:eastAsia="arial" w:hAnsi="arial" w:cs="arial"/>
          <w:color w:val="000000"/>
          <w:sz w:val="20"/>
          <w:lang w:val="en-US" w:eastAsia="en-US" w:bidi="ar-SA"/>
        </w:rPr>
        <w:t xml:space="preserve"> case, the court awarded the plaintiff double costs for a trial ultimately settled by the exchange of a further plaintiff's offer and the defendants' acceptance of the offer, in circumstances where the plaintiff had earlier made a much more modest initial offer. The relevant comment (at para. 42) was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The defendants, represented by ICBC, had substantially greater resources to finance a trial than the individual plaintiff. Had the defendants accepted the plaintiff's initial reasonable offer, the plaintiff would not have had to incur the significant costs associated with nearly two weeks of trial.</w:t>
      </w:r>
    </w:p>
    <w:p>
      <w:pPr>
        <w:numPr>
          <w:numId w:val="1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choose to follow </w:t>
      </w:r>
      <w:r>
        <w:rPr>
          <w:rFonts w:ascii="arial" w:eastAsia="arial" w:hAnsi="arial" w:cs="arial"/>
          <w:i/>
          <w:color w:val="000000"/>
          <w:sz w:val="20"/>
          <w:lang w:val="en-US" w:eastAsia="en-US" w:bidi="ar-SA"/>
        </w:rPr>
        <w:t>Radke</w:t>
      </w:r>
      <w:r>
        <w:rPr>
          <w:rFonts w:ascii="arial" w:eastAsia="arial" w:hAnsi="arial" w:cs="arial"/>
          <w:color w:val="000000"/>
          <w:sz w:val="20"/>
          <w:lang w:val="en-US" w:eastAsia="en-US" w:bidi="ar-SA"/>
        </w:rPr>
        <w:t xml:space="preserve"> in this regard. The ability to have a case advanced by experienced and well funded counsel is, to my mind, a resource that should be taken into account in exercising the judicial discretion stipulated under the new Rule. As an example of how the obvious intent of the Rule can be perverted if the consideration is made independent of insurance coverage, here counsel for the defendant produced an affidavit speaking of her modest circumstances. She, like the plaintiff, is a young person employed at near minimum wage. This was particularly hard to accept as a relevant consideration after the 6-day course of this abbreviated trial, during which the Insurance Corporation twice had separate counsel appear to argue issues that might easily have been dealt with by the two trial counsel appearing on the defendants' behalf.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the result, Justice Grist awarded the plaintiff costs assessed as double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In the present case, the circumstances are significantly different than in </w:t>
      </w:r>
      <w:r>
        <w:rPr>
          <w:rFonts w:ascii="arial" w:eastAsia="arial" w:hAnsi="arial" w:cs="arial"/>
          <w:i/>
          <w:color w:val="000000"/>
          <w:sz w:val="20"/>
          <w:lang w:val="en-US" w:eastAsia="en-US" w:bidi="ar-SA"/>
        </w:rPr>
        <w:t>Smith v. Tedford</w:t>
      </w:r>
      <w:r>
        <w:rPr>
          <w:rFonts w:ascii="arial" w:eastAsia="arial" w:hAnsi="arial" w:cs="arial"/>
          <w:color w:val="000000"/>
          <w:sz w:val="20"/>
          <w:lang w:val="en-US" w:eastAsia="en-US" w:bidi="ar-SA"/>
        </w:rPr>
        <w:t xml:space="preserve"> or </w:t>
      </w:r>
      <w:r>
        <w:rPr>
          <w:rFonts w:ascii="arial" w:eastAsia="arial" w:hAnsi="arial" w:cs="arial"/>
          <w:i/>
          <w:color w:val="000000"/>
          <w:sz w:val="20"/>
          <w:lang w:val="en-US" w:eastAsia="en-US" w:bidi="ar-SA"/>
        </w:rPr>
        <w:t>Radke v. Parry, supra.</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Jayetileke v. Blake, supra,</w:t>
      </w:r>
      <w:r>
        <w:rPr>
          <w:rFonts w:ascii="arial" w:eastAsia="arial" w:hAnsi="arial" w:cs="arial"/>
          <w:color w:val="000000"/>
          <w:sz w:val="20"/>
          <w:lang w:val="en-US" w:eastAsia="en-US" w:bidi="ar-SA"/>
        </w:rPr>
        <w:t xml:space="preserve"> the court took into account "the enormous resources of the ICBC defence" in the context of awarding costs under 9-1 in circumstances where the defendant's "offer to settle was better than the trial result". In that case, the court did not consider the other authorities on the subject or provide an analysis for considering the defendant's insurance coverage.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In the circumstances, I do not consider the factor of the relative financial circumstances of the parties to favour either side particularly. This is not a case where the fact that the defendant had insurance coverage led to unnecessary or protracted proceedings. The plaintiff's offer to settle was significantly in excess of the trial result, and in the circumstances it was reasonable for the defendant to not accept it. As I read </w:t>
      </w:r>
      <w:r>
        <w:rPr>
          <w:rFonts w:ascii="arial" w:eastAsia="arial" w:hAnsi="arial" w:cs="arial"/>
          <w:i/>
          <w:color w:val="000000"/>
          <w:sz w:val="20"/>
          <w:lang w:val="en-US" w:eastAsia="en-US" w:bidi="ar-SA"/>
        </w:rPr>
        <w:t>Radke</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Smith,</w:t>
      </w:r>
      <w:r>
        <w:rPr>
          <w:rFonts w:ascii="arial" w:eastAsia="arial" w:hAnsi="arial" w:cs="arial"/>
          <w:color w:val="000000"/>
          <w:sz w:val="20"/>
          <w:lang w:val="en-US" w:eastAsia="en-US" w:bidi="ar-SA"/>
        </w:rPr>
        <w:t xml:space="preserve"> it is in circumstances where a defendant's insurance coverage creates an unfair advantage leading to unnecessary costs through testing the plaintiff's case, where an insurer's financial circumstances supplant those of the litigant as a factor to consider in determining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It is clear that the cost provisions are intended to encourage settlement by penalizing the party that declines an offer to settle, which was better than the trial result: </w:t>
      </w:r>
      <w:r>
        <w:rPr>
          <w:rFonts w:ascii="arial" w:eastAsia="arial" w:hAnsi="arial" w:cs="arial"/>
          <w:i/>
          <w:color w:val="000000"/>
          <w:sz w:val="20"/>
          <w:lang w:val="en-US" w:eastAsia="en-US" w:bidi="ar-SA"/>
        </w:rPr>
        <w:t>Bailey v. Jang, supra,</w:t>
      </w:r>
      <w:r>
        <w:rPr>
          <w:rFonts w:ascii="arial" w:eastAsia="arial" w:hAnsi="arial" w:cs="arial"/>
          <w:color w:val="000000"/>
          <w:sz w:val="20"/>
          <w:lang w:val="en-US" w:eastAsia="en-US" w:bidi="ar-SA"/>
        </w:rPr>
        <w:t xml:space="preserve"> para. 15 - 17; </w:t>
      </w:r>
      <w:r>
        <w:rPr>
          <w:rFonts w:ascii="arial" w:eastAsia="arial" w:hAnsi="arial" w:cs="arial"/>
          <w:i/>
          <w:color w:val="000000"/>
          <w:sz w:val="20"/>
          <w:lang w:val="en-US" w:eastAsia="en-US" w:bidi="ar-SA"/>
        </w:rPr>
        <w:t>Jayetileke v. Blake, supra,</w:t>
      </w:r>
      <w:r>
        <w:rPr>
          <w:rFonts w:ascii="arial" w:eastAsia="arial" w:hAnsi="arial" w:cs="arial"/>
          <w:color w:val="000000"/>
          <w:sz w:val="20"/>
          <w:lang w:val="en-US" w:eastAsia="en-US" w:bidi="ar-SA"/>
        </w:rPr>
        <w:t xml:space="preserve"> para. 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In the circumstances of this case, I am satisfied that it is appropriate to award the plaintiff her costs and disbursements up to and including the first two days of trial and the defendant her costs and disbursements for the last six days of trial. While it is so that some of the plaintiff's disbursements were incurred in relation to evidence that did not contribute to her success, to deprive her of those disbursements in the circumstances would rest on hindsight. Incurring the expenses would not objectively be unreasonable in all the circumstances. Although the defendant tendered her offer on March 9th, six days before trial, it was in the context of ongoing disclosure and was left open, effectively, for only three days. The plaintiff did not have the benefit of a great deal of time to assess the defendant's offer. In the context of </w:t>
      </w:r>
      <w:r>
        <w:rPr>
          <w:rFonts w:ascii="arial" w:eastAsia="arial" w:hAnsi="arial" w:cs="arial"/>
          <w:i/>
          <w:color w:val="000000"/>
          <w:sz w:val="20"/>
          <w:lang w:val="en-US" w:eastAsia="en-US" w:bidi="ar-SA"/>
        </w:rPr>
        <w:t>Bailey v. Jang,</w:t>
      </w:r>
      <w:r>
        <w:rPr>
          <w:rFonts w:ascii="arial" w:eastAsia="arial" w:hAnsi="arial" w:cs="arial"/>
          <w:color w:val="000000"/>
          <w:sz w:val="20"/>
          <w:lang w:val="en-US" w:eastAsia="en-US" w:bidi="ar-SA"/>
        </w:rPr>
        <w:t xml:space="preserve"> Hinkson J. considered a seven day period "a reasonable period of time after which the plaintiff could consider their offer". I conclude a similar period is appropriate to impute in the circumstances of this case where the plaintiff was deprived of the ability to accept the defendant's offer after only three days effectively commencing March 10th. In light of that factor and the others I have set forth, I award the plaintiff, as indicated, the costs and disbursements up to and including the first two days of trial, and the defendants their costs and disbursements for the six days comprising the balance of the trial. Each party will bear her own costs of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A.F. CULLEN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CORRECTION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Released: December 10,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 A.F. CULLEN J.:-- Please be advised that the attached Reasons for Judgment of Mr. Justice Cullen dated July 23, 2010 have been amended as follows:</w:t>
      </w:r>
      <w:r>
        <w:rPr>
          <w:rFonts w:ascii="arial" w:eastAsia="arial" w:hAnsi="arial" w:cs="arial"/>
          <w:sz w:val="20"/>
          <w:lang w:val="en-US" w:eastAsia="en-US" w:bidi="ar-SA"/>
        </w:rPr>
        <w:cr/>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cover page of the judgment was amended to delete V. Rossos as appearing on behalf of the Defendant on December 10,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A.F. CULLEN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97" style="position:absolute;z-index:25182617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81"/>
          <w:headerReference w:type="default" r:id="rId282"/>
          <w:footerReference w:type="even" r:id="rId283"/>
          <w:footerReference w:type="default" r:id="rId284"/>
          <w:headerReference w:type="first" r:id="rId285"/>
          <w:footerReference w:type="first" r:id="rId28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87" w:history="1">
        <w:r>
          <w:rPr>
            <w:rFonts w:ascii="arial" w:eastAsia="arial" w:hAnsi="arial" w:cs="arial"/>
            <w:b/>
            <w:bCs/>
            <w:i/>
            <w:color w:val="0077CC"/>
            <w:kern w:val="32"/>
            <w:sz w:val="28"/>
            <w:szCs w:val="32"/>
            <w:u w:val="single"/>
            <w:shd w:val="clear" w:color="auto" w:fill="FFFFFF"/>
            <w:lang w:val="en-US" w:eastAsia="en-US" w:bidi="ar-SA"/>
          </w:rPr>
          <w:t>Jamal v. Fung, [2019] B.C.J. No. 1329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Master B. Elwood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July 5,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17,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M170629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[2019] B.C.J. No. 1329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2019 BCSC 1168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Shahzaleen Salim Jamal, Plaintiff, and Chuen Sing Fung,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98" style="position:absolute;z-index:2516736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02" w:name="Keywords_14"/>
      <w:bookmarkEnd w:id="102"/>
      <w:r>
        <w:rPr>
          <w:rFonts w:ascii="arial" w:eastAsia="arial" w:hAnsi="arial" w:cs="arial"/>
          <w:b/>
          <w:color w:val="000000"/>
          <w:sz w:val="20"/>
          <w:lang w:val="en-US" w:eastAsia="en-US" w:bidi="ar-SA"/>
        </w:rPr>
        <w:t>Civil litigation — Civil procedure — Parties — Adding or substituting — After expiry of limitation period — Application by plaintiff to add four defendants in personal injury action allowed — Plaintiff sought damages for injuries sustained in two accidents in 2015 and 2016 — Trial was set to commence in September 2019 — Proposed defendants were drivers and owners of two vehicles in accident in 2017 — Plaintiff was passenger in one of vehicles — Plaintiff's claim against proposed defendants related to relief claimed against existing defendant — Third accident did not raise completely separate claim — Costs could address any unfair delay or extension of trial — Supreme Court Civil Rules, Rule 6-2(7)(c).</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Practice and procedure — Parties — Adding or striking out parties — Application by plaintiff to add four defendants in personal injury action allowed — Plaintiff sought damages for injuries sustained in two accidents in 2015 and 2016 — Trial was set to commence in September 2019 — Proposed defendants were drivers and owners of two vehicles in accident in 2017 — Plaintiff was passenger in one of vehicles — Plaintiff's claim against proposed defendants related to relief claimed against existing defendant — Third accident did not raise completely separate claim — Costs could address any unfair delay or extension of trial — Supreme Court Civil Rules, Rule 6-2(7)(c).</w:t>
      </w:r>
    </w:p>
    <w:p>
      <w:pPr>
        <w:jc w:val="both"/>
        <w:rPr>
          <w:rFonts w:ascii="arial" w:eastAsia="arial" w:hAnsi="arial" w:cs="arial"/>
          <w:sz w:val="20"/>
          <w:lang w:val="en-US" w:eastAsia="en-US" w:bidi="ar-SA"/>
        </w:rPr>
      </w:pPr>
      <w:bookmarkStart w:id="103" w:name="Legislation Cited_10"/>
      <w:bookmarkEnd w:id="10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99" style="position:absolute;z-index:2517248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Limitation Act, </w:t>
      </w:r>
      <w:hyperlink r:id="rId288" w:history="1">
        <w:r>
          <w:rPr>
            <w:rFonts w:ascii="arial" w:eastAsia="arial" w:hAnsi="arial" w:cs="arial"/>
            <w:i/>
            <w:color w:val="0077CC"/>
            <w:sz w:val="20"/>
            <w:u w:val="single"/>
            <w:shd w:val="clear" w:color="auto" w:fill="FFFFFF"/>
            <w:lang w:val="en-US" w:eastAsia="en-US" w:bidi="ar-SA"/>
          </w:rPr>
          <w:t>S.B.C. 2012, c. 13, s. 22</w:t>
        </w:r>
      </w:hyperlink>
      <w:r>
        <w:rPr>
          <w:rFonts w:ascii="arial" w:eastAsia="arial" w:hAnsi="arial" w:cs="arial"/>
          <w:color w:val="000000"/>
          <w:sz w:val="20"/>
          <w:lang w:val="en-US" w:eastAsia="en-US" w:bidi="ar-SA"/>
        </w:rPr>
        <w:t>, s. 22(1)(d)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r>
        <w:rPr>
          <w:rFonts w:ascii="arial" w:eastAsia="arial" w:hAnsi="arial" w:cs="arial"/>
          <w:i/>
          <w:color w:val="000000"/>
          <w:sz w:val="20"/>
          <w:lang w:val="en-US" w:eastAsia="en-US" w:bidi="ar-SA"/>
        </w:rPr>
        <w:t>R.S.B.C. 1996, c. 33</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Supreme Court Civil Rules, Rule 6-2(7)(c)</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04" w:name="Counsel_14"/>
      <w:bookmarkEnd w:id="10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00" style="position:absolute;z-index:2517760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V. Critchley.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C. Carey.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05" w:name="Judgment_14"/>
      <w:bookmarkEnd w:id="105"/>
      <w:r>
        <w:pict>
          <v:line id="_x0000_s1101" style="position:absolute;z-index:25182720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3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06" w:name="MASTER B. ELWOOD"/>
            <w:bookmarkEnd w:id="106"/>
            <w:r>
              <w:rPr>
                <w:rFonts w:ascii="arial" w:eastAsia="arial" w:hAnsi="arial" w:cs="arial"/>
                <w:b/>
                <w:color w:val="000000"/>
                <w:sz w:val="30"/>
                <w:lang w:val="en-US" w:eastAsia="en-US" w:bidi="ar-SA"/>
              </w:rPr>
              <w:t>MASTER B. ELWOOD</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applies to add four defendants to this motor vehicle action. The proposed defendants are the drivers and owners of two vehicles that were involved in a collision on February 19, 2017. The plaintiff was a passenger in one of those vehicles.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seeks to join these defendants so as to recover damages from them in the event the court finds they were to some degree at fault for her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served the proposed defendants with notice of this application. The proposed defendants did not deliver any responses to the notice of application; nor did they appear on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existing defendant opposes an order joining the proposed defendants. He argues that the addition of four new defendants, after the expiry of the limitation period for an action against those defendants, would be unfairly prejudicial because it will put him to additional expense, unduly complicate the existing proceedings and likely result in an adjournment of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was involved in three accidents:</w:t>
      </w:r>
      <w:r>
        <w:rPr>
          <w:rFonts w:ascii="arial" w:eastAsia="arial" w:hAnsi="arial" w:cs="arial"/>
          <w:sz w:val="20"/>
          <w:lang w:val="en-US" w:eastAsia="en-US" w:bidi="ar-SA"/>
        </w:rPr>
        <w:cr/>
      </w:r>
    </w:p>
    <w:p>
      <w:pPr>
        <w:numPr>
          <w:numId w:val="8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accident on February 27, 2015, following which the plaintiff commenced an action in the Vancouver Registry, No. M164560;</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 accident on September 7, 2016, following which the plaintiff commenced this action; and</w:t>
      </w:r>
    </w:p>
    <w:p>
      <w:pPr>
        <w:numPr>
          <w:numId w:val="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accident on February 19, 2017, involving the proposed defendants, following which the plaintiff did not commence any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the two actions she has commenced, the plaintiff alleges multiple personal injuries arising out of the first two accidents. Liability is admitted by the defendants in both actions. The same defence counsel represents all three named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By consent order, the two actions arising out of the first two accidents will be tried at the same time. The trial is set for seven days commencing September 23, 2019. Notices requiring trial by jury have been issued by the defence in both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On August 8, 2017, the defendant in this action filed a response to civil claim which included, in paragraph 4 of Part 1, Factual Basis, the following allegations: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Any alleged injury, loss, damage or expense was not caused by the said motor vehicle accident particularized in paragraph 4 of Part 1 of the Notice of Civil Claim, </w:t>
      </w:r>
      <w:r>
        <w:rPr>
          <w:rFonts w:ascii="arial" w:eastAsia="arial" w:hAnsi="arial" w:cs="arial"/>
          <w:color w:val="000000"/>
          <w:sz w:val="20"/>
          <w:u w:val="single"/>
          <w:lang w:val="en-US" w:eastAsia="en-US" w:bidi="ar-SA"/>
        </w:rPr>
        <w:t>but is attributable to previous and/or subsequent accidents</w:t>
      </w:r>
      <w:r>
        <w:rPr>
          <w:rFonts w:ascii="arial" w:eastAsia="arial" w:hAnsi="arial" w:cs="arial"/>
          <w:color w:val="000000"/>
          <w:sz w:val="20"/>
          <w:lang w:val="en-US" w:eastAsia="en-US" w:bidi="ar-SA"/>
        </w:rPr>
        <w:t>, injuries or conditions involving or affecting the Plaintiff or congenital defects and/or pre-existing injuries or conditions and the Defendant says further that the alleged collision did not aggravate any pre-existing injury or condition.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two year limitation period for a separate action by the plaintiff on the third accident expired on February 19, 2019.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 plaintiff proposes amendments to her notice of civil claim in this action to allege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drivers and owners of both vehicles in the third accident, and an allegation that the injuries she suffered in the second accident were aggravated by the third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JOINDER OF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 plaintiff relies on Rule 6-2(7)(c)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and s. 22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2012, c. 13</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Rule 6-2(7)(c) provides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Adding, removing or substituting parties by order</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any stage of a proceeding, the court, on application by any person, may, subject to subrules (9) and (10),</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numPr>
          <w:numId w:val="5"/>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order that a person be added as a party if there may exist, between the person and any party to the proceeding, a question or issue relating to or connected with</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relief claimed in the proceeding, or</w:t>
      </w:r>
    </w:p>
    <w:p>
      <w:pPr>
        <w:numPr>
          <w:numId w:val="7"/>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subject matter of the proceeding that, in the opinion of the court, it would be just and convenient to determine as between the person and that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There are two requirements that an applicant must meet to obtain an order joining a new defendant. These requirements were set out by the Court of Appeal in </w:t>
      </w:r>
      <w:r>
        <w:rPr>
          <w:rFonts w:ascii="arial" w:eastAsia="arial" w:hAnsi="arial" w:cs="arial"/>
          <w:i/>
          <w:color w:val="000000"/>
          <w:sz w:val="20"/>
          <w:lang w:val="en-US" w:eastAsia="en-US" w:bidi="ar-SA"/>
        </w:rPr>
        <w:t>The Owners, Strata Plan No. VIS3578 v. John A. Neilson Architects</w:t>
      </w:r>
      <w:r>
        <w:rPr>
          <w:rFonts w:ascii="arial" w:eastAsia="arial" w:hAnsi="arial" w:cs="arial"/>
          <w:color w:val="000000"/>
          <w:sz w:val="20"/>
          <w:lang w:val="en-US" w:eastAsia="en-US" w:bidi="ar-SA"/>
        </w:rPr>
        <w:t xml:space="preserve">, </w:t>
      </w:r>
      <w:hyperlink r:id="rId161" w:history="1">
        <w:r>
          <w:rPr>
            <w:rFonts w:ascii="arial" w:eastAsia="arial" w:hAnsi="arial" w:cs="arial"/>
            <w:i/>
            <w:color w:val="0077CC"/>
            <w:sz w:val="20"/>
            <w:u w:val="single"/>
            <w:shd w:val="clear" w:color="auto" w:fill="FFFFFF"/>
            <w:lang w:val="en-US" w:eastAsia="en-US" w:bidi="ar-SA"/>
          </w:rPr>
          <w:t>2010 BCCA 329</w:t>
        </w:r>
      </w:hyperlink>
      <w:r>
        <w:rPr>
          <w:rFonts w:ascii="arial" w:eastAsia="arial" w:hAnsi="arial" w:cs="arial"/>
          <w:color w:val="000000"/>
          <w:sz w:val="20"/>
          <w:lang w:val="en-US" w:eastAsia="en-US" w:bidi="ar-SA"/>
        </w:rPr>
        <w:t>, referring to the predecessor to Rule 6-2(7)(c), at paragraph 45 and 46: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[45] Subrule 15(5)(a)(iii) thus establishes two requirements that an applicant must prove to succeed in joining a new defendant. First, it must show that there is a question or issue between the plaintiff and the proposed defendant that relates to the relief, remedy, or subject matter of the proceeding. The threshold is low. It has been expressed as establishing simply that there is a real issue between them that is not frivolous, or that the plaintiff has a possible cause of action against the proposed party. This requirement may be met solely on the basis of proposed amendments to the statement of claim, or the parties may provide affidavit evidence addressing it. If evidence is provided, the court is not to weigh it and assess whether the plaintiff could prove the allegations. It is limited to examining the evidence only to the extent necessary to determine if the required issue between the parties exists: </w:t>
      </w:r>
      <w:r>
        <w:rPr>
          <w:rFonts w:ascii="arial" w:eastAsia="arial" w:hAnsi="arial" w:cs="arial"/>
          <w:i/>
          <w:color w:val="000000"/>
          <w:sz w:val="20"/>
          <w:lang w:val="en-US" w:eastAsia="en-US" w:bidi="ar-SA"/>
        </w:rPr>
        <w:t>Strata Plan LMS 1816 v. Acastina Investments Ltd.</w:t>
      </w:r>
      <w:r>
        <w:rPr>
          <w:rFonts w:ascii="arial" w:eastAsia="arial" w:hAnsi="arial" w:cs="arial"/>
          <w:color w:val="000000"/>
          <w:sz w:val="20"/>
          <w:lang w:val="en-US" w:eastAsia="en-US" w:bidi="ar-SA"/>
        </w:rPr>
        <w:t xml:space="preserve">, </w:t>
      </w:r>
      <w:hyperlink r:id="rId289" w:history="1">
        <w:r>
          <w:rPr>
            <w:rFonts w:ascii="arial" w:eastAsia="arial" w:hAnsi="arial" w:cs="arial"/>
            <w:i/>
            <w:color w:val="0077CC"/>
            <w:sz w:val="20"/>
            <w:u w:val="single"/>
            <w:shd w:val="clear" w:color="auto" w:fill="FFFFFF"/>
            <w:lang w:val="en-US" w:eastAsia="en-US" w:bidi="ar-SA"/>
          </w:rPr>
          <w:t>2004 BCCA 578</w:t>
        </w:r>
      </w:hyperlink>
      <w:r>
        <w:rPr>
          <w:rFonts w:ascii="arial" w:eastAsia="arial" w:hAnsi="arial" w:cs="arial"/>
          <w:color w:val="000000"/>
          <w:sz w:val="20"/>
          <w:lang w:val="en-US" w:eastAsia="en-US" w:bidi="ar-SA"/>
        </w:rPr>
        <w:t xml:space="preserve">, </w:t>
      </w:r>
      <w:hyperlink r:id="rId289" w:history="1">
        <w:r>
          <w:rPr>
            <w:rFonts w:ascii="arial" w:eastAsia="arial" w:hAnsi="arial" w:cs="arial"/>
            <w:i/>
            <w:color w:val="0077CC"/>
            <w:sz w:val="20"/>
            <w:u w:val="single"/>
            <w:shd w:val="clear" w:color="auto" w:fill="FFFFFF"/>
            <w:lang w:val="en-US" w:eastAsia="en-US" w:bidi="ar-SA"/>
          </w:rPr>
          <w:t>33 B.C.L.R. (4th) 69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MacMillan Bloedel Ltd. v. Binstead et al</w:t>
      </w:r>
      <w:r>
        <w:rPr>
          <w:rFonts w:ascii="arial" w:eastAsia="arial" w:hAnsi="arial" w:cs="arial"/>
          <w:color w:val="000000"/>
          <w:sz w:val="20"/>
          <w:lang w:val="en-US" w:eastAsia="en-US" w:bidi="ar-SA"/>
        </w:rPr>
        <w:t xml:space="preserve">. </w:t>
      </w:r>
      <w:hyperlink r:id="rId290" w:history="1">
        <w:r>
          <w:rPr>
            <w:rFonts w:ascii="arial" w:eastAsia="arial" w:hAnsi="arial" w:cs="arial"/>
            <w:i/>
            <w:color w:val="0077CC"/>
            <w:sz w:val="20"/>
            <w:u w:val="single"/>
            <w:shd w:val="clear" w:color="auto" w:fill="FFFFFF"/>
            <w:lang w:val="en-US" w:eastAsia="en-US" w:bidi="ar-SA"/>
          </w:rPr>
          <w:t>(1981), 58 B.C.L.R. 173</w:t>
        </w:r>
      </w:hyperlink>
      <w:r>
        <w:rPr>
          <w:rFonts w:ascii="arial" w:eastAsia="arial" w:hAnsi="arial" w:cs="arial"/>
          <w:color w:val="000000"/>
          <w:sz w:val="20"/>
          <w:lang w:val="en-US" w:eastAsia="en-US" w:bidi="ar-SA"/>
        </w:rPr>
        <w:t xml:space="preserve"> (C.A.).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[46] If this first requirement is met, the court must next determine whether it would be just and convenient to decide the issue between the parties in this proceeding. This is a discretionary decision, but that discretion is fettered to the extent that it must be exercised judicially, and in accord with the evidence adduced and the guidelines established in the authorities: </w:t>
      </w:r>
      <w:r>
        <w:rPr>
          <w:rFonts w:ascii="arial" w:eastAsia="arial" w:hAnsi="arial" w:cs="arial"/>
          <w:i/>
          <w:color w:val="000000"/>
          <w:sz w:val="20"/>
          <w:lang w:val="en-US" w:eastAsia="en-US" w:bidi="ar-SA"/>
        </w:rPr>
        <w:t>Letvad v. Fenwick</w:t>
      </w:r>
      <w:r>
        <w:rPr>
          <w:rFonts w:ascii="arial" w:eastAsia="arial" w:hAnsi="arial" w:cs="arial"/>
          <w:color w:val="000000"/>
          <w:sz w:val="20"/>
          <w:lang w:val="en-US" w:eastAsia="en-US" w:bidi="ar-SA"/>
        </w:rPr>
        <w:t xml:space="preserve">, </w:t>
      </w:r>
      <w:hyperlink r:id="rId291" w:history="1">
        <w:r>
          <w:rPr>
            <w:rFonts w:ascii="arial" w:eastAsia="arial" w:hAnsi="arial" w:cs="arial"/>
            <w:i/>
            <w:color w:val="0077CC"/>
            <w:sz w:val="20"/>
            <w:u w:val="single"/>
            <w:shd w:val="clear" w:color="auto" w:fill="FFFFFF"/>
            <w:lang w:val="en-US" w:eastAsia="en-US" w:bidi="ar-SA"/>
          </w:rPr>
          <w:t>2000 BCCA 630</w:t>
        </w:r>
      </w:hyperlink>
      <w:r>
        <w:rPr>
          <w:rFonts w:ascii="arial" w:eastAsia="arial" w:hAnsi="arial" w:cs="arial"/>
          <w:color w:val="000000"/>
          <w:sz w:val="20"/>
          <w:lang w:val="en-US" w:eastAsia="en-US" w:bidi="ar-SA"/>
        </w:rPr>
        <w:t xml:space="preserve">, </w:t>
      </w:r>
      <w:hyperlink r:id="rId291" w:history="1">
        <w:r>
          <w:rPr>
            <w:rFonts w:ascii="arial" w:eastAsia="arial" w:hAnsi="arial" w:cs="arial"/>
            <w:i/>
            <w:color w:val="0077CC"/>
            <w:sz w:val="20"/>
            <w:u w:val="single"/>
            <w:shd w:val="clear" w:color="auto" w:fill="FFFFFF"/>
            <w:lang w:val="en-US" w:eastAsia="en-US" w:bidi="ar-SA"/>
          </w:rPr>
          <w:t>82 B.C.L.R. (3d) 296</w:t>
        </w:r>
      </w:hyperlink>
      <w:r>
        <w:rPr>
          <w:rFonts w:ascii="arial" w:eastAsia="arial" w:hAnsi="arial" w:cs="arial"/>
          <w:color w:val="000000"/>
          <w:sz w:val="20"/>
          <w:lang w:val="en-US" w:eastAsia="en-US" w:bidi="ar-SA"/>
        </w:rPr>
        <w:t xml:space="preserve">. At para. 29 of </w:t>
      </w:r>
      <w:r>
        <w:rPr>
          <w:rFonts w:ascii="arial" w:eastAsia="arial" w:hAnsi="arial" w:cs="arial"/>
          <w:i/>
          <w:color w:val="000000"/>
          <w:sz w:val="20"/>
          <w:lang w:val="en-US" w:eastAsia="en-US" w:bidi="ar-SA"/>
        </w:rPr>
        <w:t>Letvad</w:t>
      </w:r>
      <w:r>
        <w:rPr>
          <w:rFonts w:ascii="arial" w:eastAsia="arial" w:hAnsi="arial" w:cs="arial"/>
          <w:color w:val="000000"/>
          <w:sz w:val="20"/>
          <w:lang w:val="en-US" w:eastAsia="en-US" w:bidi="ar-SA"/>
        </w:rPr>
        <w:t xml:space="preserve">, Esson J.A., writing for the Court, adopted the list of factors to be considered from </w:t>
      </w:r>
      <w:r>
        <w:rPr>
          <w:rFonts w:ascii="arial" w:eastAsia="arial" w:hAnsi="arial" w:cs="arial"/>
          <w:i/>
          <w:color w:val="000000"/>
          <w:sz w:val="20"/>
          <w:lang w:val="en-US" w:eastAsia="en-US" w:bidi="ar-SA"/>
        </w:rPr>
        <w:t>Teal Cedar Products (1977) Ltd. v. Dale Intermediaries Ltd</w:t>
      </w:r>
      <w:r>
        <w:rPr>
          <w:rFonts w:ascii="arial" w:eastAsia="arial" w:hAnsi="arial" w:cs="arial"/>
          <w:color w:val="000000"/>
          <w:sz w:val="20"/>
          <w:lang w:val="en-US" w:eastAsia="en-US" w:bidi="ar-SA"/>
        </w:rPr>
        <w:t xml:space="preserve">. </w:t>
      </w:r>
      <w:hyperlink r:id="rId292" w:history="1">
        <w:r>
          <w:rPr>
            <w:rFonts w:ascii="arial" w:eastAsia="arial" w:hAnsi="arial" w:cs="arial"/>
            <w:i/>
            <w:color w:val="0077CC"/>
            <w:sz w:val="20"/>
            <w:u w:val="single"/>
            <w:shd w:val="clear" w:color="auto" w:fill="FFFFFF"/>
            <w:lang w:val="en-US" w:eastAsia="en-US" w:bidi="ar-SA"/>
          </w:rPr>
          <w:t>(1996), 71 B.C.A.C. 161</w:t>
        </w:r>
      </w:hyperlink>
      <w:r>
        <w:rPr>
          <w:rFonts w:ascii="arial" w:eastAsia="arial" w:hAnsi="arial" w:cs="arial"/>
          <w:color w:val="000000"/>
          <w:sz w:val="20"/>
          <w:lang w:val="en-US" w:eastAsia="en-US" w:bidi="ar-SA"/>
        </w:rPr>
        <w:t xml:space="preserve">, </w:t>
      </w:r>
      <w:hyperlink r:id="rId292" w:history="1">
        <w:r>
          <w:rPr>
            <w:rFonts w:ascii="arial" w:eastAsia="arial" w:hAnsi="arial" w:cs="arial"/>
            <w:i/>
            <w:color w:val="0077CC"/>
            <w:sz w:val="20"/>
            <w:u w:val="single"/>
            <w:shd w:val="clear" w:color="auto" w:fill="FFFFFF"/>
            <w:lang w:val="en-US" w:eastAsia="en-US" w:bidi="ar-SA"/>
          </w:rPr>
          <w:t>19 B.C.L.R. (3d) 282</w:t>
        </w:r>
      </w:hyperlink>
      <w:r>
        <w:rPr>
          <w:rFonts w:ascii="arial" w:eastAsia="arial" w:hAnsi="arial" w:cs="arial"/>
          <w:color w:val="000000"/>
          <w:sz w:val="20"/>
          <w:lang w:val="en-US" w:eastAsia="en-US" w:bidi="ar-SA"/>
        </w:rPr>
        <w:t>, a decision that dealt with adding further claims under R. 24. These include the extent of the delay, the reasons and any explanation for the delay, any prejudice arising from the delay, and the degree of connection between the existing action and the new parties and claims contemplated. The overriding question is what is just and convenient in the circumstances of the particular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Section 22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provides in relevant part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Counterclaim or other claim or proceeding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22 (1) If a court proceeding has been commenced in relation to a claim within the basic limitation period and ultimate limitation period applicable to the claim and there is another claim (the "related claim") relating to or connected with the first mentioned claim, the following may, in the court proceeding, be done with respect to the related claim even though a limitation period applicable to either or both of the claims has expired: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new parties may be added or substituted as plaintiffs or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The effect of s. 22(1)(d)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is to extinguish any limitation defence the party who is joined as a defendant could have raised in a separate action. The existence of a limitation defence that will be lost is a relevant, but not determinative, factor in deciding whether it would be just and convenient to decide the issue between the plaintiff and the proposed defendant(s) in the existing action. The approach to the interplay between a potential limitation defence and the proposed joinder of a defendant was explained by the Court of Appeal in </w:t>
      </w:r>
      <w:r>
        <w:rPr>
          <w:rFonts w:ascii="arial" w:eastAsia="arial" w:hAnsi="arial" w:cs="arial"/>
          <w:i/>
          <w:color w:val="000000"/>
          <w:sz w:val="20"/>
          <w:lang w:val="en-US" w:eastAsia="en-US" w:bidi="ar-SA"/>
        </w:rPr>
        <w:t>The Owners, Strata Plan No. VIS3578</w:t>
      </w:r>
      <w:r>
        <w:rPr>
          <w:rFonts w:ascii="arial" w:eastAsia="arial" w:hAnsi="arial" w:cs="arial"/>
          <w:color w:val="000000"/>
          <w:sz w:val="20"/>
          <w:lang w:val="en-US" w:eastAsia="en-US" w:bidi="ar-SA"/>
        </w:rPr>
        <w:t>, at paragraph 47:</w:t>
      </w:r>
      <w:r>
        <w:rPr>
          <w:rFonts w:ascii="arial" w:eastAsia="arial" w:hAnsi="arial" w:cs="arial"/>
          <w:sz w:val="20"/>
          <w:lang w:val="en-US" w:eastAsia="en-US" w:bidi="ar-SA"/>
        </w:rPr>
        <w:cr/>
      </w:r>
    </w:p>
    <w:p>
      <w:pPr>
        <w:numPr>
          <w:numId w:val="9"/>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it is clear there is no accrued limitation defence, the only question is whether it will be more convenient to have one or two actions since the plaintiff will be able to commence a new action against the proposed defendant if it is unsuccessful in the joinder application.</w:t>
      </w:r>
    </w:p>
    <w:p>
      <w:pPr>
        <w:numPr>
          <w:numId w:val="10"/>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it is clear there is an accrued limitation defence, the question is whether it will nevertheless be just and convenient to add the party, notwithstanding it will lose that defence. The answer to that question will emerge from consideration of the factors set out in </w:t>
      </w:r>
      <w:r>
        <w:rPr>
          <w:rFonts w:ascii="arial" w:eastAsia="arial" w:hAnsi="arial" w:cs="arial"/>
          <w:i/>
          <w:color w:val="000000"/>
          <w:sz w:val="20"/>
          <w:lang w:val="en-US" w:eastAsia="en-US" w:bidi="ar-SA"/>
        </w:rPr>
        <w:t>Letvad</w:t>
      </w:r>
      <w:r>
        <w:rPr>
          <w:rFonts w:ascii="arial" w:eastAsia="arial" w:hAnsi="arial" w:cs="arial"/>
          <w:color w:val="000000"/>
          <w:sz w:val="20"/>
          <w:lang w:val="en-US" w:eastAsia="en-US" w:bidi="ar-SA"/>
        </w:rPr>
        <w:t>.</w:t>
      </w:r>
    </w:p>
    <w:p>
      <w:pPr>
        <w:numPr>
          <w:numId w:val="11"/>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the parties disagree as to whether there is an accrued limitation defence, and a court cannot determine this issue on the joinder application, the court should proceed by assuming that there is a limitation defence, and consider whether it is just and convenient to add the party, even though the result will be the elimination of that defence. If that question is answered affirmatively, an order for joinder should be made, and it becomes unnecessary to deal with the limitation issue since it will be extinguished by s. 4(1)(d)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Amezcua v. Taylor</w:t>
      </w:r>
      <w:r>
        <w:rPr>
          <w:rFonts w:ascii="arial" w:eastAsia="arial" w:hAnsi="arial" w:cs="arial"/>
          <w:color w:val="000000"/>
          <w:sz w:val="20"/>
          <w:lang w:val="en-US" w:eastAsia="en-US" w:bidi="ar-SA"/>
        </w:rPr>
        <w:t xml:space="preserve">, </w:t>
      </w:r>
      <w:hyperlink r:id="rId293" w:history="1">
        <w:r>
          <w:rPr>
            <w:rFonts w:ascii="arial" w:eastAsia="arial" w:hAnsi="arial" w:cs="arial"/>
            <w:i/>
            <w:color w:val="0077CC"/>
            <w:sz w:val="20"/>
            <w:u w:val="single"/>
            <w:shd w:val="clear" w:color="auto" w:fill="FFFFFF"/>
            <w:lang w:val="en-US" w:eastAsia="en-US" w:bidi="ar-SA"/>
          </w:rPr>
          <w:t>2010 BCCA 128</w:t>
        </w:r>
      </w:hyperlink>
      <w:r>
        <w:rPr>
          <w:rFonts w:ascii="arial" w:eastAsia="arial" w:hAnsi="arial" w:cs="arial"/>
          <w:color w:val="000000"/>
          <w:sz w:val="20"/>
          <w:lang w:val="en-US" w:eastAsia="en-US" w:bidi="ar-SA"/>
        </w:rPr>
        <w:t xml:space="preserve">, the Court of Appeal adopted the factors in </w:t>
      </w:r>
      <w:r>
        <w:rPr>
          <w:rFonts w:ascii="arial" w:eastAsia="arial" w:hAnsi="arial" w:cs="arial"/>
          <w:i/>
          <w:color w:val="000000"/>
          <w:sz w:val="20"/>
          <w:lang w:val="en-US" w:eastAsia="en-US" w:bidi="ar-SA"/>
        </w:rPr>
        <w:t>Teal Cedar Products (1997) v. Dale Intermediaries Ltd</w:t>
      </w:r>
      <w:r>
        <w:rPr>
          <w:rFonts w:ascii="arial" w:eastAsia="arial" w:hAnsi="arial" w:cs="arial"/>
          <w:color w:val="000000"/>
          <w:sz w:val="20"/>
          <w:lang w:val="en-US" w:eastAsia="en-US" w:bidi="ar-SA"/>
        </w:rPr>
        <w:t xml:space="preserve">. </w:t>
      </w:r>
      <w:hyperlink r:id="rId292" w:history="1">
        <w:r>
          <w:rPr>
            <w:rFonts w:ascii="arial" w:eastAsia="arial" w:hAnsi="arial" w:cs="arial"/>
            <w:i/>
            <w:color w:val="0077CC"/>
            <w:sz w:val="20"/>
            <w:u w:val="single"/>
            <w:shd w:val="clear" w:color="auto" w:fill="FFFFFF"/>
            <w:lang w:val="en-US" w:eastAsia="en-US" w:bidi="ar-SA"/>
          </w:rPr>
          <w:t>(1996), 19 B.C.L.R. (3d) 282</w:t>
        </w:r>
      </w:hyperlink>
      <w:r>
        <w:rPr>
          <w:rFonts w:ascii="arial" w:eastAsia="arial" w:hAnsi="arial" w:cs="arial"/>
          <w:color w:val="000000"/>
          <w:sz w:val="20"/>
          <w:lang w:val="en-US" w:eastAsia="en-US" w:bidi="ar-SA"/>
        </w:rPr>
        <w:t xml:space="preserve"> (C.A.) from an application to amend pleadings following the expiry of a limitation period. At paragraph 36 of </w:t>
      </w:r>
      <w:r>
        <w:rPr>
          <w:rFonts w:ascii="arial" w:eastAsia="arial" w:hAnsi="arial" w:cs="arial"/>
          <w:i/>
          <w:color w:val="000000"/>
          <w:sz w:val="20"/>
          <w:lang w:val="en-US" w:eastAsia="en-US" w:bidi="ar-SA"/>
        </w:rPr>
        <w:t>Amezcua</w:t>
      </w:r>
      <w:r>
        <w:rPr>
          <w:rFonts w:ascii="arial" w:eastAsia="arial" w:hAnsi="arial" w:cs="arial"/>
          <w:color w:val="000000"/>
          <w:sz w:val="20"/>
          <w:lang w:val="en-US" w:eastAsia="en-US" w:bidi="ar-SA"/>
        </w:rPr>
        <w:t xml:space="preserve">, the Court cited the following passage from </w:t>
      </w:r>
      <w:r>
        <w:rPr>
          <w:rFonts w:ascii="arial" w:eastAsia="arial" w:hAnsi="arial" w:cs="arial"/>
          <w:i/>
          <w:color w:val="000000"/>
          <w:sz w:val="20"/>
          <w:lang w:val="en-US" w:eastAsia="en-US" w:bidi="ar-SA"/>
        </w:rPr>
        <w:t>Letvad v. Fenwick</w:t>
      </w:r>
      <w:r>
        <w:rPr>
          <w:rFonts w:ascii="arial" w:eastAsia="arial" w:hAnsi="arial" w:cs="arial"/>
          <w:color w:val="000000"/>
          <w:sz w:val="20"/>
          <w:lang w:val="en-US" w:eastAsia="en-US" w:bidi="ar-SA"/>
        </w:rPr>
        <w:t xml:space="preserve">, </w:t>
      </w:r>
      <w:hyperlink r:id="rId291" w:history="1">
        <w:r>
          <w:rPr>
            <w:rFonts w:ascii="arial" w:eastAsia="arial" w:hAnsi="arial" w:cs="arial"/>
            <w:i/>
            <w:color w:val="0077CC"/>
            <w:sz w:val="20"/>
            <w:u w:val="single"/>
            <w:shd w:val="clear" w:color="auto" w:fill="FFFFFF"/>
            <w:lang w:val="en-US" w:eastAsia="en-US" w:bidi="ar-SA"/>
          </w:rPr>
          <w:t>2000 BCCA 630</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[29] My understanding of the phrase "completely unfettered" in this context is that the discretion is not fettered by the relevant legislation, i.e., the Rule and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It is, however, fettered to the extent that, as was held in </w:t>
      </w:r>
      <w:r>
        <w:rPr>
          <w:rFonts w:ascii="arial" w:eastAsia="arial" w:hAnsi="arial" w:cs="arial"/>
          <w:i/>
          <w:color w:val="000000"/>
          <w:sz w:val="20"/>
          <w:lang w:val="en-US" w:eastAsia="en-US" w:bidi="ar-SA"/>
        </w:rPr>
        <w:t>Teal</w:t>
      </w:r>
      <w:r>
        <w:rPr>
          <w:rFonts w:ascii="arial" w:eastAsia="arial" w:hAnsi="arial" w:cs="arial"/>
          <w:color w:val="000000"/>
          <w:sz w:val="20"/>
          <w:lang w:val="en-US" w:eastAsia="en-US" w:bidi="ar-SA"/>
        </w:rPr>
        <w:t xml:space="preserve">, it must be exercised judicially, in accordance with the evidence adduced and such guidelines as may appear from the authorities. It was held in </w:t>
      </w:r>
      <w:r>
        <w:rPr>
          <w:rFonts w:ascii="arial" w:eastAsia="arial" w:hAnsi="arial" w:cs="arial"/>
          <w:i/>
          <w:color w:val="000000"/>
          <w:sz w:val="20"/>
          <w:lang w:val="en-US" w:eastAsia="en-US" w:bidi="ar-SA"/>
        </w:rPr>
        <w:t>Teal</w:t>
      </w:r>
      <w:r>
        <w:rPr>
          <w:rFonts w:ascii="arial" w:eastAsia="arial" w:hAnsi="arial" w:cs="arial"/>
          <w:color w:val="000000"/>
          <w:sz w:val="20"/>
          <w:lang w:val="en-US" w:eastAsia="en-US" w:bidi="ar-SA"/>
        </w:rPr>
        <w:t xml:space="preserve"> that the guidelines to which the chambers judge is required to have regard include these:</w:t>
      </w:r>
    </w:p>
    <w:p>
      <w:pPr>
        <w:numPr>
          <w:numId w:val="12"/>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extent of the delay;</w:t>
      </w:r>
    </w:p>
    <w:p>
      <w:pPr>
        <w:numPr>
          <w:numId w:val="1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reasons for the delay;</w:t>
      </w:r>
    </w:p>
    <w:p>
      <w:pPr>
        <w:numPr>
          <w:numId w:val="14"/>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any explanation put forward to account for the delay;</w:t>
      </w:r>
    </w:p>
    <w:p>
      <w:pPr>
        <w:numPr>
          <w:numId w:val="1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degree of prejudice caused by delay; and</w:t>
      </w:r>
    </w:p>
    <w:p>
      <w:pPr>
        <w:numPr>
          <w:numId w:val="1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extent of the connection, if any, between the existing claims and the proposed new cause of 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McEachern C.J.B.C. in his concurring reasons said at p. 300: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[74] Applying the same principles regardless of whether the application is to add new defendants, as in </w:t>
      </w:r>
      <w:r>
        <w:rPr>
          <w:rFonts w:ascii="arial" w:eastAsia="arial" w:hAnsi="arial" w:cs="arial"/>
          <w:i/>
          <w:color w:val="000000"/>
          <w:sz w:val="20"/>
          <w:lang w:val="en-US" w:eastAsia="en-US" w:bidi="ar-SA"/>
        </w:rPr>
        <w:t>Ricketts</w:t>
      </w:r>
      <w:r>
        <w:rPr>
          <w:rFonts w:ascii="arial" w:eastAsia="arial" w:hAnsi="arial" w:cs="arial"/>
          <w:color w:val="000000"/>
          <w:sz w:val="20"/>
          <w:lang w:val="en-US" w:eastAsia="en-US" w:bidi="ar-SA"/>
        </w:rPr>
        <w:t xml:space="preserve"> or new causes of action, as in </w:t>
      </w:r>
      <w:r>
        <w:rPr>
          <w:rFonts w:ascii="arial" w:eastAsia="arial" w:hAnsi="arial" w:cs="arial"/>
          <w:i/>
          <w:color w:val="000000"/>
          <w:sz w:val="20"/>
          <w:lang w:val="en-US" w:eastAsia="en-US" w:bidi="ar-SA"/>
        </w:rPr>
        <w:t>Med Finance</w:t>
      </w:r>
      <w:r>
        <w:rPr>
          <w:rFonts w:ascii="arial" w:eastAsia="arial" w:hAnsi="arial" w:cs="arial"/>
          <w:color w:val="000000"/>
          <w:sz w:val="20"/>
          <w:lang w:val="en-US" w:eastAsia="en-US" w:bidi="ar-SA"/>
        </w:rPr>
        <w:t>, I believe the most important considerations, not necessarily in the following order, are the length of the delay, prejudice to the respondents, and the overriding question of what is just and convenient.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Applying the </w:t>
      </w:r>
      <w:r>
        <w:rPr>
          <w:rFonts w:ascii="arial" w:eastAsia="arial" w:hAnsi="arial" w:cs="arial"/>
          <w:i/>
          <w:color w:val="000000"/>
          <w:sz w:val="20"/>
          <w:lang w:val="en-US" w:eastAsia="en-US" w:bidi="ar-SA"/>
        </w:rPr>
        <w:t>Teal</w:t>
      </w:r>
      <w:r>
        <w:rPr>
          <w:rFonts w:ascii="arial" w:eastAsia="arial" w:hAnsi="arial" w:cs="arial"/>
          <w:color w:val="000000"/>
          <w:sz w:val="20"/>
          <w:lang w:val="en-US" w:eastAsia="en-US" w:bidi="ar-SA"/>
        </w:rPr>
        <w:t xml:space="preserve"> factors to an application to add a defendant following the expiry of a limitation period, the Court held that the "proper period of delay to consider" is the elapsed time following the expiry of the limitation period plus one year for service of the writ (now the notice of civil claim): </w:t>
      </w:r>
      <w:r>
        <w:rPr>
          <w:rFonts w:ascii="arial" w:eastAsia="arial" w:hAnsi="arial" w:cs="arial"/>
          <w:i/>
          <w:color w:val="000000"/>
          <w:sz w:val="20"/>
          <w:lang w:val="en-US" w:eastAsia="en-US" w:bidi="ar-SA"/>
        </w:rPr>
        <w:t>Amezcua</w:t>
      </w:r>
      <w:r>
        <w:rPr>
          <w:rFonts w:ascii="arial" w:eastAsia="arial" w:hAnsi="arial" w:cs="arial"/>
          <w:color w:val="000000"/>
          <w:sz w:val="20"/>
          <w:lang w:val="en-US" w:eastAsia="en-US" w:bidi="ar-SA"/>
        </w:rPr>
        <w:t>, at paragraph 36.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Until the time for service of a filed notice of civil claim expires, parties connected to the claim can still expect to be sued and should govern themselves accordingly. Until that time, no presumed or actual prejudice to the proposed defendant from the passage of time can be attributed to the plaintiff's delay. This was explained by Lambert J.A. in </w:t>
      </w:r>
      <w:r>
        <w:rPr>
          <w:rFonts w:ascii="arial" w:eastAsia="arial" w:hAnsi="arial" w:cs="arial"/>
          <w:i/>
          <w:color w:val="000000"/>
          <w:sz w:val="20"/>
          <w:lang w:val="en-US" w:eastAsia="en-US" w:bidi="ar-SA"/>
        </w:rPr>
        <w:t>MacIntosh v. Nilsson Bros. Inc.</w:t>
      </w:r>
      <w:r>
        <w:rPr>
          <w:rFonts w:ascii="arial" w:eastAsia="arial" w:hAnsi="arial" w:cs="arial"/>
          <w:color w:val="000000"/>
          <w:sz w:val="20"/>
          <w:lang w:val="en-US" w:eastAsia="en-US" w:bidi="ar-SA"/>
        </w:rPr>
        <w:t xml:space="preserve">, </w:t>
      </w:r>
      <w:hyperlink r:id="rId294" w:history="1">
        <w:r>
          <w:rPr>
            <w:rFonts w:ascii="arial" w:eastAsia="arial" w:hAnsi="arial" w:cs="arial"/>
            <w:i/>
            <w:color w:val="0077CC"/>
            <w:sz w:val="20"/>
            <w:u w:val="single"/>
            <w:shd w:val="clear" w:color="auto" w:fill="FFFFFF"/>
            <w:lang w:val="en-US" w:eastAsia="en-US" w:bidi="ar-SA"/>
          </w:rPr>
          <w:t>2005 BCCA 297</w:t>
        </w:r>
      </w:hyperlink>
      <w:r>
        <w:rPr>
          <w:rFonts w:ascii="arial" w:eastAsia="arial" w:hAnsi="arial" w:cs="arial"/>
          <w:color w:val="000000"/>
          <w:sz w:val="20"/>
          <w:lang w:val="en-US" w:eastAsia="en-US" w:bidi="ar-SA"/>
        </w:rPr>
        <w:t>, at paragraph 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 ... The prejudice that must be presumed should surely be restricted to situations where the period which has passed since the cause of action arose is the length of the limitation period plus one year for service of the Writ. Because, within that time, a Writ could have been filed within the limitation period and served after the limitation period expired for up to a year, without any prejudice to the defendant. And the same is true, as pointed out by Mr. Justice Macdonald, with respect to actual prejudice by destruction of evidence or failure of recollection. If these occur within the limitation period plus the year allowed for service of the Writ, then any prejudice to the defendant sought to be added is not caused by the plaintiff. The defendant should not have conducted himself, herself, or itself in such a way as to pass the detriment caused by the passage of time on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Put another way, where prejudice is said to arise from the plaintiff's failure to name a proposed defendant sooner, the delay only becomes relevant and necessary for the plaintiff to explain following the expiry of a limitation period plus one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first requirement under Rule 6-7(2)(c) is for there to be a question or issue between the plaintiff and the proposed defendants that relates to the relief, remedy or subject matter of the existing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only evidence provided by the plaintiff on this application of a potential claim against the proposed defendants is a brief attendance note by her family doctor shortly following the third accident which appears to refer to the aggravation of a shoulder injury. The plaintiff relies primarily on the proposed amendments to her notice of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The proposed amendments advance claims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drivers and owners of the vehicles involved in the third accident and allege that the plaintiff's injuries from the second accident were made worse by the third accident. In other words, the plaintiff alleges that her total loss or damage was caused in part by the fault of the proposed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Recognizing that it is a low threshold, I find that the first requirement of Rule 6-7(2)(c) is met. The plaintiff's draft claim against the proposed defendants relates to the relief claimed against the existing defendant in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second question is whether it would be just and convenient for the claims against the proposed defendants be tried in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Had the proposed defendants responded to this application, they might have raised the prejudice from the loss of a limitation defence to a claim arising from the third accident. </w:t>
      </w:r>
      <w:r>
        <w:rPr>
          <w:rFonts w:ascii="arial" w:eastAsia="arial" w:hAnsi="arial" w:cs="arial"/>
          <w:i/>
          <w:color w:val="000000"/>
          <w:sz w:val="20"/>
          <w:lang w:val="en-US" w:eastAsia="en-US" w:bidi="ar-SA"/>
        </w:rPr>
        <w:t>Amezcua</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McIntosh</w:t>
      </w:r>
      <w:r>
        <w:rPr>
          <w:rFonts w:ascii="arial" w:eastAsia="arial" w:hAnsi="arial" w:cs="arial"/>
          <w:color w:val="000000"/>
          <w:sz w:val="20"/>
          <w:lang w:val="en-US" w:eastAsia="en-US" w:bidi="ar-SA"/>
        </w:rPr>
        <w:t xml:space="preserve"> would have provided the plaintiff with an answer to that argument: delay only becomes relevant and necessary for the plaintiff to explain following the expiry of the limitation period plus one year for service (which in this case would be on February 19, 2020).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The argument of the existing defendant, Chuen Sing Fung, is slightly different. While he will not lose a limitation defence himself, Mr. Fung argues that he will be prejudiced by the addition of new claims late in this proceeding, after the limitation period for those claims has expired. In my view, the logic of decisions in </w:t>
      </w:r>
      <w:r>
        <w:rPr>
          <w:rFonts w:ascii="arial" w:eastAsia="arial" w:hAnsi="arial" w:cs="arial"/>
          <w:i/>
          <w:color w:val="000000"/>
          <w:sz w:val="20"/>
          <w:lang w:val="en-US" w:eastAsia="en-US" w:bidi="ar-SA"/>
        </w:rPr>
        <w:t>Amezcua</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McIntosh</w:t>
      </w:r>
      <w:r>
        <w:rPr>
          <w:rFonts w:ascii="arial" w:eastAsia="arial" w:hAnsi="arial" w:cs="arial"/>
          <w:color w:val="000000"/>
          <w:sz w:val="20"/>
          <w:lang w:val="en-US" w:eastAsia="en-US" w:bidi="ar-SA"/>
        </w:rPr>
        <w:t xml:space="preserve"> remains a compelling answer. Until the time for service of a separate claim expired, there would still be the possibility from Mr. Fung's perspective that the plaintiff could commence an action arising out of the third accident and apply to have that action heard at the same time as the first two actions. Thus, in my view, an argument based on delay alone must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Fung argues that the addition of the four proposed defendants would introduce into the litigation a completely separate accident with liability issues that do not concern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 do not agree that the third accident raises a completely separate claim. Paragraph 4 of Mr. Fung's response to civil claim, quoted above, puts subsequent accidents involving the plaintiff in issue. Mr. Fung's counsel (who did not draft the response) describes this pleading as "boilerplate". Regardless of whether it is boilerplate, the allegation that the plaintiff's injuries are "attributable to ... subsequent accidents" advances a causation or apportionment defence that, if proven, would allow Mr. Fung to argue that the plaintiff's injuries were caused in whole or in part by the third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Notably, Mr. Fung also pleads contributory fault by the plaintiff in the second accident and relies on the provisions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c.33</w:t>
      </w:r>
      <w:r>
        <w:rPr>
          <w:rFonts w:ascii="arial" w:eastAsia="arial" w:hAnsi="arial" w:cs="arial"/>
          <w:color w:val="000000"/>
          <w:sz w:val="20"/>
          <w:lang w:val="en-US" w:eastAsia="en-US" w:bidi="ar-SA"/>
        </w:rPr>
        <w:t>. If contributory fault is proven, Mr. Fung will be able to argue that liability of the various drivers and owners at fault for the plaintiff's injuries is joint and several. Thus, the plaintiff's recovery of damages from the existing defendants may be reduced by the degree to which the court finds that the drivers or owners of the vehicles involved in the third accident were at fault for her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An unreported decision by Madam Justice Saunders, as a judge of this Court, in </w:t>
      </w:r>
      <w:r>
        <w:rPr>
          <w:rFonts w:ascii="arial" w:eastAsia="arial" w:hAnsi="arial" w:cs="arial"/>
          <w:i/>
          <w:color w:val="000000"/>
          <w:sz w:val="20"/>
          <w:lang w:val="en-US" w:eastAsia="en-US" w:bidi="ar-SA"/>
        </w:rPr>
        <w:t>Endale v. Peters et al.</w:t>
      </w:r>
      <w:r>
        <w:rPr>
          <w:rFonts w:ascii="arial" w:eastAsia="arial" w:hAnsi="arial" w:cs="arial"/>
          <w:color w:val="000000"/>
          <w:sz w:val="20"/>
          <w:lang w:val="en-US" w:eastAsia="en-US" w:bidi="ar-SA"/>
        </w:rPr>
        <w:t xml:space="preserve">, Vancouver Registry No. B931121 (January 31, 1997) is instructive. </w:t>
      </w:r>
      <w:r>
        <w:rPr>
          <w:rFonts w:ascii="arial" w:eastAsia="arial" w:hAnsi="arial" w:cs="arial"/>
          <w:i/>
          <w:color w:val="000000"/>
          <w:sz w:val="20"/>
          <w:lang w:val="en-US" w:eastAsia="en-US" w:bidi="ar-SA"/>
        </w:rPr>
        <w:t>Endale</w:t>
      </w:r>
      <w:r>
        <w:rPr>
          <w:rFonts w:ascii="arial" w:eastAsia="arial" w:hAnsi="arial" w:cs="arial"/>
          <w:color w:val="000000"/>
          <w:sz w:val="20"/>
          <w:lang w:val="en-US" w:eastAsia="en-US" w:bidi="ar-SA"/>
        </w:rPr>
        <w:t xml:space="preserve"> arose from a series of five accidents. The plaintiff commenced three actions relating to three of the five accidents, and the three actions were set for trial together. The defendants in the three actions delivered a combined list of documents. Some of the documents related to the accidents on which the plaintiff had not commenced any litigation. Madam Justice Saunders found, from their inclusion of documents relating to the un-litigated accidents, that the existing defendants must have considered those accidents relevant to the existing claim: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 ... [The documents] are only relevant if the original defendants expected to argue that the injuries sustained by the plaintiff were sustained, in whole or in part, in the November 1991 and November 1992 accidents and not in the accidents then before the court. Thus there is a question connected with the relief claimed in this proceeding. Further, barring limitation issues, it is just and convenient to determine that question in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In this case, there is no evidence before me that the existing defendants have produced documents relating to the third accident. In fact, counsel for the defendants in this case takes the position there is no evidence the plaintiff was even injured in the third accident. However, relevance is defined by the pleadings, and as explained above, paragraph 4 of the defendant's response to civil claim puts the third accident in issue. Even if the defendant were to withdraw paragraph 4 of the response, he may still argue at trial for an apportionment under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that includes the fault of the drivers or owners involved in the third accident. </w:t>
      </w:r>
      <w:r>
        <w:rPr>
          <w:rFonts w:ascii="arial" w:eastAsia="arial" w:hAnsi="arial" w:cs="arial"/>
          <w:i/>
          <w:color w:val="000000"/>
          <w:sz w:val="20"/>
          <w:lang w:val="en-US" w:eastAsia="en-US" w:bidi="ar-SA"/>
        </w:rPr>
        <w:t>Endale</w:t>
      </w:r>
      <w:r>
        <w:rPr>
          <w:rFonts w:ascii="arial" w:eastAsia="arial" w:hAnsi="arial" w:cs="arial"/>
          <w:color w:val="000000"/>
          <w:sz w:val="20"/>
          <w:lang w:val="en-US" w:eastAsia="en-US" w:bidi="ar-SA"/>
        </w:rPr>
        <w:t xml:space="preserve"> provides an analogy and support for the joinder of the proposed defendants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 accept the defendant's argument that the inclusion of four additional defendants will complicate the existing proceedings. Liability may be denied by one or both of the new sets of defendants. The new defendants will likely require separate counsel from the current defence counsel. Additional examinations for discovery will likely be required. Additional liability witnesses may need to be called to testify at the trial. The trial may need to be adjourned because there will be insufficient time to try all of the issues. In the end, the third accident may prove to be a distraction from the real issues in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While these are legitimate concerns, most, if not all, can be addressed with costs if the trial judge finds that the joinder of the additional defendants unfairly delayed or extended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my view, any prejudice to Mr. Fung is outweighed by the prejudice that would result to the plaintiff if she was denied a right to claim against some of the parties at fault for her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plaintiff's claim against the proposed defendants relates to the relief claimed against the existing defendant in this action. It is just and convenient to determine that claim in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There will be an order that:</w:t>
      </w:r>
      <w:r>
        <w:rPr>
          <w:rFonts w:ascii="arial" w:eastAsia="arial" w:hAnsi="arial" w:cs="arial"/>
          <w:sz w:val="20"/>
          <w:lang w:val="en-US" w:eastAsia="en-US" w:bidi="ar-SA"/>
        </w:rPr>
        <w:cr/>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Salim Jamal, Shirzad Jamal, Gerardus Smit and Lewis Smit are added as defendants;</w:t>
      </w:r>
    </w:p>
    <w:p>
      <w:pPr>
        <w:numPr>
          <w:numId w:val="1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style of cause is amended accordingly;</w:t>
      </w:r>
    </w:p>
    <w:p>
      <w:pPr>
        <w:numPr>
          <w:numId w:val="1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granted leave to amend the notice of civil claim in the form attached to the notice of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There will be no costs of this application against the new defendants. Costs of the application as between the plaintiff and the existing defendant are at the discretion of the trial judge.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MASTER B. ELWOOD</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02" style="position:absolute;z-index:25187225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95"/>
          <w:headerReference w:type="default" r:id="rId296"/>
          <w:footerReference w:type="even" r:id="rId297"/>
          <w:footerReference w:type="default" r:id="rId298"/>
          <w:headerReference w:type="first" r:id="rId299"/>
          <w:footerReference w:type="first" r:id="rId30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01" w:history="1">
        <w:r>
          <w:rPr>
            <w:rFonts w:ascii="arial" w:eastAsia="arial" w:hAnsi="arial" w:cs="arial"/>
            <w:b/>
            <w:bCs/>
            <w:i/>
            <w:color w:val="0077CC"/>
            <w:kern w:val="32"/>
            <w:sz w:val="28"/>
            <w:szCs w:val="32"/>
            <w:u w:val="single"/>
            <w:shd w:val="clear" w:color="auto" w:fill="FFFFFF"/>
            <w:lang w:val="en-US" w:eastAsia="en-US" w:bidi="ar-SA"/>
          </w:rPr>
          <w:t>Jasmur Holdings Ltd. v. Taynton Developments Inc., [2016] B.C.J. No. 2163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Kelowna,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A.J. Beames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6-9, 12-14, June 8-12, 15-19,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September 25, December 8 and 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2015; written submissions, December</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16, 22, 2015; January 4,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17,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S89393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Kelowna</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[2016] B.C.J. No. 2163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2016 BCSC 1902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2016 CarswellBC 2872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272 A.C.W.S. (3d) 306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68 C.L.R. (4th) 220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Jasmur Holdings Ltd., Robert Scott Edmunds and 0765647 B.C. Ltd. carrying on business as OKM Development Joint Venture, Plaintiffs, and Taynton Developments Inc., Gary Andrew Callaghan, 0814782 B.C. Ltd. doing business as Max Mechanical, Antrim Homes Ltd., Karl Ellwood doing business as Ellwood Excavation, Thomas Schreider also known as Tom Schreider, and Suzanne Callaghan also known as Suzanne Schreider,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(178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03" style="position:absolute;z-index:2516746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07" w:name="Keywords_15"/>
      <w:bookmarkEnd w:id="107"/>
      <w:r>
        <w:rPr>
          <w:rFonts w:ascii="arial" w:eastAsia="arial" w:hAnsi="arial" w:cs="arial"/>
          <w:b/>
          <w:color w:val="000000"/>
          <w:sz w:val="20"/>
          <w:lang w:val="en-US" w:eastAsia="en-US" w:bidi="ar-SA"/>
        </w:rPr>
        <w:t>Contracts — Breach of contract — Action by the plaintiffs Jasmur Holdings, Edmunds, and OKM Development Joint Venture for damages for fraudulent and negligent misrepresentation, breach of fiduciary duty, unjust enrichment, conspiracy, and breach of contract allowed in part — The action arose from the construction of a multi-family townhome development — The defendant Callaghan breached his fiduciary duties to OKM in certain instances involving third party expenses, causing OKM damages — Callaghan and Taynton were liable to OKM for $89,196 — The plaintiffs failed to establish entitlement to further damages.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and standard of care — Fiduciary duty — Action by the plaintiffs Jasmur Holdings, Edmunds, and OKM Development Joint Venture for damages for fraudulent and negligent misrepresentation, breach of fiduciary duty, unjust enrichment, conspiracy, and breach of contract allowed in part — The action arose from the construction of a multi-family townhome development — The defendant Callaghan breached his fiduciary duties to OKM in certain instances involving third party expenses, causing OKM damages — Callaghan and Taynton were liable to OKM for $89,196 — The plaintiffs failed to establish entitlement to further damages.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Fraud and misrepresentation — Fraudulent misrepresentation — Negligent misrepresentation (Hedley Byrne principle) — Action by the plaintiffs Jasmur Holdings, Edmunds, and OKM Development Joint Venture for damages for fraudulent and negligent misrepresentation, breach of fiduciary duty, unjust enrichment, conspiracy, and breach of contract allowed in part — The action arose from the construction of a multi-family townhome development — The defendant Callaghan breached his fiduciary duties to OKM in certain instances involving third party expenses, causing OKM damages — Callaghan and Taynton were liable to OKM for $89,196 — The plaintiffs failed to establish entitlement to further damages.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08" w:name="Case Summary_13"/>
            <w:bookmarkEnd w:id="10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plaintiffs Jasmur Holdings, Edmunds, and OKM Development Joint Venture for damages for fraudulent and negligent misrepresentation, breach of fiduciary duty, unjust enrichment, conspiracy, and breach of contract. The action was commenced in 2010 and arose from the construction of a multi-family townhome development in the city of Kelowna. The plaintiffs were seeking damages, including punitive damages, and other relief.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09" w:name="Holdings of Court_10"/>
            <w:bookmarkEnd w:id="109"/>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plaintiffs failed to establish the elements of misrepresentation on a balance of probabilities. They also failed to prove the facts to support a finding of conspiracy, and the unjust enrichment claim failed. However, the defendant Callaghan breached his fiduciary duties to OKM in certain instances involving third party expenses, causing OKM damages. The defendant Taynton, through the actions of Callaghan, breached the duty to perform contractual obligations honestly. However, the damages mirrored those awarded to OKM for breach of fiduciary duty and no further award was warranted. Punitive damages were also not warranted. Callaghan and Taynton were liable to OKM for $89,196.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10" w:name="Legislation Cited_11"/>
      <w:bookmarkEnd w:id="11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04" style="position:absolute;z-index:2517258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Court Order Interest Act, </w:t>
      </w:r>
      <w:r>
        <w:rPr>
          <w:rFonts w:ascii="arial" w:eastAsia="arial" w:hAnsi="arial" w:cs="arial"/>
          <w:i/>
          <w:color w:val="000000"/>
          <w:sz w:val="20"/>
          <w:lang w:val="en-US" w:eastAsia="en-US" w:bidi="ar-SA"/>
        </w:rPr>
        <w:t>R.S.B.C. 1996, c. 79</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11" w:name="Counsel_15"/>
      <w:bookmarkEnd w:id="111"/>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05" style="position:absolute;z-index:2517770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C.E. Hanert, K. Reilly.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Taynton Developments, G.A. Callaghan, Antrim Homes Ltd., and S. Callaghan also known as S. Schreider: C.K. Wendell.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No other appearances.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12" w:name="Judgment_15"/>
      <w:bookmarkEnd w:id="112"/>
      <w:r>
        <w:pict>
          <v:line id="_x0000_s1106" style="position:absolute;z-index:25182822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521"/>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13" w:name="A.J. BEAMES J."/>
            <w:bookmarkEnd w:id="113"/>
            <w:r>
              <w:rPr>
                <w:rFonts w:ascii="arial" w:eastAsia="arial" w:hAnsi="arial" w:cs="arial"/>
                <w:b/>
                <w:color w:val="000000"/>
                <w:sz w:val="30"/>
                <w:lang w:val="en-US" w:eastAsia="en-US" w:bidi="ar-SA"/>
              </w:rPr>
              <w:t>A.J. BEAMES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action, commenced in 2010, arises from the construction of a multi-family townhome development in the Kettle Valley neighbourhood in the city of Kelowna. The development was called the Gardena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plaintiffs advance various causes of action against the defendants. The defendants Taynton Developments Inc. and Gary Callaghan counterclaim against the corporate plaintiffs based on various causes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Identification of the Parties and other Players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Jasmur Holdings Ltd. ("Jasmur") is a company incorporated in British Columbia in August 2006 as 075816 B.C. Ltd., which later changed its name to Jasmur. Its principal is Vince Murray. He is a certified financial analysist and a certified financial planner. Mr. Murray moved to Kelowna in August 2005 with his wife and children, after a career of 18 years in the financial industry, primarily in bond and money market trading. When he left his employment with BMO Nesbitt Burns in Toronto, he was a vice-president of capital markets. His plan, when he moved to the Okanagan, was to look for business or investment opportunities.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Robert Scott Edmunds, is a chartered accountant and business person. He has had a variety of occupations, including running his own practice and being a contract controller and contract chief financial officer for different companies. He also has had some experience in lending money.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0765647 B.C. Ltd. is a company incorporated in British Columbia in August 2006. It was incorporated to carry on business as OKM Development Joint Venture ("OKM" or "the Joint Venture") to pursue the development of the Gardena construction project. It was also the registered owner, as a bare trustee for the Joint Venture, of the land upon which the Gardena project was to be constructed.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Gary Andrew Callaghan is essentially a self-taught contractor and builder. He has a university degree in geology and geological engineering, but he has always worked in the construction and property development business. Mr. Callaghan has no formal training or certification in any aspect of construction or property development. He worked for his father's log-home building company and then for a cabinet manufacturing business in Ontario. He moved to British Columbia in 1996 and continued building log homes and working in cabinet making. He then obtained a job with Intrawest, working as a project manager, before moving on to a job with a home builder in the east Kootenays. He then obtained employment with Kettle Valley Developments in Kelowna, as a project manager.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Callaghan is the principal of Taynton Developments Inc. ("Taynton"), a company incorporated in British Columbia in 2005. He is also the principal of Antrim Homes Ltd. ("Antrim"), which was incorporated in British Columbia in January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Suzanne Callaghan is the wife of Mr. Callaghan. She is a teacher by profession. At most times relevant to this action, she was a stay-at-home mother and homemaker.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0814782 B.C. Ltd. was incorporated in British Columbia in January 2008. Its sole director is Thomas Schreider, a resident of Ontario, who is the brother of Suzanne Callaghan. Mr. Callaghan was an officer of the company. The company carried on business as Max Mechanical.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November 2006, Karl Ellwood registered a sole proprietorship in British Columbia in the name of Ellwood Excavation. He is an equipment operator who performed excavation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2005, Mr. Callaghan's employment with Kettle Valley Developments came to an end. As part of his severance package, he was given an option to purchase land that was designed for a multi-family development, with a municipal address of 328 Providence Avenue in Kelowna. The option to purchase the property was for $612,000 and the option was open to be exercised until August 2006. It was a condition of the option to purchase the land that the development on the land be designed by Carl Scholl, who was responsible for design approval in the Kettle Valley neighbourhood. A preliminary design had been prepared for the land before Mr. Callaghan left the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Some pre-development work had already been performed by Kettle Valley Developments with respect to the land and after he left the company, with the option to purchase, Mr. Callaghan took further steps to investigate the possible development of the land. He worked with an architect, designers, and realtors, as well as working on numbers and costing, to see whether he could make the project work. He had a rough </w:t>
      </w:r>
      <w:r>
        <w:rPr>
          <w:rFonts w:ascii="arial" w:eastAsia="arial" w:hAnsi="arial" w:cs="arial"/>
          <w:i/>
          <w:color w:val="000000"/>
          <w:sz w:val="20"/>
          <w:lang w:val="en-US" w:eastAsia="en-US" w:bidi="ar-SA"/>
        </w:rPr>
        <w:t>pro forma</w:t>
      </w:r>
      <w:r>
        <w:rPr>
          <w:rFonts w:ascii="arial" w:eastAsia="arial" w:hAnsi="arial" w:cs="arial"/>
          <w:color w:val="000000"/>
          <w:sz w:val="20"/>
          <w:lang w:val="en-US" w:eastAsia="en-US" w:bidi="ar-SA"/>
        </w:rPr>
        <w:t>, which was a preliminary budget started by Kettle Valley Developments and modified by him. He found two investors, one of whom was named Grant Glowicki, a former neighbour of the Callaghans.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Sometime during the school year of 2005-2006, the Murray family became acquainted with the Callaghan family, as the result of each having a child in the same elementary school class. The two families spent time together during that school year and developed a friendship. Mr. Murray learned of the Gardena townhouse project Mr. Callaghan was working on and he indicated an interest in investing in the project. He was informed by Mr. Callaghan that Mr. Callaghan already had two investors for the project and was not looking for another.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In July 2006, one of the investors backed out of the project. Consequently, Mr. Callaghan contacted Mr. Murray to see if he was still interested in becoming an investor in the project. Mr. Callaghan and Mr. Murray had some meetings to discuss the project and Mr. Callaghan gave Mr. Murray a </w:t>
      </w:r>
      <w:r>
        <w:rPr>
          <w:rFonts w:ascii="arial" w:eastAsia="arial" w:hAnsi="arial" w:cs="arial"/>
          <w:i/>
          <w:color w:val="000000"/>
          <w:sz w:val="20"/>
          <w:lang w:val="en-US" w:eastAsia="en-US" w:bidi="ar-SA"/>
        </w:rPr>
        <w:t>pro forma</w:t>
      </w:r>
      <w:r>
        <w:rPr>
          <w:rFonts w:ascii="arial" w:eastAsia="arial" w:hAnsi="arial" w:cs="arial"/>
          <w:color w:val="000000"/>
          <w:sz w:val="20"/>
          <w:lang w:val="en-US" w:eastAsia="en-US" w:bidi="ar-SA"/>
        </w:rPr>
        <w:t xml:space="preserve"> that he had prepared with respect to the project. The </w:t>
      </w:r>
      <w:r>
        <w:rPr>
          <w:rFonts w:ascii="arial" w:eastAsia="arial" w:hAnsi="arial" w:cs="arial"/>
          <w:i/>
          <w:color w:val="000000"/>
          <w:sz w:val="20"/>
          <w:lang w:val="en-US" w:eastAsia="en-US" w:bidi="ar-SA"/>
        </w:rPr>
        <w:t>pro forma</w:t>
      </w:r>
      <w:r>
        <w:rPr>
          <w:rFonts w:ascii="arial" w:eastAsia="arial" w:hAnsi="arial" w:cs="arial"/>
          <w:color w:val="000000"/>
          <w:sz w:val="20"/>
          <w:lang w:val="en-US" w:eastAsia="en-US" w:bidi="ar-SA"/>
        </w:rPr>
        <w:t xml:space="preserve"> showed a construction start date of October 2006 and a construction completion date of June 2007; costs of just under $7.3 million; and net sale proceeds of just under $8.5 million. Mr. Callaghan also gave Mr. Murray a copy of a real estate appraisal, completed in February of 2006, which appraised the value of the land at over $1,100,000.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Murray agreed to invest in the project and on August 14, 2006, Mr. Glowicki's company (a numbered Alberta company), Taynton, Jasmur, and 0765647 B.C. Ltd. executed a co-owners agreement and a bare trust agreement creating the Joint Venture. Mr. Glowicki's company, Taynton, and Jasmur also signed an appointment of manager agreement, naming Taynton the manager pursuant to the co-owners agreement. The co-owners agreement spelled out the respective interests of the parties, with Mr. Glowicki's company holding 45% of the Joint Venture, Mr. Murray's company holding 45% of the Joint Venture, and Taynton holding 10% of the Joint Venture.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Relevant provisions of the co-owners agreement include: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Co-Owners wish to provide for the continued good management of the Joint Venture and believe that it is in their best interest to provide for continuity of ownership;</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0765647 has entered into a bare trust agreement (the "Bare Trust Agreement") dated for reference August 14, 2006 whereby 0765647 agreed that it will hold the Joint Venture as a going concern and the Assets of the Joint Venture (hereinafter defined) as agent for the Co-Owners in accordance with the Respective Interests (hereinafter defined);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3.1 The Co-Owners hereby declare themselves to be Co-Owners carrying on business as tenants in common each as to their undivided Respective Interest. The Co-Owners agree that this Agreement will govern and define their respective rights, interests, powers, liabilities and obligations with respect to the Joint Venture and the Assets of the Joint Venture, and this Agreement will continue in full force and effect until terminated in accordance with the terms of this Agreement.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3.3 Nothing herein contained will be construed as creating the relationship of partnership between any of the Co-Owners or between any of the Co-Owners and 0765647, nor will the Assets of the Joint Venture or any of them be deemed to be partnership property.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3.4 Except as provided herein, no Co-Owner will have any right or ability to bind any other Co-Owner, whether in relation to the Joint Venture, the Assets of the Joint Venture, or otherwise, and nothing contained herein will be construed as creating any agency between the Co-Owners.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3.8 Each Co-Owner will have the right to engage in other ventures, investments, businesses and activities, whether or not of the same nature as the Joint Venture, for its own individual gain. No Co-Owner will by reason of the Joint Venture have any interest or claim in any other property owned by the others or in any venture, investment, business or activity engaged in by the others.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4.1 A Co-Owners committee (the "Co-Owners Committee") is hereby established for the purposes hereinafter set forth. The Co-Owners Committee will consist of one representative of each of the Co-Owners.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4.2 The Co-Owners acting together will, through the Co-Owners Committee, have full and complete charge of the conduct of the business and affairs of the Joint Venture.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4.9 Any matter relating to the Joint Venture which, considered at a time that a decision is to be made or any action is to be taken in relation thereto, may reasonably be expected to have a material affect on the Joint Venture (a "Material Matter") will be duly approved only if:</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approved by the affirmative votes, at a properly held meeting of the Co-Owners Committee, of the representatives of Co-Owners holding in the aggregate not less than 75% of the Aggregate Respective Interests; or</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consented to in writing by each of the Co-Owners.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4.10 Without limiting the generality of Section 4.9 hereof, the Material Matters include in particular: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5"/>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payment of any salary or remuneration to any Co-Owner; and</w:t>
      </w:r>
    </w:p>
    <w:p>
      <w:pPr>
        <w:numPr>
          <w:numId w:val="6"/>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termination and appointment of the Manager (as defined herein).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4.15 The Co-Owners Committee may from time to time appoint a Manager (the "Manager") and may from time to time terminate such appointment. The Co-Owners Committee may delegate such power and authority to the Manager as the Co-Owners Committee deems advisable. In the absence of any restrictions or limitations as may be imposed or made from time to time by the Co-Owners Committee, or as may be provided for herein and in particular subject to Section 4.8 and Section 4.9 hereof, the Manager will have full and complete charge of the day to day operations, in the ordinary course of business, of the Joint Venture. The Manager will also have such further power and authority as the Co-Owners Committee may from time to time delegate to the Manager.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4.16 The Manager will observe and comply with any direction, restriction, or limitation given, made, or imposed by the Co-Owners Committee, and in particular, with any decision or policy of the Co-Owners Committee as to the Material Matters. The Manager will not take any action, expend any money, or incur any obligation in respect of any of the Material Matters unless such action, expenditure, or obligation has been approved by the Co-Owners Committee in accordance with this Agreement.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4.18 The Manager will exercise its duties, powers and authorities in good faith to the best of its ability, in the best interests of the Co-Owners, and in a proper and business-like manner. So long as the Manager does so, then notwithstanding anything to the contrary herein contained the Manager will not be liable for any act or omission or any loss or damage resulting from any act or omission in respect of the performance by the Manager of its duties, powers and authorities hereunder.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7.1 Full, complete and accurate books of account and records of the Joint Venture with respect to the business, operation and financial affairs of the Joint Venture will be kept and maintained at the principal office of the Joint Venture.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7.2 All financial transactions of the Joint Venture will be recorded and accounted for in the books and records of the Joint Venture in accordance with sound accounting practices.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7.6 The Co-Owners confirm the appointment of Grant Thornton, Chartered Accountants, of Kelowna, British Columbia, as accountants for the Joint Venture.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Relevant portions of the appointment of manager agreement provided: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1128911 Alberta Ltd., Taynton Developments Inc. and 0765816 B.C. Ltd. hereby appoint Taynton Developments Inc., of Kelowna, British Columbia as the Manager of the Joint Venture in accordance with the Co-Owners Agreement commencing the 14th day of August 2006 which appointment will remain in effect until such time as said appointment is terminated in accordance with the Co-Owners Agreement. It is agreed that Taynton Developments Inc. will be paid the sum of Ten Thousand Eight Hundred and Fifty Four Dollars ($10,854.00) per month plus applicable G.S.T. as remuneration for its services as Manager. Said appointment may be terminated upon one month's notice to Taynton Developments Inc.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For value received, Taynton Developments Inc. acknowledges that it has received an executed copy of the Co-Owners Agreement and that it has reviewed the provisions thereof including in particular Article 4 thereof, hereby accepts said appointment, and hereby agrees to perform and discharge the duties, powers and authorities of Manager as provided for in the Co-Owners Agreement and to observe and comply with the provisions thereof pertaining to the Manager.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In September 2006, Mr. Glowicki expressed some concern about his continued involvement in the project. Mr. Murray made some investigations and inquiries about the viability of the project. He spoke to Mr. Callaghan, who expressed confidence in the numbers set out in the </w:t>
      </w:r>
      <w:r>
        <w:rPr>
          <w:rFonts w:ascii="arial" w:eastAsia="arial" w:hAnsi="arial" w:cs="arial"/>
          <w:i/>
          <w:color w:val="000000"/>
          <w:sz w:val="20"/>
          <w:lang w:val="en-US" w:eastAsia="en-US" w:bidi="ar-SA"/>
        </w:rPr>
        <w:t>pro forma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early November 2006, Mr. Glowicki formally triggered the shotgun provisions in the co-owners agreement. At that time, pursuant to the agreement signed on August 14, 2006, Taynton had received payment on account of pre-development work and had been paid management fees for September and October. No actual construction work had begun on the project. Mr. Murray took the position that the management agreement with Taynton should be suspended until the issue with respect to the exercise of the shotgun clause had been resolved. Mr. Murray testified that Mr. Callaghan agreed, while Mr. Callaghan denied agreeing, to the suspension and said that if he agreed it was not voluntary.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Murray analyzed the co-owners agreement and he developed a plan for how he and Mr. Callaghan could maintain control of the Joint Venture and minimize the amount that had to be paid to Mr. Glowicki's company for its interest in the Joint Venture. The strategy suggested by Mr. Murray and agreed to by Mr. Callaghan was for Mr. Callaghan to exercise an option that he had pursuant to the co-owners agreement to increase his stake in the Joint Venture from 10% to 33.33%. Employing that strategy, the amount of money that had to be paid to Mr. Glowicki's company for its interest in the Joint Venture was reduced significantly. Further, Mr. Murray suggested that the management fee be reinstated and charged to the Joint Venture before Mr. Glowicki's company was bought out, so that Mr. Glowicki's company was required to pay its share of the management fees, with the reinstated management fees to be split between Mr. Murray and Mr. Callaghan. Both of those strategies were in fact employed in the course of buying Mr. Glowicki's company's interest in the Joint Venture.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After all of the transfers of interest had been completed, Mr. Murray and Mr. Callaghan signed an amending agreement dated January 12, 2007, setting out their respective ownership as 33.33% to Taynton and 66.66% to Jasmur. The day following all of the transactions, Mr. Murray and Mr. Callaghan signed a further document amending their respective interests such that Jasmur owned a 72% interest and Taynton owned a 28% interest. That same day the management agreement was again terminated by Mr. Murray, effective the day of the final transfer of Mr. Glowicki's company's interest in the Joint Venture.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Callaghan and Mr. Murray discussed the possibility of finding another investor or selling the land. In the end, they decided to proceed together with the Gardena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issues with respect to Mr. Glowicki's company had been a distraction and had consumed significant energy and attention between September of 2006 and January of 2007. The Joint Venture needed money before any construction could commence. It became apparent, after a meeting between Mr. Murray and a banker in early 2007, that conventional lending would not be immediately available for the Gardena project, as Mr. Murray was told that a bank would require at least 50% of the townhouse units of the project to be presold before traditional bank financing would be provided.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In February 2007, Mr. Callaghan suggested approaching his friend Mr. Edmunds about obtaining bridge financing for the Gardena project. Mr. Murray agreed. Mr. Callaghan approached Mr. Edmunds and they had some discussions about the Gardena project. Mr. Callaghan advised Mr. Edmunds that the project had stalled because the Joint Venture needed presales in order to get bank financing. He said the Joint Venture was interested in obtaining bridge financing until such time as conventional financing could be obtained. In March 2007, Mr. Callaghan and Mr. Edmunds exchanged emails about the project and about financing. Information provided by Mr. Callaghan to Mr. Edmunds included an updated </w:t>
      </w:r>
      <w:r>
        <w:rPr>
          <w:rFonts w:ascii="arial" w:eastAsia="arial" w:hAnsi="arial" w:cs="arial"/>
          <w:i/>
          <w:color w:val="000000"/>
          <w:sz w:val="20"/>
          <w:lang w:val="en-US" w:eastAsia="en-US" w:bidi="ar-SA"/>
        </w:rPr>
        <w:t>pro forma.</w:t>
      </w:r>
      <w:r>
        <w:rPr>
          <w:rFonts w:ascii="arial" w:eastAsia="arial" w:hAnsi="arial" w:cs="arial"/>
          <w:color w:val="000000"/>
          <w:sz w:val="20"/>
          <w:lang w:val="en-US" w:eastAsia="en-US" w:bidi="ar-SA"/>
        </w:rPr>
        <w:t xml:space="preserve"> Mr. Murray had been working on the numbers in the </w:t>
      </w:r>
      <w:r>
        <w:rPr>
          <w:rFonts w:ascii="arial" w:eastAsia="arial" w:hAnsi="arial" w:cs="arial"/>
          <w:i/>
          <w:color w:val="000000"/>
          <w:sz w:val="20"/>
          <w:lang w:val="en-US" w:eastAsia="en-US" w:bidi="ar-SA"/>
        </w:rPr>
        <w:t>pro forma</w:t>
      </w:r>
      <w:r>
        <w:rPr>
          <w:rFonts w:ascii="arial" w:eastAsia="arial" w:hAnsi="arial" w:cs="arial"/>
          <w:color w:val="000000"/>
          <w:sz w:val="20"/>
          <w:lang w:val="en-US" w:eastAsia="en-US" w:bidi="ar-SA"/>
        </w:rPr>
        <w:t>, together with Mr. Callaghan, and some of the numbers were different than those contained in the original version provided to Mr. Murray in the summer of 2006. Mr. Callaghan also provided a financing proposal summary for Mr. Edmunds' review. It proposed that the maximum term for the bridge financing would be 18 months, with a target for three to four months, dependent upon achieving 50% presales of the townhouse units.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After meeting with Mr. Callaghan and Mr. Murray, Mr. Edmunds advised that he was not interested in being an investor in the project, nor the lender for the whole of the project, but he did agree to provide bridge financing until the Joint Venture was able to get traditional bank financing. At the same time, unbeknownst to Mr. Callaghan, Mr. Edmunds agreed to loan just under $100,000 to Mr. Murray, which was calculated to be 10% of the value of Jasmur's investment in the Joint Venture, with the term that Mr. Edmunds would be paid back the principal of the loan plus 10% of whatever Jasmur made in the Joint Venture.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On June 27, 2007, the OKM Joint Venture (0765647 B.C. Ltd.) and Robert Edmunds entered into a secured loan agreement, a promissory note, a debenture, and a security agreement, all of which documents were prepared by Mr. Edmunds' lawyer. The secured loan agreement provided that Mr. Edmunds would loan, by way of draw down as a line of credit, up to $2 million to OKM. The interest rate for the loan was set at 10%, calculated daily and payable quarterly. The secured loan agreement also provided an option, exercisable by Mr. Edmunds in his sole and absolute discretion, to advance a further $1 million to OKM on the same terms and conditions. The loan was to be repaid in full not later than December 27, 2008. The secured loan was registered as a first charge against the 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July 2007, shortly after the agreements were executed, the first draw of funds from Mr. Edmunds was taken and site servicing began.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After the agreement for financing had been reached, but before the first draw, Mr. Murray agreed that the project management agreement would be reinstated. Mr. Murray drafted a reinstatement document, which provided that the maximum amount to be paid out for project management fees from that date forward was to be $98,000 including all applicable taxes; that all project management fees were to be drawn from the project financing; and that the project management fee was reinstated retroactive to April 1, 2007, and presented it to Mr. Callaghan for signature. The cap on project management fees was based on the figures in the </w:t>
      </w:r>
      <w:r>
        <w:rPr>
          <w:rFonts w:ascii="arial" w:eastAsia="arial" w:hAnsi="arial" w:cs="arial"/>
          <w:i/>
          <w:color w:val="000000"/>
          <w:sz w:val="20"/>
          <w:lang w:val="en-US" w:eastAsia="en-US" w:bidi="ar-SA"/>
        </w:rPr>
        <w:t>pro forma</w:t>
      </w:r>
      <w:r>
        <w:rPr>
          <w:rFonts w:ascii="arial" w:eastAsia="arial" w:hAnsi="arial" w:cs="arial"/>
          <w:color w:val="000000"/>
          <w:sz w:val="20"/>
          <w:lang w:val="en-US" w:eastAsia="en-US" w:bidi="ar-SA"/>
        </w:rPr>
        <w:t xml:space="preserve"> less amounts paid to date. The project management fees then owing were paid from the first draw.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Aside from site servicing, little if any work was done on the project in the early fall of 2007. Mr. Callaghan was actively attempting to get the architectural drawings that were required in order to obtain building permits from the City of Kelowna, and until the building permits were received, no work on the buildings themselves could commence. Mr. Murray testified that he and Mr. Callaghan had to effectively camp out at Mr. Scholl's office to get the drawings. Mr. Murray understood that those drawings were required before engineered drawings, truss drawings, and permits could be obtained. Mr. Callaghan also testified that there were delays encountered in getting the required drawings. He and Mr. Murray drove to Mr. Scholl's office to get the drawings, only to be told the draftsman had them. They drove to the draftsman's office and were told he had not done the drawings, as he had not been paid by Mr. Scholl. The problems with the drawings were finally resolved by OKM paying out Mr. Scholl and dealing directly with the draftsman to get the drawings, at which time the process of obtaining further drawings and building permits could continue.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At the same time, there were meetings taking place between Mr. Callaghan and a lawyer with respect to the preparation of the disclosure statement for the Gardena project, which was required before sales or presales could take place. Numerous other steps were being taken that fall, including meetings with designers and realtors.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During the fall of 2007, Mr. Murray worked on setting up a website for the project, assisting Mr. Callaghan with respect to obtaining the drawings, looking at marketing materials, preparing cash flow analyses, and trying to create schedules.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the late fall of 2007, Mr. Callaghan hired Ellwood Excavation to provide excavation services for the project. Mr. Callaghan testified that he had intended to use, and previously had used, a full-service excavation contractor, but at the time he needed an excavation contractor for this project the construction industry was very, very busy and he was finding it very difficult to find trades who would bid on jobs let alone be available to work on jobs. He testified that there were many instances when trades would not even return his calls. When he contacted the excavation contractor he normally used, the excavation contractor gave him a square foot price but was not prepared to look at the drawings at that time and advised that it would be a while before they could ever get to working on the project. Mr. Callaghan testified that the buildings at the Gardena project were unique. They required excavation, compacting with specific engineered or structural fills, and then testing with an engineer.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When he was unable to find a full-service contractor, Mr. Callaghan decided to use Karl Ellwood, who ran Ellwood Excavation. Mr. Ellwood was an equipment operator with a small excavator that was not sufficient for the job. Consequently, Mr. Callaghan decided that he would in essence act as the foreman or superintendent for Ellwood Excavation. He hired additional machinery for the job, coordinated with the consultants and the civil engineer, and hired additional labour as necessary. He purchased material for the site and coordinated delivery of the material to the site. He measured grades and provided some of the fuel for the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It was Mr. Callaghan's view that the services he provided as part of the excavation contracting work were over and above his project management or site supervision roles with the Joint Venture. He testified that he effectively had no relationship with Mr. Murray at this point in time, who had previously unilaterally terminated his project management fees on two occasions and capped his project management fees to the amount set out in the </w:t>
      </w:r>
      <w:r>
        <w:rPr>
          <w:rFonts w:ascii="arial" w:eastAsia="arial" w:hAnsi="arial" w:cs="arial"/>
          <w:i/>
          <w:color w:val="000000"/>
          <w:sz w:val="20"/>
          <w:lang w:val="en-US" w:eastAsia="en-US" w:bidi="ar-SA"/>
        </w:rPr>
        <w:t>pro forma</w:t>
      </w:r>
      <w:r>
        <w:rPr>
          <w:rFonts w:ascii="arial" w:eastAsia="arial" w:hAnsi="arial" w:cs="arial"/>
          <w:color w:val="000000"/>
          <w:sz w:val="20"/>
          <w:lang w:val="en-US" w:eastAsia="en-US" w:bidi="ar-SA"/>
        </w:rPr>
        <w:t>. He was confident that Mr. Murray would not approve of him receiving extra compensation for the excavation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Consequently, without advising Mr. Murray he was doing so, he made special arrangements with Mr. Ellwood. In November and December 2007 he prepared, for Mr. Ellwood and in the name of Ellwood Excavation, two quotes for excavation work to be done on the Gardena project, addressed to OKM. Once the excavation work commenced, in December 2007, Mr. Callaghan acknowledged that he received invoices from Mr. Ellwood, which were handwritten in a receipt book. He then created what he called "proper invoices", adding his time, materials and other costs to Mr. Ellwood's handwritten costs, and that is what he submitted to OKM for payment. Payments were then made by OKM to Ellwood Excavation for the full amount of the invoices prepared by Mr. Callaghan. Ellwood Excavation then turned around and made payments to Taynton, Max Mechanical or Antrim, as directed by Mr. Callaghan.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According to the accounting performed by the expert called on behalf of the plaintiffs, Ellwood Excavation received a total of $336,642 from OKM, Taynton, Antrim, and Max Mechanical. Of that sum, $193,652 was paid back out, with the result that Ellwood received a net sum of $142,990 for the OKM work. However, the accountant has, in making those calculations, attributed $33,715 worth of transactions in Mr. Ellwood's business bank account as "payments for the benefit of Gary Callaghan". There is no evidence before me that would satisfy me that those in fact were transactions for the benefit of Mr. Callaghan. Consequently, I am satisfied that Ellwood Excavation received $176,705. It was Mr. Callaghan's evidence that OKM received good value for the amount paid to Ellwood Excavation over the course of the Gardena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Pursuant to the reinstatement of management agreement, the project management fees had been exhausted by the end of 2007. Mr. Callaghan proposed to Mr. Murray that he be the site supervisor and be paid, through Taynton, site supervision fees from the </w:t>
      </w:r>
      <w:r>
        <w:rPr>
          <w:rFonts w:ascii="arial" w:eastAsia="arial" w:hAnsi="arial" w:cs="arial"/>
          <w:i/>
          <w:color w:val="000000"/>
          <w:sz w:val="20"/>
          <w:lang w:val="en-US" w:eastAsia="en-US" w:bidi="ar-SA"/>
        </w:rPr>
        <w:t>pro forma</w:t>
      </w:r>
      <w:r>
        <w:rPr>
          <w:rFonts w:ascii="arial" w:eastAsia="arial" w:hAnsi="arial" w:cs="arial"/>
          <w:color w:val="000000"/>
          <w:sz w:val="20"/>
          <w:lang w:val="en-US" w:eastAsia="en-US" w:bidi="ar-SA"/>
        </w:rPr>
        <w:t xml:space="preserve"> commencing in January 2008. Mr. Murray agreed. The budgeted amount of site supervision fees were divided by 12 and those fees were paid by OKM to Taynton from January to December,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On December 19, 2007, Mr. Murray emailed Mr. Callaghan stating that his company needed to be paid $10,000 for the efforts Mr. Murray had expended in project planning, website design, and his regular tweaking to the </w:t>
      </w:r>
      <w:r>
        <w:rPr>
          <w:rFonts w:ascii="arial" w:eastAsia="arial" w:hAnsi="arial" w:cs="arial"/>
          <w:i/>
          <w:color w:val="000000"/>
          <w:sz w:val="20"/>
          <w:lang w:val="en-US" w:eastAsia="en-US" w:bidi="ar-SA"/>
        </w:rPr>
        <w:t>pro forma</w:t>
      </w:r>
      <w:r>
        <w:rPr>
          <w:rFonts w:ascii="arial" w:eastAsia="arial" w:hAnsi="arial" w:cs="arial"/>
          <w:color w:val="000000"/>
          <w:sz w:val="20"/>
          <w:lang w:val="en-US" w:eastAsia="en-US" w:bidi="ar-SA"/>
        </w:rPr>
        <w:t xml:space="preserve"> document that had initially been prepared by Mr. Callaghan. He then invoiced OKM for that sum and the invoice was paid.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January 2008, Max Mechanical was incorporated. Mr. Callaghan testified that he was unable to find a plumbing and mechanical contractor for the project. The project had to get going, and he decided to effectively do the plumbing and mechanical work the same way he was doing the excavating contract. He testified that he spoke to his brother-in-law, Mr. Schreider, about starting a plumbing and mechanical contracting business. He then arranged for the incorporation of the company, with Mr. Schreider as the sole director. Both Mr. Callaghan and Mr. Schreider had signing authority for the company's bank accounts.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Mr. Callaghan found a plumber, Danny Lafortune, who did not have his ticket for plumbing but who worked under his father's company when he needed to obtain permits. Mr. Callaghan hired him to do the plumbing and mechanical work for the Gardena project. Mr. Callaghan worked with Mr. Lafortune, on his evidence, and did much of the complicated plumbing work, particularly in the water entry room for the complex. He acted as the site foreman, ordered equipment and material, and hired casual labour as required, in addition to his labour. Mr. Lafortune did not provide any invoices. He would tell Mr. Callaghan at the end of each week what he was owed, and request immediate payment. Mr. Callaghan then prepared invoices in the name of Max Mechanical and submitted them to OKM for payment.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Mr. Callaghan did not tell Mr. Murray of his involvement with Max Mechanical. His reason for not having done so was the same as his reason for not disclosing his involvement with Ellwood Excavation. Essentially, he testified he believed that Mr. Murray would have refused to compensate him for his efforts, and would have insisted that the job get done, whether trades could be found or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It was Mr. Callaghan's evidence that the amounts charged to OKM by Max Mechanical were not overinflated, and that OKM had been provided good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February 2008, the first building permits were issued by the City of Kelowna. By that time, the holes for the buildings had been excavated and some of the building walls had been pre-framed.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Once the building permits were issued, construction started in earnest. The original plan, as proposed by Mr. Callaghan to Mr. Murray, and later to Mr. Edmunds, was that the focus of construction would be on three of the six buildings that comprised the Gardena project, one of which buildings would contain the unit to be developed into the show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Mr. Callaghan testified that he deviated from the plan. He said the deviation was driven by two main factors. The City of Kelowna announced that the development cost charges ("DCC") it levies on new construction would be increasing. Mr. Callaghan understood that if the buildings were not all commenced before the increase took effect, there would be an increase in the DCC per building of $35,000 to $40,000. Further, the real estate market was very hot, and he was finding it difficult to find trades. The framing contractor advised that he would be unable to commit to returning to the site if he framed only three buildings and that if he had to leave after three buildings and return at a later date, the price would increase. Consequently, Mr. Callaghan decided, and directed, that foundations be dug and framing done for all six buildings.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Mr. Murray testified that he was not aware of the change of plans until he attended the site in March of 2008 and saw what was being done. Mr. Callaghan testified that he recalled discussing the increased development cost charges with Mr. Murray and that the change to the plans was not unilateral.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In June 2008, Mr. Callaghan contacted Mr. Edmunds seeking to have Mr. Edmunds exercise his option to loan the Joint Venture a further $1 million. Mr. Edmunds agreed that he would start the paperwork, but said he wanted to come out and see the Gardena project before any further funds were advanced.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Mr. Edmunds arrived at the site on June 16, 2008. At that time, there were six buildings, fully framed and fully roofed. Although Mr. Edmunds testified that he was not happy about the fact that the full project was being built out and that no show home was ready yet, he agreed to advance the further $1 million. Consequently, a first supplemental debenture, a first supplemental security agreement, a first amending agreement to the secured loan agreement, and a modification to the mortgage were prepared, signed and, in the case of the modification of the mortgage, registered.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Construction continued and by the fall of 2008 there was still no completed show home. Interest on the loan was a significant expense. Mr. Murray testified that it was clear to him that the joint venturers were having to use the loan capital for the purpose of paying the interest on the loan. Consequently, he suggested that the interest payments on the loan be capitalized. From October 4, 2008 onward the interest was capitalized. By that same date, the increased loan amount of $3 million had been fully drawn. There were no presales and consequently no prospect of obtaining bank financing. Mr. Callaghan approached Mr. Murray about increasing the loan over the $3 million already advanced.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All of Mr. Callaghan, Mr. Murray and Mr. Edmunds were well aware of what had happened to the world-wide economy in mid-2008. The housing market, including in Kelowna, had collapsed.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Mr. Edmunds travelled to Kelowna to meet with Mr. Murray and Mr. Callaghan and to view the project in late November 2008. As Mr. Edmunds described the situation, as of the fall of 2008 the loan was stalled at $3 million, the joint venturers had no more money, there was a partially finished project, and there was a dismal economic climate. He wanted to see where the funds he had advanced had been spent and he asked to review the books of the Joint Venture. That review took place during his visit to Kelowna in November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Although the original </w:t>
      </w:r>
      <w:r>
        <w:rPr>
          <w:rFonts w:ascii="arial" w:eastAsia="arial" w:hAnsi="arial" w:cs="arial"/>
          <w:i/>
          <w:color w:val="000000"/>
          <w:sz w:val="20"/>
          <w:lang w:val="en-US" w:eastAsia="en-US" w:bidi="ar-SA"/>
        </w:rPr>
        <w:t>pro forma</w:t>
      </w:r>
      <w:r>
        <w:rPr>
          <w:rFonts w:ascii="arial" w:eastAsia="arial" w:hAnsi="arial" w:cs="arial"/>
          <w:color w:val="000000"/>
          <w:sz w:val="20"/>
          <w:lang w:val="en-US" w:eastAsia="en-US" w:bidi="ar-SA"/>
        </w:rPr>
        <w:t xml:space="preserve"> had included a line item for bookkeeping, as a way to trim overhead Mr. Murray and Mr. Callaghan had agreed that Mr. Callaghan would essentially "keep the books", which he did, without any specific training in accounting or bookkeeping, by using Simply Accounting software.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When Mr. Edmunds and Mr. Callaghan met with respect to the books and financial records of the Joint Venture, Mr. Edmunds received the Simply Accounting records only, without backup documentation. He conducted a review of the documents and spoke to Mr. Callaghan about why Mr. Callaghan was issuing accounts to OKM which included Taynton's services as well as rebilled third-party costs, with the result that the money flowed from OKM to Taynton rather than directly to third parties who provided materials or services to the project. He expressed concern about that practice and on his request Mr. Callaghan agreed that he would not continue to bill in that fashion and thereafter he did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In December 2008, Mr. Edmunds agreed to increase the loan amount by a further $2 million. As he described it in his evidence, he was not happy with how things had gone to that point in time, but the economy was melting down and the process of foreclosing and "picking up a flailing project in Kelowna" did not interest him. Once he agreed to loan the further funds, he had all necessary amending documents prepared and executed, and they were registered as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Mr. Murray had become concerned about the progress of the construction and began requesting financial information from Mr. Callaghan. He eventually attended at the Credit Union, where the Joint Venture banked, to obtain copies of the Joint Venture's bank statements. He noticed a deposit had been made into OKM's account for approximately $104,000 in December 2008. When he queried Mr. Callaghan about the deposit, Mr. Callaghan told him that it was a refund for project materials that were not required and which had been returned to a supplier.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In December of 2008, the full amount of the site supervision fees, as envisioned in the </w:t>
      </w:r>
      <w:r>
        <w:rPr>
          <w:rFonts w:ascii="arial" w:eastAsia="arial" w:hAnsi="arial" w:cs="arial"/>
          <w:i/>
          <w:color w:val="000000"/>
          <w:sz w:val="20"/>
          <w:lang w:val="en-US" w:eastAsia="en-US" w:bidi="ar-SA"/>
        </w:rPr>
        <w:t>pro forma</w:t>
      </w:r>
      <w:r>
        <w:rPr>
          <w:rFonts w:ascii="arial" w:eastAsia="arial" w:hAnsi="arial" w:cs="arial"/>
          <w:color w:val="000000"/>
          <w:sz w:val="20"/>
          <w:lang w:val="en-US" w:eastAsia="en-US" w:bidi="ar-SA"/>
        </w:rPr>
        <w:t xml:space="preserve"> and discussed when Mr. Callaghan took over site supervision duties, had been exhausted. Mr. Callaghan approached Mr. Murray about continuing to be paid for site supervision into 2009, but Mr. Murray refused.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Work continued on the project in 2009, although it was Mr. Murray's perception that the construction had slowed down dramatically.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In May 2009, Mr. Edmunds received a telephone call from an employee of AcuTruss, a supplier to the project, which had placed a lien on the land for non-payment of outstanding invoices of approximately $32,000 plus interest. Mr. Edmunds paid out the lien and contacted Mr. Callaghan about it. Mr. Callaghan confessed to him that the Joint Venture had actually paid Taynton for the invoices in November of 2008, but that Taynton had not paid the liened amount to the supplier as he needed the money to live on. He explained to Mr. Edmunds that he was not receiving any pay for his work on the project. He did not disclose his arrangements with Ellwood Excavation or Max Mechanical. Mr. Edmunds again asked to review the books and records of the Joint Venture and indicated he would not advance any further funds until there was full financial production supplied by Mr. Callaghan. Mr. Edmunds did not inform Mr. Murray about the lien.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In June 2009, Mr. Callaghan, Mr. Murray and Mr. Edmunds met in Kelowna to discuss getting the project back on track. It was agreed that Mr. Callaghan would deliver the Joint Venture books and records to Mr. Murray, who would take over all bookkeeping and financial matters so that Mr. Callaghan could focus on construction. There was also discussion about finding a way to ensure Mr. Callaghan received some pay for his work, although the only proposals put forward by Mr. Edmunds and Mr. Murray involved Mr. Callaghan receiving, in effect, advances on his eventual profit from the project, or funds as a loan, with the exception of a small portion which would cover gas and communication. Mr. Callaghan did not respond to the proposals.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On the July long weekend in 2009, the show home for the project opened. Despite the opening of the show home, there continued to be no presales.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Through the summer months, it was the perception of Mr. Murray and Mr. Edmunds that there was little progress on the site. The process of transferring the books and records from Mr. Callaghan to Mr. Murray took some time, but the transition was complete as of September 2009. In early September Mr. Edmunds and Mr. Murray spent four days reviewing the books and records, and in particular looked for back-up documentation for various transactions. As a result of their efforts several questions arose, including with respect to particular suppliers. Mr. Edmunds asked Mr. Murray to track down and verify invoices and payments for some of the larger suppliers. Mr. Murray followed up and found two suppliers, Max Mechanical and Ellwood Excavation, were difficult to trace.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By October 2009, Mr. Edmunds had advanced $4 million of the $5 million he had agreed to loan. The project was not progressing as hoped and Mr. Callaghan requested another draw. Mr. Edmunds advised Mr. Murray and Mr. Callaghan that he was not prepared to advance any further funds until Mr. Callaghan provided details of how the funds advanced in June of 2009 had been spent. There was no response.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Mr. Edmunds suggested to Mr. Murray that he contact his friend, Rob Cote, about taking over supervision of the construction of the project. Mr. Cote is the principal of a company called Lone Wolf Homes Ltd. ("Lone Wolf"), which operates as a general contractor doing construction jobs ranging from renovations to custom homes to project management. Mr. Murray was initially reluctant to contact Mr. Cote, as he wanted Mr. Callaghan to finish the project, without further compensation for site supervision, as he believed Mr. Callaghan had promised to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A meeting was called between Mr. Edmunds, Mr. Callaghan and Mr. Murray for October 29, 2009. The day before the meeting, Mr. Callaghan sent a fax to Mr. Edmunds and Mr. Murray attaching invoices for site supervisor fees for the months of January through October of 2009 and advising that if he was not paid he would resign. When the meeting took place, Mr. Edmunds advised Mr. Callaghan that he and Mr. Murray had significant issues arising from the review of the books for OKM and he asked Mr. Callaghan to provide copies of Taynton's books and records. When Mr. Edmunds and Mr. Murray refused to pay the site supervision invoices, Mr. Callaghan left the meeting. Mr. Edmunds and Mr. Murray decided to speak to Mr. Cote and ask him to make a proposal to complete the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Mr. Cote made a detailed proposal, in writing, after doing a review of the site. Mr. Edmunds, Mr. Callaghan and Mr. Murray accepted the proposal and Mr. Cote started working on the site on approximately November 11, 2009. Mr. Cote had no responsibility for accounting or financial matters for the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On the recommendation of Mr. Cote, Mr. Murray and Mr. Edmunds decided to proceed with a formally phased project, for strata purposes, with buildings 1, 2 and 3 designated as phase 1, and 4, 5 and 6 as phase 2. Mr. Cote, in the Lone Wolf proposal, proposed that his work also be divided into phases. The Lone Wolf quote was expressly provided to be for the completion of buildings 1 and 2, which were each four-plexes, and taking building 3, a duplex, as well as the buildings included in phase 2, buildings 4, 5 and 6, to lockup/weathertight stage. The quote provided target dates of December 30, 2009, for the completion of building 1; February 22, 2010, for completion of building 2; and February 26, 2010, for having building 3, as well as the phase 2 buildings to the lockup/weathertight stage. Mr. Cote estimated his potential start date as being November 2, 2009, with three weeks of pre-construction work followed by a resumption of construction on November 30, 2009, or sooner if possible. For the period up to and including the end of February 2010, the quoted project management fee was $32,000 plus GST, based on a duration of four months. The proposal provided that if the project took longer, due to unforeseen circumstances and/or the approval to continue building, a revised scheduled would be created and a monthly fee of $8,000 plus GST would apply.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Mr. Cote wanted to have all of the trades who had worked on the project to that point in time return to the project to finish it. He was able to reach of all of the trades except Max Mechanical. Eventually he hired a new contractor to finish the plumbing and mechanical work on the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With the departure of Mr. Callaghan from the site, and the retainer of Lone Wolf for site management, the project still required someone who could manage the finances of the project and make decisions with respect to the work to be performed on the project. Mr. Edmunds, who was concerned that the project complete so that he could recover the principal of the loan he had advanced to the project, asked Mr. Murray to stay on and to supervise the project through to completion. He was not prepared to put anything in writing, but he advised Mr. Murray that if he was able to get the principal of his loan amount back he would "take care" of Mr. Murray. Mr. Murray agreed and thereafter remained in essentially the role of project manager.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Lone Wolf remained on site and billed for 10 1/2 months of project management to what I understand to have been the conclusion of Lone Wolf's phase 1, as it was described in the Lone Wolf quote, plus the finishing of building 3. Lone Wolf invoiced each month, billing project management at the rate of $8,000 per month plus GST. In addition to the project management, Lone Wolf also invoiced for site labour of $1,200 in November, the pre-construction phase, and between $5,310 and $14,371 for the months of December through August 2010. The total project management fees charged by Lone Wolf to the conclusion of phase 1, plus the finishing of building 3, in September 2010 was $84,000, exclusive of taxes, and the total amount charged for site labour was $84,115, again exclusive of taxes.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work done by Lone Wolf had resulted in the completion of 10 residential units. OKM was able to sell two of those units in 2010 and the remaining eight units were sold in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Throughout the fall of 2009 and into 2010, Mr. Murray and Mr. Edmunds continued to review the books and records with respect to the project funds expended up to the time of Mr. Callaghan's departure. There were numerous items that raised concerns in their mind and most particularly they became focused on Max Mechanical and Ellwood Excavation.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Various investigations were undertaken by Mr. Murray with respect to Max Mechanical and with respect to Ellwood Excavation. The eventual result of the investigations was a determination that Max Mechanical was in fact a company associated with Mr. Callaghan. Mr. Murray was of the view that the invoices did not line up properly, specifically with respect to the work, the schedule, and the cost of work. Mr. Murray was also able to determine that although Max Mechanical was, according to the records of the Joint Venture, the mechanical contractor, the plumbing permits were issued to a company called DM&amp;R and in the name of a person named Richard Lafortune. With continued investigation, Mr. Murray eventually spoke to somebody who identified himself as Danny Lafortune, who acknowledged that he had worked at the project. Mr. Callaghan's evidence confirms that Danny Lafortune did in fact do much of the plumbing work at the project while Mr. Callaghan was the site supervisor.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With respect to Ellwood Excavation, Mr. Murray questioned Mr. Callaghan about that company. As a result, he understood that Ellwood Excavation was the subcontractor who did excavation work at the project. Mr. Murray was unable to contact that company and Mr. Callaghan advised him that Mr. Ellwood had moved to Washington and was only sporadically in British Columbia. Given the suspicions that arose from the inquiries about Max Mechanical and Ellwood Excavation, a more in-depth forensic type of investigation was commenced by Mr. Murray and Mr. Edmunds.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In March 2010, Mr. Edmunds wrote to Mr. Murray and Mr. Callaghan with respect to the loan. There was less than $100,000 left of the maximum principal sum of $5 million that had been agreed to that point in time. Mr. Edmunds advised Mr. Murray and Mr. Callaghan that before he would consider providing any further financing to the Joint Venture, he required amendments to the co-owners agreement which would have the effect of allowing Mr. Murray to have complete control of the project, including being the sole signatory for any and all bank accounts of the Joint Venture. An emergency co-owners committee meeting was convened, by way of notice as required by the terms of the co-owners agreement, for March 24, 2010. Mr. Callaghan advised he could not attend on that date. The meeting was adjourned to April 1, 2010, and the documents required to make the changes demanded by Mr. Edmunds were provided to Mr. Callaghan, who indicated he was not prepared to sign them until he had spoken to his own counsel. There were various communications with Mr. Callaghan, initiated by Mr. Murray and by counsel for the Joint Venture, requesting that the documentation be filed so that the further loan from Mr. Edmunds would be granted, but it was not until May 24, 2010, when Mr. Callaghan signed both the amendment to the co-owners agreement and all of the documentation required to increase the loan facility to $6 million with an option on the part of Mr. Edmunds to increase the loan facility to $6.5 million.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In June 2010, it was determined that there would need to be amendments to the disclosure statement with respect to the project. Mr. Callaghan was asked to sign the amended disclosure statement prepared by the Joint Venture's counsel, which he did but not until Mr. Murray physically tracked him 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In July 2010, Mr. Murray asked Mr. Callaghan to resign as a director of the numbered company, due to what Mr. Murray perceived were the difficulties in obtaining Mr. Callaghan's signature on corporate and other documents. Mr. Callaghan refused to sign the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In October 2010, Mr. Murray requested a further loan of $500,000 from Mr. Edmunds, and copied Mr. Callaghan in on the request. Mr. Edmunds took the position that he was unprepared to provide any further financing for the project until Mr. Callaghan was removed as a director. Mr. Callaghan did not ever respond to those requests for his resignation as the director.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In the course of their forensic-type investigation of the books and records of the Joint Venture, Mr. Edmunds decided he wanted the books and records for Mr. Callaghan's company, Taynton. He had made a loan to the Callaghans in the amount of $130,000 at 5.5% interest, secured by a mortgage against property owned by the Callaghans in Invermere, B.C., in February 2007. That loan had been in default for approximately two years. Mr. Edmunds contacted Mr. Callaghan about the default and the possibility that he would commence foreclosure proceedings, but he offered to hold off taking any steps if Mr. Callaghan permitted him to review the Taynton books and records with respect to payments made to it by OKM. Mr. Callaghan agreed but then did not provide access. Mr. Edmunds commenced foreclosure proceedings in May of 2010, which were halted when the personal loan was repaid in full that same month.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In January 2012, phase 2 work commenced on the project. After the sale of all of the units in phase 1, Lone Wolf returned to the site and billed for site management fees at the rate of $8,000 per month plus GST, for the months of January through June 2012, for total site management fees of $48,000 plus tax. In addition, site labour fees were charged, both with respect to general site costs and with respect to specific units. The general site labour costs charged between January and June 2012 totalled $37,710.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Six of the units in phase 2 were sold during 2012 and the remaining four units were sold in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With the sale of the last townhomes, the full principal of the outstanding loan owed by the Joint Venture to Mr. Edmunds was paid in full. A further $690,000 was available to be paid to him for interest. In keeping with his assurance to Mr. Murray that if Mr. Murray stayed on as the project manager and Mr. Edmunds was repaid the principal of his loan he would take care of Mr. Murray, Mr. Edmunds directed the Joint Venture to pay the $690,000 to Mr. Murray.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According to the evidence of Mr. Edmunds, who has essentially done the accounting for the Joint Venture since he became involved in the detailed review of the books in 2009, the Joint Venture lost $28,122 on townhome sales, specifically the difference between the cost of building and the revenue from sales, excluding capitalized interest paid. Over and above the $690,000 in capitalized loan interest that was paid, and turned over to Mr. Murray, the Joint Venture still owed interest in excess of $1.5 million to the end of 2013. The Joint Venture has paid over $300,000 in legal fees associated with this action. Although Mr. Murray received $690,000 from Mr. Edmunds, he has not received back his initial investment into the Joint Venture, which was in excess of $700,000. That sum has been lost. Similarly, Mr. Callaghan's investment in the Joint Venture which is recorded in the Joint Venture's books as having been approximately $220,000 has not been paid back and has been lost.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History of the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On November 17, 2010, Jasmur and Mr. Edmunds, as plaintiffs, commenced this action naming Taynton and Mr. Callaghan as defendants. On November 22, 2010, on a without notice application by the plaintiffs, an order was made restraining Mr. Callaghan and Taynton from disposing of their assets, including certain enumerated bank accounts; requiring that the defendants file affidavits of assets within 14 days; requiring the defendants to produce the accounting, financial and business records of Taynton and "Max Mechanical"; requiring named financial institutions to deliver information and supporting documentation with respect to certain enumerated accounts; and removing Mr. Callaghan as the director of the Joint Venture.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In December 2010, the plaintiffs filed an application seeking, among other things, an order finding Mr. Callaghan in contempt. A warrant for his arrest was issued on January 24, 2011. On February 14, 2011, Mr. Callaghan was before the court and special costs were awarded to the plaintiffs with respect to the attendance. Mr. Callaghan was ordered to provide documentation, complete with providing full explanation of any documents that could not be provided, before February 21,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On February 21, 2011, Mr. Callaghan and Taynton were found to be in contempt of the court, and were ordered to pay a fine in the amount of $5,000 on March 8, 2011. The fine was to be fully excused if the defendants complied with the terms of the November 22, 2010 order, by March 7, 2011. Then counsel for the plaintiffs certified non-compliance and filed the certification with the court by way of requisition on March 8,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On May 25, 2011, the plaintiffs amended the notice of civil claim, adding the OKM Joint Venture company as a plaintiff and adding the balance of the defendants now named in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On a further without notice application coming before the court on May 30, 2011, an order in substantially the same terms as the November 22, 2010 order was made restraining the additional defendants from disposing of their assets, and requiring production of books and records from the additional defendants as well as a variety of financial institutions.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On August 17, 2011, the plaintiffs took default judgment against Taynton, Mr. Callaghan, Max Mechanical, Antrim, Karl Ellwood, and Thomas Schreider. On August 19, 2011, a response to civil claim was filed on behalf of Ms. Callaghan.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In January 2012, the plaintiffs filed a notice of application seeking judgment against all of the named defendants, except Suzanne Callaghan, in the amount of $1,428,768.59 plus punitive and aggravated damages. The plaintiffs also sought various contempt orders, including orders for committal, against all of the individual defendants, including Ms. Callaghan.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On February 16, 2012, the court ordered that Mr. Callaghan, Taynton and Antrim had until April 19, 2012, to comply with the previous orders requiring disclosure of financial information. The matter was then adjourned.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On July 4, 2012, Mr. Callaghan was found in contempt of court and sentenced to a period of incarceration of 25 days. Mr. Callaghan, Taynton, and Antrim were also ordered to pay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On May 1, 2013, the plaintiffs filed an amended amended notice of civil claim. On May 29, 2013, counsel for Ms. Callaghan filed a response to the amended civil claim. Mr. Callaghan, Taynton, and Antrim, all represented by Mr. Callaghan personally, filed a response on May 30, 2013. On June 11, 2013, the plaintiffs took default judgment, with the amount to be assessed, against Max Mechanical and Mr. Schreider. On August 6, 2013, the plaintiffs took default judgment against Mr. Ellwood.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On September 11, 2013, the plaintiffs filed another notice of application seeking findings of contempt against Mr. Callaghan, Ms. Callaghan, Taynton and Antrim. On September 30, 2013, with counsel appearing for Mr. Callaghan, Taynton and Antrim for the first time, the court found that Mr. Callaghan, Taynton and Antrim were in contempt of court. Mr. Callaghan was sentenced to a period of incarceration in contempt for four months, which sentence was to be suspended until November 29, 2013, on a number of terms, requiring Mr. Callaghan to provide summaries of documents he had produced to date, and documents produced between the date of the order and November 26 of 2013. Mr. Callaghan was ordered to appear in person on November 29, 2013. A further order was made after the attendance on November 29, 2013, further suspending the sentence of incarceration until February 14, 2014, again on a number of terms. Thereafter, no further steps were taken to deal with the application or the finding that Mr. Callaghan was in contempt.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Although no formal order was entered, it appears that at the trial management conference on November 18, 2014, Mr. Callaghan and Ms. Callaghan were ordered to provide their undertaking responses from examinations for discovery by November 28,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Shortly before trial, the Callaghans became aware that Jasmur was paid $690,000 from the Joint Venture account. On the first day of trial, counsel for the Callaghan defendants applied for leave to file a counterclaim, which was granted. As a result, Taynton and Mr. Callaghan filed a counterclaim alleging that the amount paid to Jasmur amounted to an unjust enrichment to Jasmur and was paid in breach of the co-owner's agreement, and claiming damages for the site supervision services provided by Mr. Callaghan from January to October 2009, without compensation.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Credibility of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The plaintiffs urge me to find that neither Mr. Callaghan nor Ms. Callaghan were credible witnesses. In every case, a judge must carefully assess the credibility and reliability of each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In this case, it is clear that Mr. Callaghan has conducted himself in a manner that cannot be viewed positively. Most importantly, he has been found in contempt of court orders made in this case. His disclosure of documents has been slow and incomplete. There were some inconsistencies between his evidence at trial and his evidence given at examinations for discovery, although the inconsistencies, for the most part, I find, were relatively minor and explainable in the context of this litigation. I do not accept, as the plaintiffs urge, that Mr. Callaghan set out to mastermind a fraud against both of them and took steps essentially from 2006 or early 2007 to and including the trial to enrich himself at their expense. That theory makes no sense, particularly in the time frame of 2006 up to the real estate crash in 2008, during which time frame the parties could reasonably expect that the joint venture would be profitable. In fact, I accept much of Mr. Callaghan's evidence, particularly with respect to the construction of the Gardena project, and his involvement with it, including the work he performed for and during the excavation and plumbing and mechanical contracts. I also accept his evidence about the change in the construction industry between 2006 and 2008, in terms of the difficulties he says he encountered in finding trades, both with respect to the availability and cost of various trades, and the delays encountered in obtaining drawings and permits.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With respect to Ms. Callaghan, I found her to be a credible witness. She was a homemaker for most of the duration of the Gardena project. During the course of their long marriage, she had experience with Mr. Callaghan's income fluctuating greatly. He had always used her credit card for business expenditures, and although she may have managed household expenditures, I find she knew little if anything about the details of Mr. Callaghan's business dealings or business finances. I find that she had no reason, over the course of the Gardena project, to question him about business or financial matters, given the past history. Any inconsistencies between her evidence on discovery and her evidence at trial, and they were minor, are in my view a reflection of knowledge she gained during the litigation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Some of Mr. Murray's evidence was very self-serving and not credible. Given his sophistication, it is not possible to accept that he was a vulnerable pawn of Mr. Callaghan, as he paints himself. He made many hard-nosed decisions, including to terminate the project management fees payable to Mr. Callaghan on two separate occasions, which I find were not by agreement. He masterminded the plan to minimize the amount that had to be paid to acquire the interest of Mr. Glowicki's company in the Joint Venture. His sophistication, which he minimized, extended to drafting documents such as the confidentiality agreement, and he cannot have been unaware of matters such as the impact of increases in borrowing rates on the overall cost of construction for the Gardena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I generally accept the evidence of Mr. Edmunds.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Plaintiffs'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The plaintiffs' claims against the defendants are for fraudulent misrepresentation/deceit; constructive fraud/breach of fiduciary duty; knowing assistance; knowing receipt; negligent misrepresentation; unjust enrichment; conspiracy; breach of contract; and breach of the duty of honesty in the performance of contractual obligations. They seek awards of damages, including punitive damages; the imposition of a constructive trust; declaratory relief; accounting for profits; and tracing orders.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Other than the misrepresentation claims, the foundation for claims relate to the Ellwood Excavation and Max Mechanical arrangement, tool rentals by Mr. Callaghan or Taynton to the Joint Venture, and certain expenses the plaintiffs' forensic accountant concluded were billed by Taynton to OKM without supporting invoices.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The only claim advanced by Mr. Edmunds is based on fraudulent misrepresentation and deceit. Consequently, I will deal with that claim first.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The material representations alleged to have been made by Mr. Callaghan to Mr. Edmunds, as set out in the plaintiffs' closing submissions, are as follows:</w:t>
      </w:r>
      <w:r>
        <w:rPr>
          <w:rFonts w:ascii="arial" w:eastAsia="arial" w:hAnsi="arial" w:cs="arial"/>
          <w:sz w:val="20"/>
          <w:lang w:val="en-US" w:eastAsia="en-US" w:bidi="ar-SA"/>
        </w:rPr>
        <w:cr/>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Callaghan was providing all the material information about the Project to Edmunds through the </w:t>
      </w:r>
      <w:r>
        <w:rPr>
          <w:rFonts w:ascii="arial" w:eastAsia="arial" w:hAnsi="arial" w:cs="arial"/>
          <w:i/>
          <w:color w:val="000000"/>
          <w:sz w:val="20"/>
          <w:lang w:val="en-US" w:eastAsia="en-US" w:bidi="ar-SA"/>
        </w:rPr>
        <w:t>pro forma</w:t>
      </w:r>
      <w:r>
        <w:rPr>
          <w:rFonts w:ascii="arial" w:eastAsia="arial" w:hAnsi="arial" w:cs="arial"/>
          <w:color w:val="000000"/>
          <w:sz w:val="20"/>
          <w:lang w:val="en-US" w:eastAsia="en-US" w:bidi="ar-SA"/>
        </w:rPr>
        <w:t xml:space="preserve"> and appraisal;</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information contained in the </w:t>
      </w:r>
      <w:r>
        <w:rPr>
          <w:rFonts w:ascii="arial" w:eastAsia="arial" w:hAnsi="arial" w:cs="arial"/>
          <w:i/>
          <w:color w:val="000000"/>
          <w:sz w:val="20"/>
          <w:lang w:val="en-US" w:eastAsia="en-US" w:bidi="ar-SA"/>
        </w:rPr>
        <w:t>pro forma</w:t>
      </w:r>
      <w:r>
        <w:rPr>
          <w:rFonts w:ascii="arial" w:eastAsia="arial" w:hAnsi="arial" w:cs="arial"/>
          <w:color w:val="000000"/>
          <w:sz w:val="20"/>
          <w:lang w:val="en-US" w:eastAsia="en-US" w:bidi="ar-SA"/>
        </w:rPr>
        <w:t>, including the costs and time lines, was accurate and reliable;</w:t>
      </w:r>
    </w:p>
    <w:p>
      <w:pPr>
        <w:numPr>
          <w:numId w:val="9"/>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OKM only needed short-term or mezzanine financing to be able to build a product (show home) to obtain presales;</w:t>
      </w:r>
    </w:p>
    <w:p>
      <w:pPr>
        <w:numPr>
          <w:numId w:val="10"/>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 had done all necessary pre-development work for the Project and accordingly the Project would be ready to commence construction shortly after funding was obtained;</w:t>
      </w:r>
    </w:p>
    <w:p>
      <w:pPr>
        <w:numPr>
          <w:numId w:val="11"/>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true value of land was approximately $1.5 million and the OKM investors had purchased it for about $960,000;</w:t>
      </w:r>
    </w:p>
    <w:p>
      <w:pPr>
        <w:numPr>
          <w:numId w:val="12"/>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target construction commencement date would be May 1, 2007;</w:t>
      </w:r>
    </w:p>
    <w:p>
      <w:pPr>
        <w:numPr>
          <w:numId w:val="13"/>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pre-sales would begin in April 2007;</w:t>
      </w:r>
    </w:p>
    <w:p>
      <w:pPr>
        <w:numPr>
          <w:numId w:val="14"/>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construction on Block 1 would commence once site servicing was complete, but construction on other blocks would reflect pre-sales activity (OKM would not keep building until they had pre-sales);</w:t>
      </w:r>
    </w:p>
    <w:p>
      <w:pPr>
        <w:numPr>
          <w:numId w:val="1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bank financing would be provided by August 2007;</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OKM needed 10 pre-sales to obtain bank financing;</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Callaghan would monitor the budget to make sure that OKM was not drawing down funds ahead of time;</w:t>
      </w:r>
    </w:p>
    <w:p>
      <w:pPr>
        <w:numPr>
          <w:numId w:val="1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that </w:t>
      </w:r>
      <w:r>
        <w:rPr>
          <w:rFonts w:ascii="arial" w:eastAsia="arial" w:hAnsi="arial" w:cs="arial"/>
          <w:i/>
          <w:color w:val="000000"/>
          <w:sz w:val="20"/>
          <w:lang w:val="en-US" w:eastAsia="en-US" w:bidi="ar-SA"/>
        </w:rPr>
        <w:t>pro forma</w:t>
      </w:r>
      <w:r>
        <w:rPr>
          <w:rFonts w:ascii="arial" w:eastAsia="arial" w:hAnsi="arial" w:cs="arial"/>
          <w:color w:val="000000"/>
          <w:sz w:val="20"/>
          <w:lang w:val="en-US" w:eastAsia="en-US" w:bidi="ar-SA"/>
        </w:rPr>
        <w:t xml:space="preserve"> reflected Callaghan's reasonable estimation of what the Project would cost, including a contingency, based upon his experience in the industry; and</w:t>
      </w:r>
    </w:p>
    <w:p>
      <w:pPr>
        <w:numPr>
          <w:numId w:val="1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would be a managed build, and the only building that would be finished was the show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It is also alleged that in June 2008, to convince Mr. Edmunds to exercise his option to lend a further $1 million to OKM, Mr. Callaghan represented to Mr. Edmunds that unit 16 of the project would be completed as the first show home for the project, to get the project to a state so that showings and advertising could commence, that Mr. Callaghan represented to Mr. Edmunds in November of 2008 that the show home would be completed by May 2009, and in June 2009 that Mr. Callaghan represented to Mr. Edmunds that the show home would be complete by July 3, 2009, and then furnished and ready for viewing during the first week of August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xml:space="preserve">  Mr. Edmunds, I find, is a sophisticated business person. He was approached by Mr. Callaghan to see if he had any interest in advancing a loan to the Joint Venture. He asked for information about the project, as any prudent lender would, and received a copy of the </w:t>
      </w:r>
      <w:r>
        <w:rPr>
          <w:rFonts w:ascii="arial" w:eastAsia="arial" w:hAnsi="arial" w:cs="arial"/>
          <w:i/>
          <w:color w:val="000000"/>
          <w:sz w:val="20"/>
          <w:lang w:val="en-US" w:eastAsia="en-US" w:bidi="ar-SA"/>
        </w:rPr>
        <w:t>pro forma</w:t>
      </w:r>
      <w:r>
        <w:rPr>
          <w:rFonts w:ascii="arial" w:eastAsia="arial" w:hAnsi="arial" w:cs="arial"/>
          <w:color w:val="000000"/>
          <w:sz w:val="20"/>
          <w:lang w:val="en-US" w:eastAsia="en-US" w:bidi="ar-SA"/>
        </w:rPr>
        <w:t>, as it then was, and he received verbal and written communications from Mr. Callaghan with respect to the proposed project. He also received an appraisal of the land. He understood that he was being asked to provide financing until traditional bank financing could be obtained, which would require pre-sales of half of the units in the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After a meeting with both Mr. Callaghan and Mr. Murray, Mr. Edmunds agreed to provide financing and, using his own lawyer, had documentation prepared with respect to the loan. He made the loan to OKM. He did not require either of the directors of the Joint Venture, Mr. Callaghan, or Mr. Murray to be named as borrowers or as personal guarantors. His loan documentation contained no terms or conditions with respect to the timing or order of construction. By his own choice, he extended the term of the loan and made further loans to the Joint Venture, and on each occasion he had documentation prepared by his own lawyer. Each time loan modifications were made, or the loan amount was increased, OKM was the only borrower. Mr. Edmunds did not request any personal guarantees, nor include specific terms or conditions concerning the timing or the manner of construction.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This was not a handshake deal; it was a well-documented, arms-length commercial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xml:space="preserve">  In the course of closing submissions, I asked counsel for the plaintiffs to provide me with any case law to support a finding that Mr. Callaghan is personally liable to Mr. Edmunds with respect to the loan advanced. Counsel provided two cases involving fraudulently obtained loans. Those two cases, </w:t>
      </w:r>
      <w:r>
        <w:rPr>
          <w:rFonts w:ascii="arial" w:eastAsia="arial" w:hAnsi="arial" w:cs="arial"/>
          <w:i/>
          <w:color w:val="000000"/>
          <w:sz w:val="20"/>
          <w:lang w:val="en-US" w:eastAsia="en-US" w:bidi="ar-SA"/>
        </w:rPr>
        <w:t>Stewart v. Heinrichs</w:t>
      </w:r>
      <w:r>
        <w:rPr>
          <w:rFonts w:ascii="arial" w:eastAsia="arial" w:hAnsi="arial" w:cs="arial"/>
          <w:color w:val="000000"/>
          <w:sz w:val="20"/>
          <w:lang w:val="en-US" w:eastAsia="en-US" w:bidi="ar-SA"/>
        </w:rPr>
        <w:t xml:space="preserve">, </w:t>
      </w:r>
      <w:hyperlink r:id="rId302" w:history="1">
        <w:r>
          <w:rPr>
            <w:rFonts w:ascii="arial" w:eastAsia="arial" w:hAnsi="arial" w:cs="arial"/>
            <w:i/>
            <w:color w:val="0077CC"/>
            <w:sz w:val="20"/>
            <w:u w:val="single"/>
            <w:shd w:val="clear" w:color="auto" w:fill="FFFFFF"/>
            <w:lang w:val="en-US" w:eastAsia="en-US" w:bidi="ar-SA"/>
          </w:rPr>
          <w:t>[2001] M.J. No. 11</w:t>
        </w:r>
      </w:hyperlink>
      <w:r>
        <w:rPr>
          <w:rFonts w:ascii="arial" w:eastAsia="arial" w:hAnsi="arial" w:cs="arial"/>
          <w:color w:val="000000"/>
          <w:sz w:val="20"/>
          <w:lang w:val="en-US" w:eastAsia="en-US" w:bidi="ar-SA"/>
        </w:rPr>
        <w:t xml:space="preserve"> (Man. Q.B.) and </w:t>
      </w:r>
      <w:r>
        <w:rPr>
          <w:rFonts w:ascii="arial" w:eastAsia="arial" w:hAnsi="arial" w:cs="arial"/>
          <w:i/>
          <w:color w:val="000000"/>
          <w:sz w:val="20"/>
          <w:lang w:val="en-US" w:eastAsia="en-US" w:bidi="ar-SA"/>
        </w:rPr>
        <w:t>Century Services Inc. v. New World Engineering Corp.</w:t>
      </w:r>
      <w:r>
        <w:rPr>
          <w:rFonts w:ascii="arial" w:eastAsia="arial" w:hAnsi="arial" w:cs="arial"/>
          <w:color w:val="000000"/>
          <w:sz w:val="20"/>
          <w:lang w:val="en-US" w:eastAsia="en-US" w:bidi="ar-SA"/>
        </w:rPr>
        <w:t xml:space="preserve">, </w:t>
      </w:r>
      <w:hyperlink r:id="rId303" w:history="1">
        <w:r>
          <w:rPr>
            <w:rFonts w:ascii="arial" w:eastAsia="arial" w:hAnsi="arial" w:cs="arial"/>
            <w:i/>
            <w:color w:val="0077CC"/>
            <w:sz w:val="20"/>
            <w:u w:val="single"/>
            <w:shd w:val="clear" w:color="auto" w:fill="FFFFFF"/>
            <w:lang w:val="en-US" w:eastAsia="en-US" w:bidi="ar-SA"/>
          </w:rPr>
          <w:t>2013 ONSC 2140</w:t>
        </w:r>
      </w:hyperlink>
      <w:r>
        <w:rPr>
          <w:rFonts w:ascii="arial" w:eastAsia="arial" w:hAnsi="arial" w:cs="arial"/>
          <w:color w:val="000000"/>
          <w:sz w:val="20"/>
          <w:lang w:val="en-US" w:eastAsia="en-US" w:bidi="ar-SA"/>
        </w:rPr>
        <w:t>, are clearly distinguishable.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Stewart</w:t>
      </w:r>
      <w:r>
        <w:rPr>
          <w:rFonts w:ascii="arial" w:eastAsia="arial" w:hAnsi="arial" w:cs="arial"/>
          <w:color w:val="000000"/>
          <w:sz w:val="20"/>
          <w:lang w:val="en-US" w:eastAsia="en-US" w:bidi="ar-SA"/>
        </w:rPr>
        <w:t>, the defendant was the chief financial officer of a company which the court appears to have concluded had no net equity. No formal loan documentation was prepared, but at the time that the loan was made the lender was given a financial statement that showed the company had total capital and equity exceeding $900,000. The defendant prepared in his hand a receipt for the amount of the loan, describing himself as chief financial officer. The court found that the defendant's conduct amounted to fraud and found him liable for the amount of the loan.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Century Services Inc.</w:t>
      </w:r>
      <w:r>
        <w:rPr>
          <w:rFonts w:ascii="arial" w:eastAsia="arial" w:hAnsi="arial" w:cs="arial"/>
          <w:color w:val="000000"/>
          <w:sz w:val="20"/>
          <w:lang w:val="en-US" w:eastAsia="en-US" w:bidi="ar-SA"/>
        </w:rPr>
        <w:t>, the plaintiffs made loans based on a series of fraudulent misrepresentations concerning the nature of the corporate defendant's business, the reason for seeking the loans, and the security features to be attached to the security to be given for the loans. Virtually immediately after the loan proceeds were received, there was improper use of the loan proceeds in violation of the strict security arrangements which the defendants had assured the plaintiff were in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Neither of the fact situations in those two cases even closely approximates the facts of this case, even if I accepted that all of the representations said to have been made by Mr. Callaghan were in fact representations, as opposed to forecasts, and even if I accept that all of them were false.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xml:space="preserve">  There is absolutely no doubt that the purpose put forward by Mr. Callaghan to Mr. Edmunds for the loan, namely building the Gardena project, was in fact the purpose for which the money was borrowed. Similarly, there is no doubt that Mr. Callaghan, when he requested the loan for the Gardena project, intended to build the project, whereas in </w:t>
      </w:r>
      <w:r>
        <w:rPr>
          <w:rFonts w:ascii="arial" w:eastAsia="arial" w:hAnsi="arial" w:cs="arial"/>
          <w:i/>
          <w:color w:val="000000"/>
          <w:sz w:val="20"/>
          <w:lang w:val="en-US" w:eastAsia="en-US" w:bidi="ar-SA"/>
        </w:rPr>
        <w:t>Stewart</w:t>
      </w:r>
      <w:r>
        <w:rPr>
          <w:rFonts w:ascii="arial" w:eastAsia="arial" w:hAnsi="arial" w:cs="arial"/>
          <w:color w:val="000000"/>
          <w:sz w:val="20"/>
          <w:lang w:val="en-US" w:eastAsia="en-US" w:bidi="ar-SA"/>
        </w:rPr>
        <w:t xml:space="preserve"> there was an expression of an intention to repurchase a business, and the court there found that the representor in fact had no such intention at the time the representation was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I find that Mr. Edmunds' only sustainable claim is against OKM for any interest unpaid. He has not made a claim against OKM. His claim against any and all of the defendants in this action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I turn now to the alleged representations said to have been made by Mr. Callaghan to Mr. Murray. The plaintiffs claim Mr. Callaghan made representations to Mr. Murray which were fraudulent or, alternatively, negligent. Those representations were said to have been made in what I will refer to as three distinct time periods. The first was before Mr. Murray made the decision to invest in the project; the second time period is late 2006 and early 2007, in and around the time of the exercise by Mr. Glowicki of the shotgun clause and the eventual acquisition of his shares; and the third time period is what I will refer to as during construction itself.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xml:space="preserve">  The tort of fraudulent misrepresentation has four elements. They were recently summarized by the Supreme Court of Canada in </w:t>
      </w:r>
      <w:r>
        <w:rPr>
          <w:rFonts w:ascii="arial" w:eastAsia="arial" w:hAnsi="arial" w:cs="arial"/>
          <w:i/>
          <w:color w:val="000000"/>
          <w:sz w:val="20"/>
          <w:lang w:val="en-US" w:eastAsia="en-US" w:bidi="ar-SA"/>
        </w:rPr>
        <w:t>Bruno Appliance and Furniture, Inc. v. Hryniak</w:t>
      </w:r>
      <w:r>
        <w:rPr>
          <w:rFonts w:ascii="arial" w:eastAsia="arial" w:hAnsi="arial" w:cs="arial"/>
          <w:color w:val="000000"/>
          <w:sz w:val="20"/>
          <w:lang w:val="en-US" w:eastAsia="en-US" w:bidi="ar-SA"/>
        </w:rPr>
        <w:t xml:space="preserve">, </w:t>
      </w:r>
      <w:hyperlink r:id="rId304" w:history="1">
        <w:r>
          <w:rPr>
            <w:rFonts w:ascii="arial" w:eastAsia="arial" w:hAnsi="arial" w:cs="arial"/>
            <w:i/>
            <w:color w:val="0077CC"/>
            <w:sz w:val="20"/>
            <w:u w:val="single"/>
            <w:shd w:val="clear" w:color="auto" w:fill="FFFFFF"/>
            <w:lang w:val="en-US" w:eastAsia="en-US" w:bidi="ar-SA"/>
          </w:rPr>
          <w:t>2014 SCC 8</w:t>
        </w:r>
      </w:hyperlink>
      <w:r>
        <w:rPr>
          <w:rFonts w:ascii="arial" w:eastAsia="arial" w:hAnsi="arial" w:cs="arial"/>
          <w:color w:val="000000"/>
          <w:sz w:val="20"/>
          <w:lang w:val="en-US" w:eastAsia="en-US" w:bidi="ar-SA"/>
        </w:rPr>
        <w:t>, at paragraph 21: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[21] From this jurisprudential history, I summarize the following four elements of the tort of civil fraud: (1) a false representation made by the defendant; (2) some level of knowledge of the falsehood of the representation on the part of the defendant (whether through knowledge or recklessness); (3) the false representation caused the plaintiff to act; and (4) the plaintiff's actions resulted in a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xml:space="preserve">  With respect to negligent misrepresentation, the elements were described in </w:t>
      </w:r>
      <w:r>
        <w:rPr>
          <w:rFonts w:ascii="arial" w:eastAsia="arial" w:hAnsi="arial" w:cs="arial"/>
          <w:i/>
          <w:color w:val="000000"/>
          <w:sz w:val="20"/>
          <w:lang w:val="en-US" w:eastAsia="en-US" w:bidi="ar-SA"/>
        </w:rPr>
        <w:t>Queen v. Cognos Inc.</w:t>
      </w:r>
      <w:r>
        <w:rPr>
          <w:rFonts w:ascii="arial" w:eastAsia="arial" w:hAnsi="arial" w:cs="arial"/>
          <w:color w:val="000000"/>
          <w:sz w:val="20"/>
          <w:lang w:val="en-US" w:eastAsia="en-US" w:bidi="ar-SA"/>
        </w:rPr>
        <w:t xml:space="preserve">, </w:t>
      </w:r>
      <w:hyperlink r:id="rId14" w:history="1">
        <w:r>
          <w:rPr>
            <w:rFonts w:ascii="arial" w:eastAsia="arial" w:hAnsi="arial" w:cs="arial"/>
            <w:i/>
            <w:color w:val="0077CC"/>
            <w:sz w:val="20"/>
            <w:u w:val="single"/>
            <w:shd w:val="clear" w:color="auto" w:fill="FFFFFF"/>
            <w:lang w:val="en-US" w:eastAsia="en-US" w:bidi="ar-SA"/>
          </w:rPr>
          <w:t>[1993] 1 S.C.R. 87</w:t>
        </w:r>
      </w:hyperlink>
      <w:r>
        <w:rPr>
          <w:rFonts w:ascii="arial" w:eastAsia="arial" w:hAnsi="arial" w:cs="arial"/>
          <w:color w:val="000000"/>
          <w:sz w:val="20"/>
          <w:lang w:val="en-US" w:eastAsia="en-US" w:bidi="ar-SA"/>
        </w:rPr>
        <w:t xml:space="preserve"> at 110: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(1) there must be a duty of care based on a "special relationship" between the representor and the representee; (2) the representation in question must be untrue, inaccurate, or misleading; (3) the representor must have acted negligently in making said misrepresentation; (4) the representee must have relied, in a reasonable manner, on said negligent misrepresentation; and (5) the reliance must have been detrimental to the representee in the sense that damages resulted.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xml:space="preserve">  As Kirkpatrick J. said in </w:t>
      </w:r>
      <w:r>
        <w:rPr>
          <w:rFonts w:ascii="arial" w:eastAsia="arial" w:hAnsi="arial" w:cs="arial"/>
          <w:i/>
          <w:color w:val="000000"/>
          <w:sz w:val="20"/>
          <w:lang w:val="en-US" w:eastAsia="en-US" w:bidi="ar-SA"/>
        </w:rPr>
        <w:t>PD Management Ltd. v. Chemposite Inc.</w:t>
      </w:r>
      <w:r>
        <w:rPr>
          <w:rFonts w:ascii="arial" w:eastAsia="arial" w:hAnsi="arial" w:cs="arial"/>
          <w:color w:val="000000"/>
          <w:sz w:val="20"/>
          <w:lang w:val="en-US" w:eastAsia="en-US" w:bidi="ar-SA"/>
        </w:rPr>
        <w:t xml:space="preserve">, </w:t>
      </w:r>
      <w:hyperlink r:id="rId305" w:history="1">
        <w:r>
          <w:rPr>
            <w:rFonts w:ascii="arial" w:eastAsia="arial" w:hAnsi="arial" w:cs="arial"/>
            <w:i/>
            <w:color w:val="0077CC"/>
            <w:sz w:val="20"/>
            <w:u w:val="single"/>
            <w:shd w:val="clear" w:color="auto" w:fill="FFFFFF"/>
            <w:lang w:val="en-US" w:eastAsia="en-US" w:bidi="ar-SA"/>
          </w:rPr>
          <w:t>2006 BCCA 489</w:t>
        </w:r>
      </w:hyperlink>
      <w:r>
        <w:rPr>
          <w:rFonts w:ascii="arial" w:eastAsia="arial" w:hAnsi="arial" w:cs="arial"/>
          <w:color w:val="000000"/>
          <w:sz w:val="20"/>
          <w:lang w:val="en-US" w:eastAsia="en-US" w:bidi="ar-SA"/>
        </w:rPr>
        <w:t>, at paragraph 14: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[14] It is settled law that an alleged misrepresentation must pertain to a matter of fact. In </w:t>
      </w:r>
      <w:r>
        <w:rPr>
          <w:rFonts w:ascii="arial" w:eastAsia="arial" w:hAnsi="arial" w:cs="arial"/>
          <w:b/>
          <w:i/>
          <w:color w:val="000000"/>
          <w:sz w:val="20"/>
          <w:lang w:val="en-US" w:eastAsia="en-US" w:bidi="ar-SA"/>
        </w:rPr>
        <w:t>MacMillan v. Kaiser Equipment Ltd.</w:t>
      </w:r>
      <w:r>
        <w:rPr>
          <w:rFonts w:ascii="arial" w:eastAsia="arial" w:hAnsi="arial" w:cs="arial"/>
          <w:color w:val="000000"/>
          <w:sz w:val="20"/>
          <w:lang w:val="en-US" w:eastAsia="en-US" w:bidi="ar-SA"/>
        </w:rPr>
        <w:t xml:space="preserve">, </w:t>
      </w:r>
      <w:hyperlink r:id="rId306" w:history="1">
        <w:r>
          <w:rPr>
            <w:rFonts w:ascii="arial" w:eastAsia="arial" w:hAnsi="arial" w:cs="arial"/>
            <w:i/>
            <w:color w:val="0077CC"/>
            <w:sz w:val="20"/>
            <w:u w:val="single"/>
            <w:shd w:val="clear" w:color="auto" w:fill="FFFFFF"/>
            <w:lang w:val="en-US" w:eastAsia="en-US" w:bidi="ar-SA"/>
          </w:rPr>
          <w:t>2003 BCSC 672</w:t>
        </w:r>
      </w:hyperlink>
      <w:r>
        <w:rPr>
          <w:rFonts w:ascii="arial" w:eastAsia="arial" w:hAnsi="arial" w:cs="arial"/>
          <w:color w:val="000000"/>
          <w:sz w:val="20"/>
          <w:lang w:val="en-US" w:eastAsia="en-US" w:bidi="ar-SA"/>
        </w:rPr>
        <w:t xml:space="preserve">, aff'd </w:t>
      </w:r>
      <w:hyperlink r:id="rId307" w:history="1">
        <w:r>
          <w:rPr>
            <w:rFonts w:ascii="arial" w:eastAsia="arial" w:hAnsi="arial" w:cs="arial"/>
            <w:i/>
            <w:color w:val="0077CC"/>
            <w:sz w:val="20"/>
            <w:u w:val="single"/>
            <w:shd w:val="clear" w:color="auto" w:fill="FFFFFF"/>
            <w:lang w:val="en-US" w:eastAsia="en-US" w:bidi="ar-SA"/>
          </w:rPr>
          <w:t>2004 BCCA 470</w:t>
        </w:r>
      </w:hyperlink>
      <w:r>
        <w:rPr>
          <w:rFonts w:ascii="arial" w:eastAsia="arial" w:hAnsi="arial" w:cs="arial"/>
          <w:color w:val="000000"/>
          <w:sz w:val="20"/>
          <w:lang w:val="en-US" w:eastAsia="en-US" w:bidi="ar-SA"/>
        </w:rPr>
        <w:t>, this Court dismissed the claims for damages for misrepresentation because "it is clear that each of the alleged representations relate to a future occurrence, and not to an existing state of events. A future offer...is not an actionable representation" (para. 85).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xml:space="preserve">  The representations said to have been made in the first period are based on the </w:t>
      </w:r>
      <w:r>
        <w:rPr>
          <w:rFonts w:ascii="arial" w:eastAsia="arial" w:hAnsi="arial" w:cs="arial"/>
          <w:i/>
          <w:color w:val="000000"/>
          <w:sz w:val="20"/>
          <w:lang w:val="en-US" w:eastAsia="en-US" w:bidi="ar-SA"/>
        </w:rPr>
        <w:t>pro forma</w:t>
      </w:r>
      <w:r>
        <w:rPr>
          <w:rFonts w:ascii="arial" w:eastAsia="arial" w:hAnsi="arial" w:cs="arial"/>
          <w:color w:val="000000"/>
          <w:sz w:val="20"/>
          <w:lang w:val="en-US" w:eastAsia="en-US" w:bidi="ar-SA"/>
        </w:rPr>
        <w:t xml:space="preserve"> Mr. Callaghan gave to Mr. Murray in July 2006, and on the discussions Mr. Murray and Mr. Callaghan had about the </w:t>
      </w:r>
      <w:r>
        <w:rPr>
          <w:rFonts w:ascii="arial" w:eastAsia="arial" w:hAnsi="arial" w:cs="arial"/>
          <w:i/>
          <w:color w:val="000000"/>
          <w:sz w:val="20"/>
          <w:lang w:val="en-US" w:eastAsia="en-US" w:bidi="ar-SA"/>
        </w:rPr>
        <w:t>pro forma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pro forma</w:t>
      </w:r>
      <w:r>
        <w:rPr>
          <w:rFonts w:ascii="arial" w:eastAsia="arial" w:hAnsi="arial" w:cs="arial"/>
          <w:color w:val="000000"/>
          <w:sz w:val="20"/>
          <w:lang w:val="en-US" w:eastAsia="en-US" w:bidi="ar-SA"/>
        </w:rPr>
        <w:t xml:space="preserve"> prepared by Mr. Callaghan and provided to Mr. Murray and then discussed with Mr. Murray in July and August 2006, was clearly a future forecast. On its face, it was an estimate. It set out anticipated revenue and anticipated expenses. On the revenue side, the average selling price of each unit was said to be $420,000. The document provided an estimated date for when the last residential unit would be sold, on the assumption that all of the units would be sold before construction completed. Virtually all of the figures in the </w:t>
      </w:r>
      <w:r>
        <w:rPr>
          <w:rFonts w:ascii="arial" w:eastAsia="arial" w:hAnsi="arial" w:cs="arial"/>
          <w:i/>
          <w:color w:val="000000"/>
          <w:sz w:val="20"/>
          <w:lang w:val="en-US" w:eastAsia="en-US" w:bidi="ar-SA"/>
        </w:rPr>
        <w:t>pro forma</w:t>
      </w:r>
      <w:r>
        <w:rPr>
          <w:rFonts w:ascii="arial" w:eastAsia="arial" w:hAnsi="arial" w:cs="arial"/>
          <w:color w:val="000000"/>
          <w:sz w:val="20"/>
          <w:lang w:val="en-US" w:eastAsia="en-US" w:bidi="ar-SA"/>
        </w:rPr>
        <w:t xml:space="preserve"> were rounded. Interest and other finance charges, as just one example, were estimated to be $525,000. Another example is marketing, which was estimated to be $50,000. The construction cost for all of the work to be done in building a 20-unit multi-family development was estimated to be $4,080,000. No one could reasonably have believed, before the land for the development had even been purchased, that there were firm contracts in place and arranged for every trade or supplier or for all of the required material. The document contained a specific section entitled "Significant Assumptions", which set out an estimated construction cost per square foot, a borrowing interest rate of prime plus one, and a contingency. There is no doubt that the </w:t>
      </w:r>
      <w:r>
        <w:rPr>
          <w:rFonts w:ascii="arial" w:eastAsia="arial" w:hAnsi="arial" w:cs="arial"/>
          <w:i/>
          <w:color w:val="000000"/>
          <w:sz w:val="20"/>
          <w:lang w:val="en-US" w:eastAsia="en-US" w:bidi="ar-SA"/>
        </w:rPr>
        <w:t>pro forma</w:t>
      </w:r>
      <w:r>
        <w:rPr>
          <w:rFonts w:ascii="arial" w:eastAsia="arial" w:hAnsi="arial" w:cs="arial"/>
          <w:color w:val="000000"/>
          <w:sz w:val="20"/>
          <w:lang w:val="en-US" w:eastAsia="en-US" w:bidi="ar-SA"/>
        </w:rPr>
        <w:t xml:space="preserve"> was an estimate and a forecast of future events. Indeed that is the very meaning, in a business sense, of the term </w:t>
      </w:r>
      <w:r>
        <w:rPr>
          <w:rFonts w:ascii="arial" w:eastAsia="arial" w:hAnsi="arial" w:cs="arial"/>
          <w:i/>
          <w:color w:val="000000"/>
          <w:sz w:val="20"/>
          <w:lang w:val="en-US" w:eastAsia="en-US" w:bidi="ar-SA"/>
        </w:rPr>
        <w:t>pro forma</w:t>
      </w:r>
      <w:r>
        <w:rPr>
          <w:rFonts w:ascii="arial" w:eastAsia="arial" w:hAnsi="arial" w:cs="arial"/>
          <w:color w:val="000000"/>
          <w:sz w:val="20"/>
          <w:lang w:val="en-US" w:eastAsia="en-US" w:bidi="ar-SA"/>
        </w:rPr>
        <w:t>. Mr. Murray is a person who had worked in the bond and money market trading industry on Bay Street for 18 years and had to have, I conclude, understood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xml:space="preserve">  With respect to the timing of the project, and specifically Mr. Murray's evidence that Mr. Callaghan told him the project would take 10 to 12 months, to as long as 18 months, that again could be nothing more than an estimate. It was clear on the face of the documents provided to Mr. Murray, including the </w:t>
      </w:r>
      <w:r>
        <w:rPr>
          <w:rFonts w:ascii="arial" w:eastAsia="arial" w:hAnsi="arial" w:cs="arial"/>
          <w:i/>
          <w:color w:val="000000"/>
          <w:sz w:val="20"/>
          <w:lang w:val="en-US" w:eastAsia="en-US" w:bidi="ar-SA"/>
        </w:rPr>
        <w:t>pro forma</w:t>
      </w:r>
      <w:r>
        <w:rPr>
          <w:rFonts w:ascii="arial" w:eastAsia="arial" w:hAnsi="arial" w:cs="arial"/>
          <w:color w:val="000000"/>
          <w:sz w:val="20"/>
          <w:lang w:val="en-US" w:eastAsia="en-US" w:bidi="ar-SA"/>
        </w:rPr>
        <w:t xml:space="preserve"> and the summary of investor equity which he was provided, that there were many steps that needed to be taken between the time the land was purchased and the time the project was completed and units sold. Not all of those steps, the timing of those steps, nor the costs for those steps were solely in the control of Mr. Callaghan or, for that matter, the joint venturers. Building permits had to be obtained. Professionals, including architects and lawyers, had work to perform. Perhaps most importantly, the joint venturers had to obtain financing. I am satisfied that the time frames were estimates or forecasts, just as the costs were.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One need look no further than the proposal provided by Lone Wolf, including the projected timeframe for phase 1, to know that a difference between an estimated time for completion of a project or a phase of project is not a guarantee, and a failure to meet the timelines is not proof in and of itself of a fraudulent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xml:space="preserve">  Further, several different versions of the </w:t>
      </w:r>
      <w:r>
        <w:rPr>
          <w:rFonts w:ascii="arial" w:eastAsia="arial" w:hAnsi="arial" w:cs="arial"/>
          <w:i/>
          <w:color w:val="000000"/>
          <w:sz w:val="20"/>
          <w:lang w:val="en-US" w:eastAsia="en-US" w:bidi="ar-SA"/>
        </w:rPr>
        <w:t>pro forma</w:t>
      </w:r>
      <w:r>
        <w:rPr>
          <w:rFonts w:ascii="arial" w:eastAsia="arial" w:hAnsi="arial" w:cs="arial"/>
          <w:color w:val="000000"/>
          <w:sz w:val="20"/>
          <w:lang w:val="en-US" w:eastAsia="en-US" w:bidi="ar-SA"/>
        </w:rPr>
        <w:t xml:space="preserve"> were created, some with the participation of Mr. Murray. There is a second </w:t>
      </w:r>
      <w:r>
        <w:rPr>
          <w:rFonts w:ascii="arial" w:eastAsia="arial" w:hAnsi="arial" w:cs="arial"/>
          <w:i/>
          <w:color w:val="000000"/>
          <w:sz w:val="20"/>
          <w:lang w:val="en-US" w:eastAsia="en-US" w:bidi="ar-SA"/>
        </w:rPr>
        <w:t>pro forma</w:t>
      </w:r>
      <w:r>
        <w:rPr>
          <w:rFonts w:ascii="arial" w:eastAsia="arial" w:hAnsi="arial" w:cs="arial"/>
          <w:color w:val="000000"/>
          <w:sz w:val="20"/>
          <w:lang w:val="en-US" w:eastAsia="en-US" w:bidi="ar-SA"/>
        </w:rPr>
        <w:t xml:space="preserve"> dated November 22, 2006, showing different figures, including an increased cost of construction per square foot, an increased selling price per unit, reduced consulting fees, and reduced interest, and other finance charges. Yet another one was provided to Mr. Edmunds, containing other differences, including an even higher average selling price per unit, and a further significant reduction in interest and finance charges as well as a reduction in the overhead.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xml:space="preserve">  Even if I accepted that the time frames and costs contained in the </w:t>
      </w:r>
      <w:r>
        <w:rPr>
          <w:rFonts w:ascii="arial" w:eastAsia="arial" w:hAnsi="arial" w:cs="arial"/>
          <w:i/>
          <w:color w:val="000000"/>
          <w:sz w:val="20"/>
          <w:lang w:val="en-US" w:eastAsia="en-US" w:bidi="ar-SA"/>
        </w:rPr>
        <w:t>pro forma</w:t>
      </w:r>
      <w:r>
        <w:rPr>
          <w:rFonts w:ascii="arial" w:eastAsia="arial" w:hAnsi="arial" w:cs="arial"/>
          <w:color w:val="000000"/>
          <w:sz w:val="20"/>
          <w:lang w:val="en-US" w:eastAsia="en-US" w:bidi="ar-SA"/>
        </w:rPr>
        <w:t xml:space="preserve"> were representations, there is simply no evidence that Mr. Callaghan made those representations knowing they were false, or being reckless about whether they were true or false, or even that Mr. Callaghan made them negligently.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As events transpired, within a couple of months of the acquisition of the land, rather than focusing on the project after the land transaction closed, Mr. Callaghan and Mr. Murray had to deal with the withdrawal of Mr. Glowicki from the Joint Venture.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Further, when they made efforts to obtain financing through conventional sources, they determined that conventional financing was not available. Neither Mr. Callaghan nor Mr. Murray were in a position to finance the construction themselves, with the result that Mr. Edmunds was approached. The approach to Mr. Edmunds was made promptly after the withdrawal of Mr. Glowicki from the Joint Venture, but money did not actually flow or become available for use during construction until the end of June 2007, over 10 months after the co-owners agreement had been signed and the land acquired.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xml:space="preserve">  The evidence at trial, which I accept, is that by that date the real estate market was heating up. Construction was booming. There were delays experienced in obtaining building permits. In that sort of climate, I accept and I find that there must have been an impact of the availability of contractors and construction personnel, and on the cost of the same. The plaintiffs have offered no evidence, aside from pointing to the timeframe involved in the actual construction, which commenced almost a year later than expected, that the costs and timeframe set out in the </w:t>
      </w:r>
      <w:r>
        <w:rPr>
          <w:rFonts w:ascii="arial" w:eastAsia="arial" w:hAnsi="arial" w:cs="arial"/>
          <w:i/>
          <w:color w:val="000000"/>
          <w:sz w:val="20"/>
          <w:lang w:val="en-US" w:eastAsia="en-US" w:bidi="ar-SA"/>
        </w:rPr>
        <w:t>pro forma</w:t>
      </w:r>
      <w:r>
        <w:rPr>
          <w:rFonts w:ascii="arial" w:eastAsia="arial" w:hAnsi="arial" w:cs="arial"/>
          <w:color w:val="000000"/>
          <w:sz w:val="20"/>
          <w:lang w:val="en-US" w:eastAsia="en-US" w:bidi="ar-SA"/>
        </w:rPr>
        <w:t xml:space="preserve"> were untrue, inaccurate or misleading.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xml:space="preserve">  Dealing with the alleged representations in December 2006 and January 2007, at which time Mr. Callaghan and Mr. Murray were proceeding with the buyout of Mr. Glowicki's company, and contemplating whether to bring in a third investor, continue the project with just the two of them, or sell the land, the representations alleged again relate to Mr. Callaghan's estimated costs and estimated timeframe. By the time of those discussions, Mr. Murray was actively involved in fine tuning the </w:t>
      </w:r>
      <w:r>
        <w:rPr>
          <w:rFonts w:ascii="arial" w:eastAsia="arial" w:hAnsi="arial" w:cs="arial"/>
          <w:i/>
          <w:color w:val="000000"/>
          <w:sz w:val="20"/>
          <w:lang w:val="en-US" w:eastAsia="en-US" w:bidi="ar-SA"/>
        </w:rPr>
        <w:t>pro forma</w:t>
      </w:r>
      <w:r>
        <w:rPr>
          <w:rFonts w:ascii="arial" w:eastAsia="arial" w:hAnsi="arial" w:cs="arial"/>
          <w:color w:val="000000"/>
          <w:sz w:val="20"/>
          <w:lang w:val="en-US" w:eastAsia="en-US" w:bidi="ar-SA"/>
        </w:rPr>
        <w:t xml:space="preserve"> and working with the figures contained in the </w:t>
      </w:r>
      <w:r>
        <w:rPr>
          <w:rFonts w:ascii="arial" w:eastAsia="arial" w:hAnsi="arial" w:cs="arial"/>
          <w:i/>
          <w:color w:val="000000"/>
          <w:sz w:val="20"/>
          <w:lang w:val="en-US" w:eastAsia="en-US" w:bidi="ar-SA"/>
        </w:rPr>
        <w:t>pro forma</w:t>
      </w:r>
      <w:r>
        <w:rPr>
          <w:rFonts w:ascii="arial" w:eastAsia="arial" w:hAnsi="arial" w:cs="arial"/>
          <w:color w:val="000000"/>
          <w:sz w:val="20"/>
          <w:lang w:val="en-US" w:eastAsia="en-US" w:bidi="ar-SA"/>
        </w:rPr>
        <w:t xml:space="preserve">. As noted, the </w:t>
      </w:r>
      <w:r>
        <w:rPr>
          <w:rFonts w:ascii="arial" w:eastAsia="arial" w:hAnsi="arial" w:cs="arial"/>
          <w:i/>
          <w:color w:val="000000"/>
          <w:sz w:val="20"/>
          <w:lang w:val="en-US" w:eastAsia="en-US" w:bidi="ar-SA"/>
        </w:rPr>
        <w:t>pro forma</w:t>
      </w:r>
      <w:r>
        <w:rPr>
          <w:rFonts w:ascii="arial" w:eastAsia="arial" w:hAnsi="arial" w:cs="arial"/>
          <w:color w:val="000000"/>
          <w:sz w:val="20"/>
          <w:lang w:val="en-US" w:eastAsia="en-US" w:bidi="ar-SA"/>
        </w:rPr>
        <w:t xml:space="preserve"> figures changed over time and the cost per square foot for building had been increased. No adjustments had been made as of the November 22, 2006 </w:t>
      </w:r>
      <w:r>
        <w:rPr>
          <w:rFonts w:ascii="arial" w:eastAsia="arial" w:hAnsi="arial" w:cs="arial"/>
          <w:i/>
          <w:color w:val="000000"/>
          <w:sz w:val="20"/>
          <w:lang w:val="en-US" w:eastAsia="en-US" w:bidi="ar-SA"/>
        </w:rPr>
        <w:t>pro forma</w:t>
      </w:r>
      <w:r>
        <w:rPr>
          <w:rFonts w:ascii="arial" w:eastAsia="arial" w:hAnsi="arial" w:cs="arial"/>
          <w:color w:val="000000"/>
          <w:sz w:val="20"/>
          <w:lang w:val="en-US" w:eastAsia="en-US" w:bidi="ar-SA"/>
        </w:rPr>
        <w:t xml:space="preserve"> to the construction start or end dates, but by the time Mr. Murray and Mr. Callaghan were meeting with Mr. Edmunds to discuss financing of the project, the March 2, 2007 </w:t>
      </w:r>
      <w:r>
        <w:rPr>
          <w:rFonts w:ascii="arial" w:eastAsia="arial" w:hAnsi="arial" w:cs="arial"/>
          <w:i/>
          <w:color w:val="000000"/>
          <w:sz w:val="20"/>
          <w:lang w:val="en-US" w:eastAsia="en-US" w:bidi="ar-SA"/>
        </w:rPr>
        <w:t>pro forma</w:t>
      </w:r>
      <w:r>
        <w:rPr>
          <w:rFonts w:ascii="arial" w:eastAsia="arial" w:hAnsi="arial" w:cs="arial"/>
          <w:color w:val="000000"/>
          <w:sz w:val="20"/>
          <w:lang w:val="en-US" w:eastAsia="en-US" w:bidi="ar-SA"/>
        </w:rPr>
        <w:t xml:space="preserve"> had been prepared indicating a construction start date of May 2007 with a construction end date of June 2008, a period of 14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While Mr. Murray was considering his options, he dealt with a person named Glen Ross, and asked for his views. Mr. Murray prepared, and signed on behalf of OKM, a confidentiality agreement with Mr. Ross on December 20, 2006, so that Mr. Ross could evaluate the project. In that confidentiality agreement, drafted by Mr. Murray, the following paragraph is found: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agreed that the Evaluation Material consists of a draft </w:t>
      </w:r>
      <w:r>
        <w:rPr>
          <w:rFonts w:ascii="arial" w:eastAsia="arial" w:hAnsi="arial" w:cs="arial"/>
          <w:i/>
          <w:color w:val="000000"/>
          <w:sz w:val="20"/>
          <w:lang w:val="en-US" w:eastAsia="en-US" w:bidi="ar-SA"/>
        </w:rPr>
        <w:t>pro-forma</w:t>
      </w:r>
      <w:r>
        <w:rPr>
          <w:rFonts w:ascii="arial" w:eastAsia="arial" w:hAnsi="arial" w:cs="arial"/>
          <w:color w:val="000000"/>
          <w:sz w:val="20"/>
          <w:lang w:val="en-US" w:eastAsia="en-US" w:bidi="ar-SA"/>
        </w:rPr>
        <w:t xml:space="preserve"> that has not been finalized, renderings and various drawings that are also not finalized.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xml:space="preserve">  In terms of the reasonableness of the figures in the </w:t>
      </w:r>
      <w:r>
        <w:rPr>
          <w:rFonts w:ascii="arial" w:eastAsia="arial" w:hAnsi="arial" w:cs="arial"/>
          <w:i/>
          <w:color w:val="000000"/>
          <w:sz w:val="20"/>
          <w:lang w:val="en-US" w:eastAsia="en-US" w:bidi="ar-SA"/>
        </w:rPr>
        <w:t>pro forma</w:t>
      </w:r>
      <w:r>
        <w:rPr>
          <w:rFonts w:ascii="arial" w:eastAsia="arial" w:hAnsi="arial" w:cs="arial"/>
          <w:color w:val="000000"/>
          <w:sz w:val="20"/>
          <w:lang w:val="en-US" w:eastAsia="en-US" w:bidi="ar-SA"/>
        </w:rPr>
        <w:t>, Mr. Murray also ran the numbers past Craig Marshall, a contractor in Oshawa, who was the boss of Mr. Murray's brother. Mr. Marshall provided Mr. Murray with some costing. Mr. Murray forwarded Mr. Marshall's email to Mr. Callaghan, saying: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Here is the email I received back from Craig along with the soft costs for his latest project. I printed it out and made some adjustments to conform closer to our project and the figures look to be pretty close.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I am unable to find that any fraudulent or negligent misrepresentations were made by Mr. Callaghan during the second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The plaintiffs also allege that Mr. Callaghan continued to make representations throughout the course of the project. Those representations are alleged to have been primarily about the order in which construction would take place, and specifically when unit 16 in building 1, which was planned to be the show home for the project, would be completed. With respect to those alleged representations, I will start by saying I accept that Mr. Callaghan did make various statements, at various times, about when the show home would be completed. However, such statements, I find, were in the nature of future forecasts. Further, although Mr. Murray may have believed the statements made or at least hoped that they were true, there is no evidence that he relied upon them, in the legal sense of that word. There is no suggestion that he took steps to his detriment as a result of these statements. The plaintiffs have led no evidence that would satisfy me that any loss accrued to Mr. Murray that could be causally linked to any action or inaction he took, were as a result of believing the statements made by Mr. Callaghan with respect to the completion of the show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In summary, with respect to the claims based upon misrepresentation, I am not satisfied that the plaintiffs have established the elements of misrepresentation, on a balance of probabilities.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The plaintiffs allege that Taynton and Mr. Callaghan owed fiduciary duties to Jasmur and OKM. They also allege that there was a constructive fraud committed by Taynton and/or Mr. Callaghan.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xml:space="preserve">  With respect to the fiduciary relationship, the Supreme Court of Canada has set out the test for determining whether one exists in </w:t>
      </w:r>
      <w:r>
        <w:rPr>
          <w:rFonts w:ascii="arial" w:eastAsia="arial" w:hAnsi="arial" w:cs="arial"/>
          <w:i/>
          <w:color w:val="000000"/>
          <w:sz w:val="20"/>
          <w:lang w:val="en-US" w:eastAsia="en-US" w:bidi="ar-SA"/>
        </w:rPr>
        <w:t>International Corona Resources Ltd. v. Lac Minerals Ltd.</w:t>
      </w:r>
      <w:r>
        <w:rPr>
          <w:rFonts w:ascii="arial" w:eastAsia="arial" w:hAnsi="arial" w:cs="arial"/>
          <w:color w:val="000000"/>
          <w:sz w:val="20"/>
          <w:lang w:val="en-US" w:eastAsia="en-US" w:bidi="ar-SA"/>
        </w:rPr>
        <w:t xml:space="preserve">, </w:t>
      </w:r>
      <w:hyperlink r:id="rId308" w:history="1">
        <w:r>
          <w:rPr>
            <w:rFonts w:ascii="arial" w:eastAsia="arial" w:hAnsi="arial" w:cs="arial"/>
            <w:i/>
            <w:color w:val="0077CC"/>
            <w:sz w:val="20"/>
            <w:u w:val="single"/>
            <w:shd w:val="clear" w:color="auto" w:fill="FFFFFF"/>
            <w:lang w:val="en-US" w:eastAsia="en-US" w:bidi="ar-SA"/>
          </w:rPr>
          <w:t>[1989] 2 S.C.R. 574</w:t>
        </w:r>
      </w:hyperlink>
      <w:r>
        <w:rPr>
          <w:rFonts w:ascii="arial" w:eastAsia="arial" w:hAnsi="arial" w:cs="arial"/>
          <w:color w:val="000000"/>
          <w:sz w:val="20"/>
          <w:lang w:val="en-US" w:eastAsia="en-US" w:bidi="ar-SA"/>
        </w:rPr>
        <w:t xml:space="preserve"> at 599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Relationships in which a fiduciary obligation have been imposed seem to possess three general characteristics:</w:t>
      </w:r>
    </w:p>
    <w:p>
      <w:pPr>
        <w:numPr>
          <w:numId w:val="2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fiduciary has scope for the exercise of some discretion or power.</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fiduciary can unilaterally exercise that power or discretion so as to affect the beneficiary's legal or practical interests.</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beneficiary is peculiarly vulnerable to or at the mercy of the fiduciary holding the discretion or power.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xml:space="preserve">  The Supreme Court of Canada in </w:t>
      </w:r>
      <w:r>
        <w:rPr>
          <w:rFonts w:ascii="arial" w:eastAsia="arial" w:hAnsi="arial" w:cs="arial"/>
          <w:i/>
          <w:color w:val="000000"/>
          <w:sz w:val="20"/>
          <w:lang w:val="en-US" w:eastAsia="en-US" w:bidi="ar-SA"/>
        </w:rPr>
        <w:t>Hodgkinson v. Simms</w:t>
      </w:r>
      <w:r>
        <w:rPr>
          <w:rFonts w:ascii="arial" w:eastAsia="arial" w:hAnsi="arial" w:cs="arial"/>
          <w:color w:val="000000"/>
          <w:sz w:val="20"/>
          <w:lang w:val="en-US" w:eastAsia="en-US" w:bidi="ar-SA"/>
        </w:rPr>
        <w:t xml:space="preserve">, </w:t>
      </w:r>
      <w:hyperlink r:id="rId53" w:history="1">
        <w:r>
          <w:rPr>
            <w:rFonts w:ascii="arial" w:eastAsia="arial" w:hAnsi="arial" w:cs="arial"/>
            <w:i/>
            <w:color w:val="0077CC"/>
            <w:sz w:val="20"/>
            <w:u w:val="single"/>
            <w:shd w:val="clear" w:color="auto" w:fill="FFFFFF"/>
            <w:lang w:val="en-US" w:eastAsia="en-US" w:bidi="ar-SA"/>
          </w:rPr>
          <w:t>[1994] 3 S.C.R. 377</w:t>
        </w:r>
      </w:hyperlink>
      <w:r>
        <w:rPr>
          <w:rFonts w:ascii="arial" w:eastAsia="arial" w:hAnsi="arial" w:cs="arial"/>
          <w:color w:val="000000"/>
          <w:sz w:val="20"/>
          <w:lang w:val="en-US" w:eastAsia="en-US" w:bidi="ar-SA"/>
        </w:rPr>
        <w:t xml:space="preserve"> at 408-410 addressed fiduciary relationships again and held: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conceptual approach to fiduciary duties was given analytical structure in the dissenting reasons of Wilson J. in </w:t>
      </w:r>
      <w:r>
        <w:rPr>
          <w:rFonts w:ascii="arial" w:eastAsia="arial" w:hAnsi="arial" w:cs="arial"/>
          <w:i/>
          <w:color w:val="000000"/>
          <w:sz w:val="20"/>
          <w:lang w:val="en-US" w:eastAsia="en-US" w:bidi="ar-SA"/>
        </w:rPr>
        <w:t>Frame v. Smith</w:t>
      </w:r>
      <w:r>
        <w:rPr>
          <w:rFonts w:ascii="arial" w:eastAsia="arial" w:hAnsi="arial" w:cs="arial"/>
          <w:color w:val="000000"/>
          <w:sz w:val="20"/>
          <w:lang w:val="en-US" w:eastAsia="en-US" w:bidi="ar-SA"/>
        </w:rPr>
        <w:t xml:space="preserve">, </w:t>
      </w:r>
      <w:hyperlink r:id="rId52" w:history="1">
        <w:r>
          <w:rPr>
            <w:rFonts w:ascii="arial" w:eastAsia="arial" w:hAnsi="arial" w:cs="arial"/>
            <w:i/>
            <w:color w:val="0077CC"/>
            <w:sz w:val="20"/>
            <w:u w:val="single"/>
            <w:shd w:val="clear" w:color="auto" w:fill="FFFFFF"/>
            <w:lang w:val="en-US" w:eastAsia="en-US" w:bidi="ar-SA"/>
          </w:rPr>
          <w:t>[1987] 2 S.C.R. 99</w:t>
        </w:r>
      </w:hyperlink>
      <w:r>
        <w:rPr>
          <w:rFonts w:ascii="arial" w:eastAsia="arial" w:hAnsi="arial" w:cs="arial"/>
          <w:color w:val="000000"/>
          <w:sz w:val="20"/>
          <w:lang w:val="en-US" w:eastAsia="en-US" w:bidi="ar-SA"/>
        </w:rPr>
        <w:t xml:space="preserve">, at p. 136, who there proposed a three-step analysis to guide the courts in identifying new fiduciary relationships. She stated that relationships in which a fiduciary obligation has been imposed are marked by the following three characteristics: (1) scope for the exercise of some discretion or power; (2) that power or discretion can be exercised unilaterally so as to effect the beneficiary's legal or practical interests; and, (3) a peculiar vulnerability to the exercise of that discretion or power. Although the majority held on the facts that there was no fiduciary obligation, Wilson J.'s mode of analysis has been followed as a "rough and ready guide" in identifying new categories of fiduciary relationships; see </w:t>
      </w:r>
      <w:r>
        <w:rPr>
          <w:rFonts w:ascii="arial" w:eastAsia="arial" w:hAnsi="arial" w:cs="arial"/>
          <w:i/>
          <w:color w:val="000000"/>
          <w:sz w:val="20"/>
          <w:lang w:val="en-US" w:eastAsia="en-US" w:bidi="ar-SA"/>
        </w:rPr>
        <w:t>Lac Minerals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per Sopinka J., at p. 599, and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La Forest J., at p. 646; </w:t>
      </w:r>
      <w:r>
        <w:rPr>
          <w:rFonts w:ascii="arial" w:eastAsia="arial" w:hAnsi="arial" w:cs="arial"/>
          <w:i/>
          <w:color w:val="000000"/>
          <w:sz w:val="20"/>
          <w:lang w:val="en-US" w:eastAsia="en-US" w:bidi="ar-SA"/>
        </w:rPr>
        <w:t>Canson</w:t>
      </w:r>
      <w:r>
        <w:rPr>
          <w:rFonts w:ascii="arial" w:eastAsia="arial" w:hAnsi="arial" w:cs="arial"/>
          <w:color w:val="000000"/>
          <w:sz w:val="20"/>
          <w:lang w:val="en-US" w:eastAsia="en-US" w:bidi="ar-SA"/>
        </w:rPr>
        <w:t xml:space="preserve">, </w:t>
      </w:r>
      <w:hyperlink r:id="rId309" w:history="1">
        <w:r>
          <w:rPr>
            <w:rFonts w:ascii="arial" w:eastAsia="arial" w:hAnsi="arial" w:cs="arial"/>
            <w:i/>
            <w:color w:val="0077CC"/>
            <w:sz w:val="20"/>
            <w:u w:val="single"/>
            <w:shd w:val="clear" w:color="auto" w:fill="FFFFFF"/>
            <w:lang w:val="en-US" w:eastAsia="en-US" w:bidi="ar-SA"/>
          </w:rPr>
          <w:t>[1991] 3 S.C.R. 534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at p. 543; and </w:t>
      </w:r>
      <w:r>
        <w:rPr>
          <w:rFonts w:ascii="arial" w:eastAsia="arial" w:hAnsi="arial" w:cs="arial"/>
          <w:i/>
          <w:color w:val="000000"/>
          <w:sz w:val="20"/>
          <w:lang w:val="en-US" w:eastAsia="en-US" w:bidi="ar-SA"/>
        </w:rPr>
        <w:t>M. (K.) v. M. (H.)</w:t>
      </w:r>
      <w:r>
        <w:rPr>
          <w:rFonts w:ascii="arial" w:eastAsia="arial" w:hAnsi="arial" w:cs="arial"/>
          <w:color w:val="000000"/>
          <w:sz w:val="20"/>
          <w:lang w:val="en-US" w:eastAsia="en-US" w:bidi="ar-SA"/>
        </w:rPr>
        <w:t xml:space="preserve">, </w:t>
      </w:r>
      <w:hyperlink r:id="rId310" w:history="1">
        <w:r>
          <w:rPr>
            <w:rFonts w:ascii="arial" w:eastAsia="arial" w:hAnsi="arial" w:cs="arial"/>
            <w:i/>
            <w:color w:val="0077CC"/>
            <w:sz w:val="20"/>
            <w:u w:val="single"/>
            <w:shd w:val="clear" w:color="auto" w:fill="FFFFFF"/>
            <w:lang w:val="en-US" w:eastAsia="en-US" w:bidi="ar-SA"/>
          </w:rPr>
          <w:t>[1992] 3 S.C.R. 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at pp. 63-64. Wilson J.'s guidelines constitute indicia that help recognize a fiduciary relationship rather than ingredients that define 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I noted in </w:t>
      </w:r>
      <w:r>
        <w:rPr>
          <w:rFonts w:ascii="arial" w:eastAsia="arial" w:hAnsi="arial" w:cs="arial"/>
          <w:i/>
          <w:color w:val="000000"/>
          <w:sz w:val="20"/>
          <w:lang w:val="en-US" w:eastAsia="en-US" w:bidi="ar-SA"/>
        </w:rPr>
        <w:t>Lac Minerals</w:t>
      </w:r>
      <w:r>
        <w:rPr>
          <w:rFonts w:ascii="arial" w:eastAsia="arial" w:hAnsi="arial" w:cs="arial"/>
          <w:color w:val="000000"/>
          <w:sz w:val="20"/>
          <w:lang w:val="en-US" w:eastAsia="en-US" w:bidi="ar-SA"/>
        </w:rPr>
        <w:t>, however, the three-step analysis proposed by Wilson J. encounters difficulties in identifying relationships described by a slightly different use of the term "fiduciary", viz., situations in which fiduciary obligations, though not innate to a given relationship, arise as a matter of fact out of the specific circumstances of that particular relationship; see at p. 648. In these cases, the question to ask is whether, given all the surrounding circumstances, one party could reasonably have expected that the other party would act in the former's best interests with respect to the subject matter at issue. Discretion, influence, vulnerability and trust were mentioned as non-exhaustive examples of evidential factors to be considered in making this determination.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Thus, outside the established categories, what is required is evidence of a mutual understanding that one party has relinquished its own self-interest and agreed to act solely on behalf of the other party.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xml:space="preserve">  The plaintiffs rely on D. Debenham, </w:t>
      </w:r>
      <w:r>
        <w:rPr>
          <w:rFonts w:ascii="arial" w:eastAsia="arial" w:hAnsi="arial" w:cs="arial"/>
          <w:i/>
          <w:color w:val="000000"/>
          <w:sz w:val="20"/>
          <w:lang w:val="en-US" w:eastAsia="en-US" w:bidi="ar-SA"/>
        </w:rPr>
        <w:t>The Law of Fraud and the Forensic Investigator</w:t>
      </w:r>
      <w:r>
        <w:rPr>
          <w:rFonts w:ascii="arial" w:eastAsia="arial" w:hAnsi="arial" w:cs="arial"/>
          <w:color w:val="000000"/>
          <w:sz w:val="20"/>
          <w:lang w:val="en-US" w:eastAsia="en-US" w:bidi="ar-SA"/>
        </w:rPr>
        <w:t>, 3rd ed. (Toronto: Carswell, 2012) at page 14 with respect to their claim of constructive fraud: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Constructive fraud does not require a proof of design to mislead or deceive another, but of some failure to perform an obligation in good faith, or in accordance with the intention of the parties, often out of self-interest. It is not simply bad judgment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but it is more - a failure to properly respect the rights of one who is vulnerable to the power of another. That vulnerability may be as a result of a preceding contractual obligation which has left one person at the mercy of another, or it may be as a result of the facts and circumstances of the particular case. Constructive fraud does not imply fault, in the sense of intentional misconduct, like actual fraud does. The standard for constructive fraud is objective, while actual fraud (also known as "fraud at law") requires a subjective dishonest intention. Thus, in cases like </w:t>
      </w:r>
      <w:r>
        <w:rPr>
          <w:rFonts w:ascii="arial" w:eastAsia="arial" w:hAnsi="arial" w:cs="arial"/>
          <w:i/>
          <w:color w:val="000000"/>
          <w:sz w:val="20"/>
          <w:lang w:val="en-US" w:eastAsia="en-US" w:bidi="ar-SA"/>
        </w:rPr>
        <w:t>Boardman v. Fhips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Regal (Hastings) Ltd. v. Gulliver</w:t>
      </w:r>
      <w:r>
        <w:rPr>
          <w:rFonts w:ascii="arial" w:eastAsia="arial" w:hAnsi="arial" w:cs="arial"/>
          <w:color w:val="000000"/>
          <w:sz w:val="20"/>
          <w:lang w:val="en-US" w:eastAsia="en-US" w:bidi="ar-SA"/>
        </w:rPr>
        <w:t>, the courts have found constructive fraud where the defendants thought they were acting entirely properly, because the court found that their conduct did not comport the legal standard required of someone who had power over the affairs of another.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With respect to each of these two claims, the plaintiffs rely on the provisions of the co-owners agreement, Taynton's (and through piercing the corporate veil, Mr. Callaghan's) position as manager of the Joint Venture, and Mr. Callaghan's position as a director of OKM.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Mr. Callaghan, as a director of OKM, owed a fiduciary duty to OKM. That is one of the recognized categories of fiduciary relationships.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With respect to the plaintiffs' claim that a fiduciary duty was owed to Jasmur and that Jasmur was the victim of constructive fraud, I do not accept that Jasmur or Mr. Murray were in a vulnerable position of the sort required to found a fiduciary duty. While Mr. Callaghan was experienced in construction matters, Mr. Murray was a sophisticated businessman with a tight hold on the purse strings of the Joint Venture and a majority interest that allowed him to act unilaterally, for example by terminating the management agreement on two occasions so as to interrupt the payment of project management fees, and by deciding when and how much to invoice the Joint Venture for his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Further, with respect to a trust-like relationship, I find that none existed here. It is not enough for Mr. Murray to say Mr. Callaghan was his friend and he trusted him. If that were sufficient to create a fiduciary relationship, it would cast a very wide net. The co-owners agreement expressly provides that the co-owners did not become partners and could not act as agents for each 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xml:space="preserve">  It is clear that the existence of a joint venture does not necessarily give rise to fiduciary duties. As Wedge J. said in </w:t>
      </w:r>
      <w:r>
        <w:rPr>
          <w:rFonts w:ascii="arial" w:eastAsia="arial" w:hAnsi="arial" w:cs="arial"/>
          <w:i/>
          <w:color w:val="000000"/>
          <w:sz w:val="20"/>
          <w:lang w:val="en-US" w:eastAsia="en-US" w:bidi="ar-SA"/>
        </w:rPr>
        <w:t>Blue Line Hockey Acquisition Co., Inc. v. Orca Bay Hockey Limited Partnership</w:t>
      </w:r>
      <w:r>
        <w:rPr>
          <w:rFonts w:ascii="arial" w:eastAsia="arial" w:hAnsi="arial" w:cs="arial"/>
          <w:color w:val="000000"/>
          <w:sz w:val="20"/>
          <w:lang w:val="en-US" w:eastAsia="en-US" w:bidi="ar-SA"/>
        </w:rPr>
        <w:t xml:space="preserve">, </w:t>
      </w:r>
      <w:hyperlink r:id="rId311" w:history="1">
        <w:r>
          <w:rPr>
            <w:rFonts w:ascii="arial" w:eastAsia="arial" w:hAnsi="arial" w:cs="arial"/>
            <w:i/>
            <w:color w:val="0077CC"/>
            <w:sz w:val="20"/>
            <w:u w:val="single"/>
            <w:shd w:val="clear" w:color="auto" w:fill="FFFFFF"/>
            <w:lang w:val="en-US" w:eastAsia="en-US" w:bidi="ar-SA"/>
          </w:rPr>
          <w:t>2008 BCSC 27</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[71] The reasons of Sopinka J. in </w:t>
      </w:r>
      <w:r>
        <w:rPr>
          <w:rFonts w:ascii="arial" w:eastAsia="arial" w:hAnsi="arial" w:cs="arial"/>
          <w:b/>
          <w:i/>
          <w:color w:val="000000"/>
          <w:sz w:val="20"/>
          <w:lang w:val="en-US" w:eastAsia="en-US" w:bidi="ar-SA"/>
        </w:rPr>
        <w:t>Lac Minerals Ltd. v. International Corona Resources Ltd.</w:t>
      </w:r>
      <w:r>
        <w:rPr>
          <w:rFonts w:ascii="arial" w:eastAsia="arial" w:hAnsi="arial" w:cs="arial"/>
          <w:color w:val="000000"/>
          <w:sz w:val="20"/>
          <w:lang w:val="en-US" w:eastAsia="en-US" w:bidi="ar-SA"/>
        </w:rPr>
        <w:t xml:space="preserve">, </w:t>
      </w:r>
      <w:hyperlink r:id="rId308" w:history="1">
        <w:r>
          <w:rPr>
            <w:rFonts w:ascii="arial" w:eastAsia="arial" w:hAnsi="arial" w:cs="arial"/>
            <w:i/>
            <w:color w:val="0077CC"/>
            <w:sz w:val="20"/>
            <w:u w:val="single"/>
            <w:shd w:val="clear" w:color="auto" w:fill="FFFFFF"/>
            <w:lang w:val="en-US" w:eastAsia="en-US" w:bidi="ar-SA"/>
          </w:rPr>
          <w:t>[1989] 2 S.C.R. 574</w:t>
        </w:r>
      </w:hyperlink>
      <w:r>
        <w:rPr>
          <w:rFonts w:ascii="arial" w:eastAsia="arial" w:hAnsi="arial" w:cs="arial"/>
          <w:color w:val="000000"/>
          <w:sz w:val="20"/>
          <w:lang w:val="en-US" w:eastAsia="en-US" w:bidi="ar-SA"/>
        </w:rPr>
        <w:t xml:space="preserve">, </w:t>
      </w:r>
      <w:hyperlink r:id="rId308" w:history="1">
        <w:r>
          <w:rPr>
            <w:rFonts w:ascii="arial" w:eastAsia="arial" w:hAnsi="arial" w:cs="arial"/>
            <w:i/>
            <w:color w:val="0077CC"/>
            <w:sz w:val="20"/>
            <w:u w:val="single"/>
            <w:shd w:val="clear" w:color="auto" w:fill="FFFFFF"/>
            <w:lang w:val="en-US" w:eastAsia="en-US" w:bidi="ar-SA"/>
          </w:rPr>
          <w:t>61 D.L.R. (4th) 14</w:t>
        </w:r>
      </w:hyperlink>
      <w:r>
        <w:rPr>
          <w:rFonts w:ascii="arial" w:eastAsia="arial" w:hAnsi="arial" w:cs="arial"/>
          <w:color w:val="000000"/>
          <w:sz w:val="20"/>
          <w:lang w:val="en-US" w:eastAsia="en-US" w:bidi="ar-SA"/>
        </w:rPr>
        <w:t xml:space="preserve"> continue to be regarded as the touchstone on the limited role of fiduciary duties in relationships between arm's length commercial parties. Mr. Justice Sopinka said the following at p. 595:</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consequences attendant on a finding of a fiduciary relationship and its breach have resulted in judicial reluctance to do so except where the application of this "blunt tool of equity" is really necessary. It is rare that it is required in the context of an arm's length commercial transaction.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In my opinion, equity's blunt tool must be reserved for situations that are truly in need of the special protection that equity affords.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[76] On appeal, the court [in </w:t>
      </w:r>
      <w:r>
        <w:rPr>
          <w:rFonts w:ascii="arial" w:eastAsia="arial" w:hAnsi="arial" w:cs="arial"/>
          <w:b/>
          <w:i/>
          <w:color w:val="000000"/>
          <w:sz w:val="20"/>
          <w:lang w:val="en-US" w:eastAsia="en-US" w:bidi="ar-SA"/>
        </w:rPr>
        <w:t>Visagie v. TVX Gold Inc.</w:t>
      </w:r>
      <w:r>
        <w:rPr>
          <w:rFonts w:ascii="arial" w:eastAsia="arial" w:hAnsi="arial" w:cs="arial"/>
          <w:color w:val="000000"/>
          <w:sz w:val="20"/>
          <w:lang w:val="en-US" w:eastAsia="en-US" w:bidi="ar-SA"/>
        </w:rPr>
        <w:t xml:space="preserve"> </w:t>
      </w:r>
      <w:hyperlink r:id="rId312" w:history="1">
        <w:r>
          <w:rPr>
            <w:rFonts w:ascii="arial" w:eastAsia="arial" w:hAnsi="arial" w:cs="arial"/>
            <w:i/>
            <w:color w:val="0077CC"/>
            <w:sz w:val="20"/>
            <w:u w:val="single"/>
            <w:shd w:val="clear" w:color="auto" w:fill="FFFFFF"/>
            <w:lang w:val="en-US" w:eastAsia="en-US" w:bidi="ar-SA"/>
          </w:rPr>
          <w:t>(2000), 187 D.L.R. (4th) 193</w:t>
        </w:r>
      </w:hyperlink>
      <w:r>
        <w:rPr>
          <w:rFonts w:ascii="arial" w:eastAsia="arial" w:hAnsi="arial" w:cs="arial"/>
          <w:color w:val="000000"/>
          <w:sz w:val="20"/>
          <w:lang w:val="en-US" w:eastAsia="en-US" w:bidi="ar-SA"/>
        </w:rPr>
        <w:t xml:space="preserve">] unanimously concluded the trial judge erred in holding that the joint venture gave rise to fiduciary duties and that those duties survived the termination of the joint venture. Charron J.A. (as she then was) observed that any duties owed by parties to one another during the life of a joint venture agreement, and following its termination, arose from the terms of the agreement itself and not from any fiduciary obligation imposed by law. Charron J.A. in </w:t>
      </w:r>
      <w:r>
        <w:rPr>
          <w:rFonts w:ascii="arial" w:eastAsia="arial" w:hAnsi="arial" w:cs="arial"/>
          <w:b/>
          <w:i/>
          <w:color w:val="000000"/>
          <w:sz w:val="20"/>
          <w:lang w:val="en-US" w:eastAsia="en-US" w:bidi="ar-SA"/>
        </w:rPr>
        <w:t>Visagie</w:t>
      </w:r>
      <w:r>
        <w:rPr>
          <w:rFonts w:ascii="arial" w:eastAsia="arial" w:hAnsi="arial" w:cs="arial"/>
          <w:color w:val="000000"/>
          <w:sz w:val="20"/>
          <w:lang w:val="en-US" w:eastAsia="en-US" w:bidi="ar-SA"/>
        </w:rPr>
        <w:t xml:space="preserve"> said the following at para. 25:</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Supreme Court of Canada in </w:t>
      </w:r>
      <w:r>
        <w:rPr>
          <w:rFonts w:ascii="arial" w:eastAsia="arial" w:hAnsi="arial" w:cs="arial"/>
          <w:i/>
          <w:color w:val="000000"/>
          <w:sz w:val="20"/>
          <w:lang w:val="en-US" w:eastAsia="en-US" w:bidi="ar-SA"/>
        </w:rPr>
        <w:t xml:space="preserve">Cadbury Schweppes, </w:t>
      </w:r>
      <w:hyperlink r:id="rId204" w:history="1">
        <w:r>
          <w:rPr>
            <w:rFonts w:ascii="arial" w:eastAsia="arial" w:hAnsi="arial" w:cs="arial"/>
            <w:i/>
            <w:color w:val="0077CC"/>
            <w:sz w:val="20"/>
            <w:u w:val="single"/>
            <w:shd w:val="clear" w:color="auto" w:fill="FFFFFF"/>
            <w:lang w:val="en-US" w:eastAsia="en-US" w:bidi="ar-SA"/>
          </w:rPr>
          <w:t>[1999] 1 S.C.R. 142</w:t>
        </w:r>
      </w:hyperlink>
      <w:r>
        <w:rPr>
          <w:rFonts w:ascii="arial" w:eastAsia="arial" w:hAnsi="arial" w:cs="arial"/>
          <w:i/>
          <w:color w:val="000000"/>
          <w:sz w:val="20"/>
          <w:lang w:val="en-US" w:eastAsia="en-US" w:bidi="ar-SA"/>
        </w:rPr>
        <w:t xml:space="preserve"> supra,</w:t>
      </w:r>
      <w:r>
        <w:rPr>
          <w:rFonts w:ascii="arial" w:eastAsia="arial" w:hAnsi="arial" w:cs="arial"/>
          <w:color w:val="000000"/>
          <w:sz w:val="20"/>
          <w:lang w:val="en-US" w:eastAsia="en-US" w:bidi="ar-SA"/>
        </w:rPr>
        <w:t xml:space="preserve"> makes it clear that fiduciary obligations are seldom present in a commercial context between parties acting at arm's length. Binnie J., in writing for the Court, quoted at pp. 163-164 the following from </w:t>
      </w:r>
      <w:r>
        <w:rPr>
          <w:rFonts w:ascii="arial" w:eastAsia="arial" w:hAnsi="arial" w:cs="arial"/>
          <w:i/>
          <w:color w:val="000000"/>
          <w:sz w:val="20"/>
          <w:lang w:val="en-US" w:eastAsia="en-US" w:bidi="ar-SA"/>
        </w:rPr>
        <w:t>Frame v. Smith,</w:t>
      </w:r>
      <w:r>
        <w:rPr>
          <w:rFonts w:ascii="arial" w:eastAsia="arial" w:hAnsi="arial" w:cs="arial"/>
          <w:color w:val="000000"/>
          <w:sz w:val="20"/>
          <w:lang w:val="en-US" w:eastAsia="en-US" w:bidi="ar-SA"/>
        </w:rPr>
        <w:t xml:space="preserve"> </w:t>
      </w:r>
      <w:hyperlink r:id="rId52" w:history="1">
        <w:r>
          <w:rPr>
            <w:rFonts w:ascii="arial" w:eastAsia="arial" w:hAnsi="arial" w:cs="arial"/>
            <w:i/>
            <w:color w:val="0077CC"/>
            <w:sz w:val="20"/>
            <w:u w:val="single"/>
            <w:shd w:val="clear" w:color="auto" w:fill="FFFFFF"/>
            <w:lang w:val="en-US" w:eastAsia="en-US" w:bidi="ar-SA"/>
          </w:rPr>
          <w:t>[1987] 2 S.C.R. 99</w:t>
        </w:r>
      </w:hyperlink>
      <w:r>
        <w:rPr>
          <w:rFonts w:ascii="arial" w:eastAsia="arial" w:hAnsi="arial" w:cs="arial"/>
          <w:color w:val="000000"/>
          <w:sz w:val="20"/>
          <w:lang w:val="en-US" w:eastAsia="en-US" w:bidi="ar-SA"/>
        </w:rPr>
        <w: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Because of the requirement of vulnerability of the beneficiary at the hands of the fiduciary, fiduciary obligations are seldom present in the dealings of experienced businessmen of similar bargaining strength acting at arm's length... The law takes the position that such individuals are perfectly capable of agreeing as to the scope of the discretion or power to be exercised, i.e., any "vulnerability" could have been prevented through the more prudent exercise of their bargaining power and the remedies for the wrongful exercise or abuse of that discretion or power, namely damages, are adequate in such a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I do not accept the plaintiffs' submission that clause 4.10(j) assists Jasmur in establishing the existence of a fiduciary relationship between Jasmur and Taynton, or by piercing the corporate veil, Mr. Callaghan. That clause required, practically, that Jasmur and Taynton approve the payment, by OKM, of salary or remuneration paid to either company. I find that the clause does not apply to funds paid to either of the joint venturers by third parties, or in and of itself impose disclosure obligations with respect to such funds.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The only fiduciary relationship that existed here was that between Mr. Callaghan and OKM. As I said earlier, Mr. Callaghan had a fiduciary duty to OKM, as a director of OKM. He was required to act in good faith and honestly and to act in the best interests of OKM. I find that his obligations included a requirement that he disclose his interest in the Ellwood Excavation contract and in the Max Mechanical contract. It is admitted that he did not. However, there is no evidence before me which would enable me to conclude that the failure to disclose caused OKM to suffer damages or losses, for reasons I will address shortly.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With respect to the allegation that Mr. Callaghan breached his duties as a director of OKM as a result of failing to act in OKM's best interests, such a finding would require some evidence that Mr. Callaghan's arrangements, or Taynton's arrangements, with Ellwood Excavation and with Max Mechanical were not in OKM's best interests.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The plaintiffs rely on the manner in which Mr. Callaghan conducted himself as proof that the contracts were not in OKM's best interest. In addition to the Ellwood Excavating contract and the Max Mechanical contract, they point to the fact that Mr. Callaghan, through Taynton, rented equipment to OKM, again without disclosing that he was the owner of that equipment. They ask me to draw an inference that non-disclosure of the arrangements proves that the arrangements were not in OKM's best interests.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It would have been a simple matter for the plaintiffs to provide some evidence with respect to the value of the excavation work, the value of the plumbing and mechanical work, and going rates for third-party equipment rental, against which the costs charged to OKM could have been measured. No such evidence was tendered, with the exception of some hearsay evidence from Mr. Murray about telephone calls he made to equipment rental companies after he began investigating the books of the Gardena project. That evidence is not admissible as truth of the proof of its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Against that dearth of evidence, which is inexplicable to me, Mr. Callaghan provided an explanation for why he did not disclose to Mr. Murray, the only other director of OKM, his involvement in the Ellwood Excavation and Max Mechanical arrangements. He testified in some detail about the work that he personally performed as part of the excavation, plumbing and mechanical work that was done on the project site, and he testified that the excavation, plumbing and mechanical work performed was good value for OKM. He also gave evidence about the rental of his or Taynton's equipment to OKM for use on site. I recognize that Mr. Callaghan's evidence is self-serving, but there is no evidence, save from inferences that might be drawn from Mr. Callaghan's conduct, to contradict his evidence. Consequently, despite finding that Mr. Callaghan breached his duty of disclosure to OKM, I find the plaintiffs have not proved damages arising from that breach and I find no other breach of Mr. Callaghan's fiduciary duties associated with the Ellwood Excavation, Max Mechanical, or equipment rental arrangements.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I do find that Mr. Callaghan breached his fiduciary duties to OKM, causing OKM damages, with respect to certain instances in which he had Taynton invoice OKM for third-party expenses, and then either failed to remit the amount paid by OKM to the supplier or failed to provide invoices to substantiate the third-party expense that was invoiced.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The total amount calculated by the plaintiffs' accounting expert as having been charged by Taynton to OKM as third-party costs, for which there are no supporting invoices, including instances of Taynton billing OKM twice, or billing and receiving payment from OKM but not remitting the funds to the third-party supplier, is $89,196. That sum is comprised of two large invoices and multiple smaller ones.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The two large invoices both relate to AcuTruss. As set out earlier, Taynton rendered invoices to OKM which often included third-party billings. Taynton invoiced OKM, and was paid by OKM, for invoices it had received from AcuTruss. A portion of the money Taynton received associated with the AcuTruss invoices was not paid to AcuTruss. As a result, AcuTruss liened the property. Mr. Murray paid out the amount of the lien and added that amount to the principal sum owing by OKM. Mr. Callaghan admitted to Mr. Murray that he had kept that money for his own use and not paid it to AcuTruss. The amount that was added to the principal of the loan advanced to OKM by Mr. Edmunds was $32,242.11.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Taynton also billed OKM for $24,948.20 more for AcuTruss than the total of the actual AcuTruss invoices the accountant was able to locate in the OKM financial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The balance of the $89,196 is with respect to small transactions recorded in the OKM financial records, each identified specifically by date, payee and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Mr. Callaghan is the only person who could have explained or accounted for those sums invoiced. He was the person performing the bookkeeping for OKM at the time of the transactions. He created the Taynton invoices which purported to include amounts paid or owing to third-party suppliers. He was the only person who had control of the books and records of Taynton, and of Antrim, which company appears to have paid some of the third-party invoices. He was ordered, on several occasions, to produce documents with respect to Taynton and Antrim. He failed to do so. In the circumstances, I draw an adverse inference against him, and his company Taynton, with respect to the unsupported Taynton invoices.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I find Mr. Callaghan, as the sole director and operating mind of Taynton, as well as Taynton, jointly and severally liable to OKM for the amount of $89,196, inclusive of the AcuTruss amounts.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I turn now to the plaintiffs' claim for unjust enrichment. That claim must fail, since it is based on the Ellwood Excavation, Max Mechanical, and equipment rental arrangements, and the plaintiffs have failed to prove any damages related to those arrangements.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With respect to the plaintiffs' claim for breach of contract and breach of the duty of honesty in the performance of contractual obligations, I find that Taynton, through the actions of Mr. Callaghan, did breach the co-owners agreement and the duty to perform contractual obligations honestly, by failing to pay third-party suppliers funds that had been billed to and paid by OKM, and by billing OKM for alleged third-party costs but providing no invoices to substantiate the same. However, the measure of damages is based on a calculation of what the plaintiffs' position would have been if the defendants had fulfilled their duty (</w:t>
      </w:r>
      <w:r>
        <w:rPr>
          <w:rFonts w:ascii="arial" w:eastAsia="arial" w:hAnsi="arial" w:cs="arial"/>
          <w:i/>
          <w:color w:val="000000"/>
          <w:sz w:val="20"/>
          <w:lang w:val="en-US" w:eastAsia="en-US" w:bidi="ar-SA"/>
        </w:rPr>
        <w:t>Bhasin v. Hrynew</w:t>
      </w:r>
      <w:r>
        <w:rPr>
          <w:rFonts w:ascii="arial" w:eastAsia="arial" w:hAnsi="arial" w:cs="arial"/>
          <w:color w:val="000000"/>
          <w:sz w:val="20"/>
          <w:lang w:val="en-US" w:eastAsia="en-US" w:bidi="ar-SA"/>
        </w:rPr>
        <w:t xml:space="preserve">, </w:t>
      </w:r>
      <w:hyperlink r:id="rId313" w:history="1">
        <w:r>
          <w:rPr>
            <w:rFonts w:ascii="arial" w:eastAsia="arial" w:hAnsi="arial" w:cs="arial"/>
            <w:i/>
            <w:color w:val="0077CC"/>
            <w:sz w:val="20"/>
            <w:u w:val="single"/>
            <w:shd w:val="clear" w:color="auto" w:fill="FFFFFF"/>
            <w:lang w:val="en-US" w:eastAsia="en-US" w:bidi="ar-SA"/>
          </w:rPr>
          <w:t>2014 SCC 71</w:t>
        </w:r>
      </w:hyperlink>
      <w:r>
        <w:rPr>
          <w:rFonts w:ascii="arial" w:eastAsia="arial" w:hAnsi="arial" w:cs="arial"/>
          <w:color w:val="000000"/>
          <w:sz w:val="20"/>
          <w:lang w:val="en-US" w:eastAsia="en-US" w:bidi="ar-SA"/>
        </w:rPr>
        <w:t xml:space="preserve"> at para. 108). The damages mirror those awarded to OKM for breach of fiduciary duty, and no further award is warranted.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With respect to the plaintiffs' claim for conspiracy, again related to the Ellwood Excavation and Max Mechanical arrangements, I find that the plaintiffs have not proved the facts to support either path to a finding of conspiracy, and further they have not proved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I turn to the claims against Ms. Callaghan. Although she was alleged, in the pleadings, to have been a conspirator, that claim was abandoned during closing submissions. However, the plaintiffs maintain that she is liable to them for any damages assessed against Mr. Callaghan or his companies, on the basis of knowing assistance or knowing receipt.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Liability for knowing assistance is only established when a plaintiff proves that the defendant had actual knowledge of a breach of trust or fraud, or had been reckless or willfully blind to it (</w:t>
      </w:r>
      <w:r>
        <w:rPr>
          <w:rFonts w:ascii="arial" w:eastAsia="arial" w:hAnsi="arial" w:cs="arial"/>
          <w:i/>
          <w:color w:val="000000"/>
          <w:sz w:val="20"/>
          <w:lang w:val="en-US" w:eastAsia="en-US" w:bidi="ar-SA"/>
        </w:rPr>
        <w:t>Citadel General Assurance Co. v. Lloyds Bank of Canada</w:t>
      </w:r>
      <w:r>
        <w:rPr>
          <w:rFonts w:ascii="arial" w:eastAsia="arial" w:hAnsi="arial" w:cs="arial"/>
          <w:color w:val="000000"/>
          <w:sz w:val="20"/>
          <w:lang w:val="en-US" w:eastAsia="en-US" w:bidi="ar-SA"/>
        </w:rPr>
        <w:t xml:space="preserve">, </w:t>
      </w:r>
      <w:hyperlink r:id="rId314" w:history="1">
        <w:r>
          <w:rPr>
            <w:rFonts w:ascii="arial" w:eastAsia="arial" w:hAnsi="arial" w:cs="arial"/>
            <w:i/>
            <w:color w:val="0077CC"/>
            <w:sz w:val="20"/>
            <w:u w:val="single"/>
            <w:shd w:val="clear" w:color="auto" w:fill="FFFFFF"/>
            <w:lang w:val="en-US" w:eastAsia="en-US" w:bidi="ar-SA"/>
          </w:rPr>
          <w:t>[1997] 3 S.C.R. 805</w:t>
        </w:r>
      </w:hyperlink>
      <w:r>
        <w:rPr>
          <w:rFonts w:ascii="arial" w:eastAsia="arial" w:hAnsi="arial" w:cs="arial"/>
          <w:color w:val="000000"/>
          <w:sz w:val="20"/>
          <w:lang w:val="en-US" w:eastAsia="en-US" w:bidi="ar-SA"/>
        </w:rPr>
        <w:t xml:space="preserve"> at 819-820).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As I indicated earlier, I find that Ms. Callaghan was a credible witness. She maintained that she had no involvement in, or knowledge of, Mr. Callaghan's business, including any accounting or financial matters. Mr. Callaghan had worked for many years as a self-employed person, and he had always used their bank accounts and the credit cards of which she was the primary holder for various business transactions. There was a long marital history of ebbs and flows in Mr. Callaghan's income, and in money into and out of their accounts. Mr. Callaghan was contractually entitled to be paid project management fees and site supervision fees, and he was entitled to seek reimbursement for project material paid for on Ms. Callaghan's credit card. I find that Ms. Callaghan had no obligation to make any inquiries concerning the money paid into, and out of, their bank accounts during the period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Further, with respect to knowing receipt, it is established if the recipient has constructive knowledge that the property transferred to her was in breach of trust or through fraud. Constructive knowledge is established where the recipient had knowledge of facts which would put a reasonable person on inquiry (</w:t>
      </w:r>
      <w:r>
        <w:rPr>
          <w:rFonts w:ascii="arial" w:eastAsia="arial" w:hAnsi="arial" w:cs="arial"/>
          <w:i/>
          <w:color w:val="000000"/>
          <w:sz w:val="20"/>
          <w:lang w:val="en-US" w:eastAsia="en-US" w:bidi="ar-SA"/>
        </w:rPr>
        <w:t>Citadel General Assurance Co.</w:t>
      </w:r>
      <w:r>
        <w:rPr>
          <w:rFonts w:ascii="arial" w:eastAsia="arial" w:hAnsi="arial" w:cs="arial"/>
          <w:color w:val="000000"/>
          <w:sz w:val="20"/>
          <w:lang w:val="en-US" w:eastAsia="en-US" w:bidi="ar-SA"/>
        </w:rPr>
        <w:t xml:space="preserve"> at pages 837-838).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For the same reasons that I find the plaintiffs have not made out their claim of knowing assistance against Ms. Callaghan, I find they have not made out their claim for knowing receipt.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Given my conclusions with respect to the claims made by the plaintiffs, it follows that I have not found the sort of egregious conduct on the part of the defendants that would warrant punitive damages against any of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It also follows from my conclusions with respect to the Ellwood Excavation and Max Mechanical arrangements that there will be no award of damages, in favour of any of the plaintiffs, against the defendants who did not participate in the trial and against whom default judgments were taken.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Lastly, with respect to the plaintiffs' claims, they seek the imposition of a constructive trust over properties held in Ms. Callaghan's name, and over any other assets for which the money wrongfully received by Mr. Callaghan or Taynton, and a tracing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Peter v. Beblow</w:t>
      </w:r>
      <w:r>
        <w:rPr>
          <w:rFonts w:ascii="arial" w:eastAsia="arial" w:hAnsi="arial" w:cs="arial"/>
          <w:color w:val="000000"/>
          <w:sz w:val="20"/>
          <w:lang w:val="en-US" w:eastAsia="en-US" w:bidi="ar-SA"/>
        </w:rPr>
        <w:t xml:space="preserve">, </w:t>
      </w:r>
      <w:hyperlink r:id="rId315" w:history="1">
        <w:r>
          <w:rPr>
            <w:rFonts w:ascii="arial" w:eastAsia="arial" w:hAnsi="arial" w:cs="arial"/>
            <w:i/>
            <w:color w:val="0077CC"/>
            <w:sz w:val="20"/>
            <w:u w:val="single"/>
            <w:shd w:val="clear" w:color="auto" w:fill="FFFFFF"/>
            <w:lang w:val="en-US" w:eastAsia="en-US" w:bidi="ar-SA"/>
          </w:rPr>
          <w:t>[1993] 1 S.C.R. 980</w:t>
        </w:r>
      </w:hyperlink>
      <w:r>
        <w:rPr>
          <w:rFonts w:ascii="arial" w:eastAsia="arial" w:hAnsi="arial" w:cs="arial"/>
          <w:color w:val="000000"/>
          <w:sz w:val="20"/>
          <w:lang w:val="en-US" w:eastAsia="en-US" w:bidi="ar-SA"/>
        </w:rPr>
        <w:t>, McLachlin J. (as she then was), speaking for the majority, said (at page 982), "A direct link between the contribution and the property is essential for a constructive trust to arise, whether the situation be commercial or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Tracy v. Instaloans Financial Solutions Centres (B.C.) Ltd.</w:t>
      </w:r>
      <w:r>
        <w:rPr>
          <w:rFonts w:ascii="arial" w:eastAsia="arial" w:hAnsi="arial" w:cs="arial"/>
          <w:color w:val="000000"/>
          <w:sz w:val="20"/>
          <w:lang w:val="en-US" w:eastAsia="en-US" w:bidi="ar-SA"/>
        </w:rPr>
        <w:t xml:space="preserve">, </w:t>
      </w:r>
      <w:hyperlink r:id="rId316" w:history="1">
        <w:r>
          <w:rPr>
            <w:rFonts w:ascii="arial" w:eastAsia="arial" w:hAnsi="arial" w:cs="arial"/>
            <w:i/>
            <w:color w:val="0077CC"/>
            <w:sz w:val="20"/>
            <w:u w:val="single"/>
            <w:shd w:val="clear" w:color="auto" w:fill="FFFFFF"/>
            <w:lang w:val="en-US" w:eastAsia="en-US" w:bidi="ar-SA"/>
          </w:rPr>
          <w:t>2010 BCCA 357</w:t>
        </w:r>
      </w:hyperlink>
      <w:r>
        <w:rPr>
          <w:rFonts w:ascii="arial" w:eastAsia="arial" w:hAnsi="arial" w:cs="arial"/>
          <w:color w:val="000000"/>
          <w:sz w:val="20"/>
          <w:lang w:val="en-US" w:eastAsia="en-US" w:bidi="ar-SA"/>
        </w:rPr>
        <w:t>, the Court of Appeal addressed the circumstances in which constructive trust is appropriate: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[25] On appeal [</w:t>
      </w:r>
      <w:r>
        <w:rPr>
          <w:rFonts w:ascii="arial" w:eastAsia="arial" w:hAnsi="arial" w:cs="arial"/>
          <w:i/>
          <w:color w:val="000000"/>
          <w:sz w:val="20"/>
          <w:lang w:val="en-US" w:eastAsia="en-US" w:bidi="ar-SA"/>
        </w:rPr>
        <w:t>Soulos v. Korkontzilas</w:t>
      </w:r>
      <w:r>
        <w:rPr>
          <w:rFonts w:ascii="arial" w:eastAsia="arial" w:hAnsi="arial" w:cs="arial"/>
          <w:color w:val="000000"/>
          <w:sz w:val="20"/>
          <w:lang w:val="en-US" w:eastAsia="en-US" w:bidi="ar-SA"/>
        </w:rPr>
        <w:t xml:space="preserve">, </w:t>
      </w:r>
      <w:hyperlink r:id="rId317" w:history="1">
        <w:r>
          <w:rPr>
            <w:rFonts w:ascii="arial" w:eastAsia="arial" w:hAnsi="arial" w:cs="arial"/>
            <w:i/>
            <w:color w:val="0077CC"/>
            <w:sz w:val="20"/>
            <w:u w:val="single"/>
            <w:shd w:val="clear" w:color="auto" w:fill="FFFFFF"/>
            <w:lang w:val="en-US" w:eastAsia="en-US" w:bidi="ar-SA"/>
          </w:rPr>
          <w:t>[1997] 2 S.C.R. 217</w:t>
        </w:r>
      </w:hyperlink>
      <w:r>
        <w:rPr>
          <w:rFonts w:ascii="arial" w:eastAsia="arial" w:hAnsi="arial" w:cs="arial"/>
          <w:color w:val="000000"/>
          <w:sz w:val="20"/>
          <w:lang w:val="en-US" w:eastAsia="en-US" w:bidi="ar-SA"/>
        </w:rPr>
        <w:t xml:space="preserve">], the Supreme Court of Canada took the opportunity to broaden the law as to when a constructive trust is appropriate, agreeing with the Ontario Court of Appeal that the remedy was not limited to cases of unjust enrichment. After reviewing some of the academic literature and some Commonwealth cases, the Court,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McLachlin J., as she then was, observed that "good conscience is a theme underlying constructive trust from its earliest times."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[26] McLachlin J. noted that whereas in </w:t>
      </w:r>
      <w:r>
        <w:rPr>
          <w:rFonts w:ascii="arial" w:eastAsia="arial" w:hAnsi="arial" w:cs="arial"/>
          <w:i/>
          <w:color w:val="000000"/>
          <w:sz w:val="20"/>
          <w:lang w:val="en-US" w:eastAsia="en-US" w:bidi="ar-SA"/>
        </w:rPr>
        <w:t>Pettkus v. Becker</w:t>
      </w:r>
      <w:r>
        <w:rPr>
          <w:rFonts w:ascii="arial" w:eastAsia="arial" w:hAnsi="arial" w:cs="arial"/>
          <w:color w:val="000000"/>
          <w:sz w:val="20"/>
          <w:lang w:val="en-US" w:eastAsia="en-US" w:bidi="ar-SA"/>
        </w:rPr>
        <w:t xml:space="preserve"> </w:t>
      </w:r>
      <w:hyperlink r:id="rId318" w:history="1">
        <w:r>
          <w:rPr>
            <w:rFonts w:ascii="arial" w:eastAsia="arial" w:hAnsi="arial" w:cs="arial"/>
            <w:i/>
            <w:color w:val="0077CC"/>
            <w:sz w:val="20"/>
            <w:u w:val="single"/>
            <w:shd w:val="clear" w:color="auto" w:fill="FFFFFF"/>
            <w:lang w:val="en-US" w:eastAsia="en-US" w:bidi="ar-SA"/>
          </w:rPr>
          <w:t>[1980] 2 S.C.R. 834</w:t>
        </w:r>
      </w:hyperlink>
      <w:r>
        <w:rPr>
          <w:rFonts w:ascii="arial" w:eastAsia="arial" w:hAnsi="arial" w:cs="arial"/>
          <w:color w:val="000000"/>
          <w:sz w:val="20"/>
          <w:lang w:val="en-US" w:eastAsia="en-US" w:bidi="ar-SA"/>
        </w:rPr>
        <w:t xml:space="preserve">, the Court had explored the prerequisites for a constructive trust based on unjust enrichment, </w:t>
      </w:r>
      <w:r>
        <w:rPr>
          <w:rFonts w:ascii="arial" w:eastAsia="arial" w:hAnsi="arial" w:cs="arial"/>
          <w:i/>
          <w:color w:val="000000"/>
          <w:sz w:val="20"/>
          <w:lang w:val="en-US" w:eastAsia="en-US" w:bidi="ar-SA"/>
        </w:rPr>
        <w:t>Soulos</w:t>
      </w:r>
      <w:r>
        <w:rPr>
          <w:rFonts w:ascii="arial" w:eastAsia="arial" w:hAnsi="arial" w:cs="arial"/>
          <w:color w:val="000000"/>
          <w:sz w:val="20"/>
          <w:lang w:val="en-US" w:eastAsia="en-US" w:bidi="ar-SA"/>
        </w:rPr>
        <w:t xml:space="preserve"> required the Court to explore the prerequisites for a constructive trust based on wrongful conduct. She identified four conditions which should generally be satisfied in the latter category:</w:t>
      </w:r>
    </w:p>
    <w:p>
      <w:pPr>
        <w:numPr>
          <w:numId w:val="2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must have been under an equitable obligation, that is, an obligation of the type that courts of equity have enforced, in relation to the activities giving rise to the assets in his hands;</w:t>
      </w:r>
    </w:p>
    <w:p>
      <w:pPr>
        <w:numPr>
          <w:numId w:val="2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assets in the hands of the defendant must be shown to have resulted from deemed or actual agency activities of the defendant in breach of his equitable obligation to the plaintiff;</w:t>
      </w:r>
    </w:p>
    <w:p>
      <w:pPr>
        <w:numPr>
          <w:numId w:val="2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must show a legitimate reason for seeking a proprietary remedy, either personal or related to the need to ensure that others like the defendant remain faithful to their duties and;</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must be no factors which would render imposition of a constructive trust unjust in all the circumstances of the case; e.g., the interests of intervening creditors must be protected. [At para. 45.]</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With respect to tracing, in that same case, the Court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[41] ... Although tracing is available both at law and in Equity (see Maddaugh and McCamus,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at chapters 6 and 7), the right which the plaintiffs are entitled to trace in this case is the constructive trust, an equitable property right. I agree with Professor Lionel Smith (</w:t>
      </w:r>
      <w:r>
        <w:rPr>
          <w:rFonts w:ascii="arial" w:eastAsia="arial" w:hAnsi="arial" w:cs="arial"/>
          <w:i/>
          <w:color w:val="000000"/>
          <w:sz w:val="20"/>
          <w:lang w:val="en-US" w:eastAsia="en-US" w:bidi="ar-SA"/>
        </w:rPr>
        <w:t>The Law of Tracing</w:t>
      </w:r>
      <w:r>
        <w:rPr>
          <w:rFonts w:ascii="arial" w:eastAsia="arial" w:hAnsi="arial" w:cs="arial"/>
          <w:color w:val="000000"/>
          <w:sz w:val="20"/>
          <w:lang w:val="en-US" w:eastAsia="en-US" w:bidi="ar-SA"/>
        </w:rPr>
        <w:t xml:space="preserve"> (1997)) that the establishment of this proprietary right, which he refers to as the "proprietary base", is sufficient to establish an entitlement to trace. It is not necessary, as was once argued, to demonstrate a pre-existing fiduciary relationship: see </w:t>
      </w:r>
      <w:r>
        <w:rPr>
          <w:rFonts w:ascii="arial" w:eastAsia="arial" w:hAnsi="arial" w:cs="arial"/>
          <w:i/>
          <w:color w:val="000000"/>
          <w:sz w:val="20"/>
          <w:lang w:val="en-US" w:eastAsia="en-US" w:bidi="ar-SA"/>
        </w:rPr>
        <w:t>Citadel General Assurance Co. v. Lloyds Bank Canada</w:t>
      </w:r>
      <w:r>
        <w:rPr>
          <w:rFonts w:ascii="arial" w:eastAsia="arial" w:hAnsi="arial" w:cs="arial"/>
          <w:color w:val="000000"/>
          <w:sz w:val="20"/>
          <w:lang w:val="en-US" w:eastAsia="en-US" w:bidi="ar-SA"/>
        </w:rPr>
        <w:t xml:space="preserve"> </w:t>
      </w:r>
      <w:hyperlink r:id="rId314" w:history="1">
        <w:r>
          <w:rPr>
            <w:rFonts w:ascii="arial" w:eastAsia="arial" w:hAnsi="arial" w:cs="arial"/>
            <w:i/>
            <w:color w:val="0077CC"/>
            <w:sz w:val="20"/>
            <w:u w:val="single"/>
            <w:shd w:val="clear" w:color="auto" w:fill="FFFFFF"/>
            <w:lang w:val="en-US" w:eastAsia="en-US" w:bidi="ar-SA"/>
          </w:rPr>
          <w:t>[1997] 3 S.C.R. 805</w:t>
        </w:r>
      </w:hyperlink>
      <w:r>
        <w:rPr>
          <w:rFonts w:ascii="arial" w:eastAsia="arial" w:hAnsi="arial" w:cs="arial"/>
          <w:color w:val="000000"/>
          <w:sz w:val="20"/>
          <w:lang w:val="en-US" w:eastAsia="en-US" w:bidi="ar-SA"/>
        </w:rPr>
        <w:t xml:space="preserve"> at para. 57.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[42] Of course, it may be difficult to identify the funds or other property into which the claimed Charges have been transformed or with which they have been mingled; and the process will come to a halt in certain conditions, including where the balance in an account has fallen below the amount being traced. (See generally Maddaugh and McCamus,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at Chapter 7, and Smith,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at Chapter 8.) As the Court stated in </w:t>
      </w:r>
      <w:r>
        <w:rPr>
          <w:rFonts w:ascii="arial" w:eastAsia="arial" w:hAnsi="arial" w:cs="arial"/>
          <w:i/>
          <w:color w:val="000000"/>
          <w:sz w:val="20"/>
          <w:lang w:val="en-US" w:eastAsia="en-US" w:bidi="ar-SA"/>
        </w:rPr>
        <w:t>McTaggart v. Boffo</w:t>
      </w:r>
      <w:r>
        <w:rPr>
          <w:rFonts w:ascii="arial" w:eastAsia="arial" w:hAnsi="arial" w:cs="arial"/>
          <w:color w:val="000000"/>
          <w:sz w:val="20"/>
          <w:lang w:val="en-US" w:eastAsia="en-US" w:bidi="ar-SA"/>
        </w:rPr>
        <w:t xml:space="preserve"> </w:t>
      </w:r>
      <w:hyperlink r:id="rId319" w:history="1">
        <w:r>
          <w:rPr>
            <w:rFonts w:ascii="arial" w:eastAsia="arial" w:hAnsi="arial" w:cs="arial"/>
            <w:i/>
            <w:color w:val="0077CC"/>
            <w:sz w:val="20"/>
            <w:u w:val="single"/>
            <w:shd w:val="clear" w:color="auto" w:fill="FFFFFF"/>
            <w:lang w:val="en-US" w:eastAsia="en-US" w:bidi="ar-SA"/>
          </w:rPr>
          <w:t>(1975) 64 D.L.R. (3d) 441</w:t>
        </w:r>
      </w:hyperlink>
      <w:r>
        <w:rPr>
          <w:rFonts w:ascii="arial" w:eastAsia="arial" w:hAnsi="arial" w:cs="arial"/>
          <w:color w:val="000000"/>
          <w:sz w:val="20"/>
          <w:lang w:val="en-US" w:eastAsia="en-US" w:bidi="ar-SA"/>
        </w:rPr>
        <w:t xml:space="preserve"> (Ont. H.C.J.):</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Tracing is only possible so long as the funds can be followed in a true sense, i.e., so long as, whether mixed or unmixed, it can be located and identified. It presupposes the continued existence of the money either as a separate fund or as part of a mixed fund or as latent in property acquired by the means of such a fund. Simply put, two things will absolutely prevent the tracing of trust monies:</w:t>
      </w:r>
    </w:p>
    <w:p>
      <w:pPr>
        <w:numPr>
          <w:numId w:val="27"/>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If, on the fact of any individual case, such continued existence of the identifiable trust fund is not established, equity is helpless to trace it;</w:t>
      </w:r>
    </w:p>
    <w:p>
      <w:pPr>
        <w:numPr>
          <w:numId w:val="28"/>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chain for tracing is also broken where the trust fund either in its initial form or a converted form has found its way into the hands of a third person purchaser for value without notice. [At 458.]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In this case, the plaintiffs have not identified a link between the money received as a result of the breaches of fiduciary duty and any assets in the hands of Mr. Callaghan or Taynton, or any assets that resulted. Only a small portion of the money that flowed to Mr. Callaghan, directly or through one of his companies, was as a result of the breaches of fiduciary duty. Based on the plaintiffs' expert's analysis of bank accounts, it is impossible to determine anything other than that money, both legitimately obtained or received and resulting from the breaches, flowed into the accounts of the Callaghan-related defendants, and then flowed out. Some of the sums that comprise the $89,196 are as small as $60.00, and the transactions in question occurred between the summer of 2007 and November 2008. I cannot conclude, on the evidence before me, that any of the money received as a result of the breaches, were used to make mortgage payments on the properties registered in Ms. Callaghan's name.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I will not impose a constructive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With respect to tracing, it is only available if a constructive trust is imposed, based upon the establishment of a proprietary right. Even if a constructive trust had been imposed, there is no evidence of any continued existence of the money, which is a necessary precondition to a tracing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xml:space="preserve">  In summary, Mr. Edmunds' claims against the defendants are dismissed. Mr. Murray's claims against the defendants are dismissed. OKM is entitled to judgment against Mr. Callaghan in the amount of $89,196, plus interest paid or payable on that sum at the rate payable on the loan from Mr. Edmunds to OKM. If the parties are unable to agree with respect to the interest calculation, they have liberty to make submissions to me in writing within 60 days, failing which interest will be calculated in accordance with the </w:t>
      </w:r>
      <w:r>
        <w:rPr>
          <w:rFonts w:ascii="arial" w:eastAsia="arial" w:hAnsi="arial" w:cs="arial"/>
          <w:i/>
          <w:color w:val="000000"/>
          <w:sz w:val="20"/>
          <w:lang w:val="en-US" w:eastAsia="en-US" w:bidi="ar-SA"/>
        </w:rPr>
        <w:t>Court Order Interest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79</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Counterclaim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Mr. Callaghan and Taynton advance two bases for the counterclaim. The first is with respect to the money paid by Mr. Edmunds through an assignment of interest owed to him by OKM to Mr. Murray in the amount of $690,000.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For the same reasons that I have concluded that Mr. Callaghan and Taynton are not liable to OKM or Jasmur for compensation received from the Ellwood Excavation and Max Mechanical contracts, I find that although Mr. Murray and Jasmur should have disclosed that Mr. Murray was, in effect, managing the project on behalf of the lender, Mr. Edmunds, for compensation, no damages have been proved with respect to the failure to do so. OKM owed interest to Mr. Edmunds. Mr. Edmunds was entitled to pay some or all of that interest to Mr. Murray or his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With respect to the claim that Taynton, and/or Mr. Callaghan, should be paid site supervision fees for the months of January through October 2009, that aspect of the counterclaim must be dismissed as well. I find that Mr. Callaghan agreed, in advance, to a cap on the site supervision fees payable, and he took those fees in 12 monthly payments. That the project did not complete in those 12 months, did not affect the validity of the agreement. Further, it was readily apparent to Mr. Callaghan, as of January 2009, if not before, that any further work he did as a site supervisor would not be compensated, yet he continued to work. He has not demonstrated the elements of unjust enrichment and that claim fails. The counterclaim is dismissed in its entirety.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There has been divided success in this case. All three plaintiffs were represented by common counsel, and judgment has been awarded in favour of only one plaintiff, in a much lesser amount and on a more limited basis than claimed. The defendants who participated in the trial were also represented by the same counsel. Serious unfounded allegations were advanced against Ms. Callaghan, while Mr. Callaghan's conduct has resulted in awards against him and Taynton.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Consequently, unless there are matters of which I am not aware, each party will pay his or her own costs. If any party wishes to make submissions in support of a different order with respect to costs, the party wishing to do so must make submissions in writing within 45 days, and the opposing party or parties will have 15 days thereafter to make submissions in writing.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A.J. BEAMES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07" style="position:absolute;z-index:25187328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20"/>
          <w:headerReference w:type="default" r:id="rId321"/>
          <w:footerReference w:type="even" r:id="rId322"/>
          <w:footerReference w:type="default" r:id="rId323"/>
          <w:headerReference w:type="first" r:id="rId324"/>
          <w:footerReference w:type="first" r:id="rId32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26" w:history="1">
        <w:r>
          <w:rPr>
            <w:rFonts w:ascii="arial" w:eastAsia="arial" w:hAnsi="arial" w:cs="arial"/>
            <w:b/>
            <w:bCs/>
            <w:i/>
            <w:color w:val="0077CC"/>
            <w:kern w:val="32"/>
            <w:sz w:val="28"/>
            <w:szCs w:val="32"/>
            <w:u w:val="single"/>
            <w:shd w:val="clear" w:color="auto" w:fill="FFFFFF"/>
            <w:lang w:val="en-US" w:eastAsia="en-US" w:bidi="ar-SA"/>
          </w:rPr>
          <w:t>Kotscha v. Hospital of St. John of Jerusalem, [2011] B.C.J. No. 1191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Kelowna,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T.A. Schultes J. (appearing via teleconference)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4,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June 1,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78464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Kelowna</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[2011] B.C.J. No. 1191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2011 BCSC 836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2011 CarswellBC 1544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203 A.C.W.S. (3d) 633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Doris Kotscha, Plaintiff, and The Priory of Canada of the Most Venerable Order of the Hospital of St. John of Jerusalem, St. John Society (British Columbia and Yukon), St. John Ambulance and Dawn Powell,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08" style="position:absolute;z-index:2516756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14" w:name="Keywords_16"/>
      <w:bookmarkEnd w:id="114"/>
      <w:r>
        <w:rPr>
          <w:rFonts w:ascii="arial" w:eastAsia="arial" w:hAnsi="arial" w:cs="arial"/>
          <w:b/>
          <w:color w:val="000000"/>
          <w:sz w:val="20"/>
          <w:lang w:val="en-US" w:eastAsia="en-US" w:bidi="ar-SA"/>
        </w:rPr>
        <w:t>Civil litigation — Limitation of actions — Expiry of limitation periods — Effect of — Application by defendants for dismissal of action on basis that it was not commenced within two-year limitation period dismissed — The plaintiff was injured during the course of voluntary work for the defendant — The plaintiff began her action for damages for breach of contract for the defendant's failure to assist in obtaining insurance coverage and for personal injury approximately two years and eight months after the injury — The applicable limitation period for breach of contract claim was six years — As for the issue of the personal injury claim, this was not suitable for resolution in a summary trial — Limitation Act, s. 3(2)(a).</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Employer's liability — For workplace accidents — Application by defendants for dismissal of action on basis that it was not commenced within two-year limitation period dismissed — The plaintiff was injured during the course of voluntary work for the defendant — The plaintiff began her action for damages for breach of contract for the defendant's failure to assist in obtaining insurance coverage and for personal injury approximately two years and eight months after the injury — The applicable limitation period for breach of contract claim was six years — As for the issue of the personal injury claim, this was not suitable for resolution in a summary trial — Limitation Act, s. 3(2)(a).</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15" w:name="Case Summary_14"/>
            <w:bookmarkEnd w:id="11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defendants to have action dismissed on the basis that it was not commenced within the two year limitation period. The plaintiff had worked as a volunteer for the defendant. On July 1, 2005, the plaintiff was volunteering for the defendant at a sports event and was injured when she encountered difficulties removing a stretcher from an ambulance. The plaintiff claimed that she reported the accident the day after it occurred however, the provincial head office of the defendant, which required information about the injury in order to process it for insurance purposes, never actually received that information from the supervisor. In July, 2006, the plaintiff resubmitted the report to the head office, who shortly forwarded it to their insurance brokers. The broker apparently did not submit the information to the insurance provider until October 11, 2006. After receiving little correspondence from the defendant after October, 2006, the plaintiff retained counsel on March 19, 2008, and commenced action the following day, approximately two years and eight months after the incident that was said to have caused her injury. In an amended notice of civil claim dated December 15, 2010, the plaintiff added a claim for breach of contract based on the allegation that the defendant failed, among other things, to assist her in obtaining the insurance coverage to which she was entitled as a volunteer. During the summary trial, the defendant maintained that the plaintiff's claims were now barred by the passage of the two year limitation period for commencing personal injury actions. The plaintiff argued that the harm captured by the contract claim was subject to a six year limitation period. In relation to the personal injury claim, the plaintiff argued that the defendant, in effect, had confirmed her cause of action within the two year limitation period, and that there had also been a postponement of the running of the limitation period because of the actions of the defendant in response to her initial application for coverage.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16" w:name="Holdings of Court_11"/>
            <w:bookmarkEnd w:id="116"/>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applicable limitation period for the contract claim was six years. With respect to the plaintiff's personal injury claim, the defendant did not confirm the cause of action within the limitation period. With respect to the question of whether there had been a postponement of the limitation period for the personal injury claim, the issue was not suitable for resolution in a summary trial because of the inadequacy of the current evidence. This issue required a trial based on complete disclosure.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17" w:name="Legislation Cited_12"/>
      <w:bookmarkEnd w:id="11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09" style="position:absolute;z-index:2517268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Limitation Act, RSBC 1996, CHAPTER 266, s. 3, s. 3(2)(a), s. 3(2)(a), s. 3(5), s. 5, s. 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Supreme Court Rules, Rule 9-7, Rule 9-7(15)</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18" w:name="Counsel_16"/>
      <w:bookmarkEnd w:id="118"/>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10" style="position:absolute;z-index:2517780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appearing by teleconference: K.T. Grenier.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appearing by teleconference: D.W. Barber.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19" w:name="Judgment_16"/>
      <w:bookmarkEnd w:id="119"/>
      <w:r>
        <w:pict>
          <v:line id="_x0000_s1111" style="position:absolute;z-index:25182924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Oral 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9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20" w:name="T.A. SCHULTES J. (orally)"/>
            <w:bookmarkEnd w:id="120"/>
            <w:r>
              <w:rPr>
                <w:rFonts w:ascii="arial" w:eastAsia="arial" w:hAnsi="arial" w:cs="arial"/>
                <w:b/>
                <w:color w:val="000000"/>
                <w:sz w:val="30"/>
                <w:lang w:val="en-US" w:eastAsia="en-US" w:bidi="ar-SA"/>
              </w:rPr>
              <w:t>T.A. SCHULTES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this summary trial application pursuant to Rule 9-7 of the </w:t>
      </w:r>
      <w:r>
        <w:rPr>
          <w:rFonts w:ascii="arial" w:eastAsia="arial" w:hAnsi="arial" w:cs="arial"/>
          <w:i/>
          <w:color w:val="000000"/>
          <w:sz w:val="20"/>
          <w:lang w:val="en-US" w:eastAsia="en-US" w:bidi="ar-SA"/>
        </w:rPr>
        <w:t>Supreme Court Rules</w:t>
      </w:r>
      <w:r>
        <w:rPr>
          <w:rFonts w:ascii="arial" w:eastAsia="arial" w:hAnsi="arial" w:cs="arial"/>
          <w:color w:val="000000"/>
          <w:sz w:val="20"/>
          <w:lang w:val="en-US" w:eastAsia="en-US" w:bidi="ar-SA"/>
        </w:rPr>
        <w:t xml:space="preserve">, the defendant seeks to have the action dismissed on the basis that it was not commenced within the two-year limitation period provided for a personal injury action by s. 3(2)(a)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w:t>
      </w:r>
      <w:hyperlink r:id="rId327"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was a volunteer for the defendant organization. As is well known, one of the defendant's functions is to provide first aid services to the public at community events. On July 1, 2005, the plaintiff was volunteering for the defendant at a sports event in Kelowna. She alleges she was injured on that day when she encountered difficulties removing a stretcher from an ambulance. The next day, she reported the injury to her supervising officer with the organization. The supervisor told her to get treatment and keep her receipts. At the next monthly meeting of her chapter, she discussed her injuries with the supervisor, who told her that she was satisfied with the information that the plaintiff had provided and would be submitting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plaintiff's understanding was that the defendant carried "no fault" insurance for volunteers in case they were injured during their duties. The significance of this, I infer, is that the plaintiff did not initially consider herself to be in an adversarial relationship with the defendant about the cause and extent of her injuries or compensation for them. It appears that the provincial head office of the defendant, which required information about the claim in order to process it for insurance purposes, never actually received that information from the supervisor. The plaintiff followed up with an email to a person at provincial headquarters on May 22,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On June 2, 2006, May Foggo, who was in charge of human resources at the provincial office, replied to that email, advising the plaintiff that she had never received any paperwork for this claim. She asked the plaintiff to send her the information and said she would "contact the insurance company and see what we can do." She also advised the plaintiff: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will try my best, but I cannot promise anything because it is an insurance company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Somewhat surprised by this news, the plaintiff explained to Ms. Foggo that she had reported the accident the day after it had occurred and had undergone treatment on the basis of the representation by her supervisor that it would be covered. Ms. Foggo asked the plaintiff for details of the injury and a copy of the initial report if she had it. In a subsequent email, she wrote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look forward to receiving your report in order that we can proceed with your claim at the earliest.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provided a complete report on July 3, 2006. Ms. Foggo appears to have forwarded the plaintiff's report to the defendant's insurance broker very shortly after she received it. For reasons that are not clear on the present evidence, the broker apparently did not submit the information to the insurance provider until October 11, 2006. There is an email from the broker to Ms. Foggo advising, and the policy itself confirms this, that claims must have been submitted to the insurer within 365 days of any accident. The broker advised the insurer that the plaintiff had actually reported the accident to the defendant within that 365-day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On October 27, 2006, the defendant wrote to Ms. Foggo for a progress report. She advised that she also now required back and shoulder surgery as a result of the injury. On November 1, 2006, Ms. Foggo advised the plaintiff that she had finally obtained a response. I infer that meant a response from the insurer. The plaintiff was required to fill out and return two documents: a statement for preliminary proof of loss and an attending physician's statement. The plaintiff received these documents by mail and deposes that she saw her doctor on November 30, 2006, to have them filled out. She paid a fee to have him complete and submit them directly to the insurer. Unfortunately, upon more recent inquiries, her doctor's office has no record of his having actually done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That is essentially the extent of the evidence with respect to the plaintiff's attempt to obtain injury benefits through the defendant. It is not clear from the present evidence what the status of her claim actually is. Counsel for the defendant does not concede that I should find that at this late date no benefits are available to her or that her claim is in some respect foreclosed.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The plaintiff retained counsel on March 19, 2008, and commenced this action the following day. It is common ground that this is two years and slightly more than eight months since the incident that is said to have caused her injury. Her initial statement of claim filed in November 2009, alleged that her injuries were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I will refer to this as the "personal injury" claim. In an amended notice of civil claim dated December 15, 2010, the plaintiff added a claim for breach of contract based on the allegation that the defendant failed, among other things, to assist her in obtaining the insurance coverage to which she was entitled as a volunteer. I will refer to this as the "contract" claim. The plaintiff intends to seek leave to add a claim of breach of fiduciary duty as well, arising from the defendant's manner of dealing with her claim, but obviously I cannot consider that as a presently existing aspect of her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 defendant has pleaded the defence throughout, among others, that the plaintiff's claims are barred by the passage of the two-year limitation period for commencing personal injury actions that is provided by s. 3(2)(a)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In this summary trial, the defendant argues that both the personal injury and the contract claims are actions "in respect of injury to person" and thus subject to the two-year limitation period in 3(2)(a), which the plaintiff concedes had expired when the action was commenced.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 plaintiff argues that the harm captured by the contract claim is "one step removed" from the personal injury, as that term is used in the case authorities, and that this aspect of her claim is as a result subject to the six-year limitation period for matters not caught by other specific provisions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s. 3(5). In relation to the personal injury claims, the plaintiff argues that the defendant, in effect, confirmed her cause of action within the limitation period and that there has also been a postponement of the running of the limitation period because of the actions of the defendant in response to her initial application for coverage.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any event, she says that this matter is not appropriate for a summary trial because she has outstanding document disclosure requests regarding communications between the defendant employees and its insurers and because she needs to conduct an examination for discovery of an appropriate representative of the defendant. The appropriate representative cannot be selected, she says, without the opportunity to review the outstanding documents. She also says that the absence of evidence on whether insurance coverage was actually in place for her precludes a finding of when the limitation period for the personal injury claim began to run.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issues that must be resolved are:</w:t>
      </w:r>
      <w:r>
        <w:rPr>
          <w:rFonts w:ascii="arial" w:eastAsia="arial" w:hAnsi="arial" w:cs="arial"/>
          <w:sz w:val="20"/>
          <w:lang w:val="en-US" w:eastAsia="en-US" w:bidi="ar-SA"/>
        </w:rPr>
        <w:cr/>
      </w:r>
    </w:p>
    <w:p>
      <w:pPr>
        <w:numPr>
          <w:numId w:val="9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limitation period is appropriate to the contract claim;</w:t>
      </w:r>
    </w:p>
    <w:p>
      <w:pPr>
        <w:numPr>
          <w:numId w:val="9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defendant confirm the cause of action on the injury claim within the limitation period;</w:t>
      </w:r>
    </w:p>
    <w:p>
      <w:pPr>
        <w:numPr>
          <w:numId w:val="9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has the running of the limitation period for the injury claim been postponed as a result of the actions of the defendant; and</w:t>
      </w:r>
    </w:p>
    <w:p>
      <w:pPr>
        <w:numPr>
          <w:numId w:val="9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this matter or any particular issues within it suitable for resolution by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CONTRACT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relevant portions of Rule 9-7(15) with respect to this matter are well known: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the hearing of a summary trial application, the court may</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grant judgment in favour of any party, either on an issue or generally, unless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is unable, on the whole of the evidence before the court on the application, to find the facts necessary to decide the issues of fact or law, or</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is of the opinion that it would be unjust to decide the issues on the application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remaining parts of sub-rule (15) are not relevant to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For reasons that I will discuss further, I have decided that it is appropriate to consider the suitability for summary trial of these various issues separately.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With respect to the limitation period that is applicable to the contract claim, the relevant portions of s. 3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provide:</w:t>
      </w:r>
      <w:r>
        <w:rPr>
          <w:rFonts w:ascii="arial" w:eastAsia="arial" w:hAnsi="arial" w:cs="arial"/>
          <w:sz w:val="20"/>
          <w:lang w:val="en-US" w:eastAsia="en-US" w:bidi="ar-SA"/>
        </w:rPr>
        <w:cr/>
      </w:r>
    </w:p>
    <w:p>
      <w:pPr>
        <w:numPr>
          <w:numId w:val="5"/>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the expiration of 2 years after the date on which the right to do so arose a person may not bring any of the following actions:</w:t>
      </w:r>
    </w:p>
    <w:p>
      <w:pPr>
        <w:numPr>
          <w:numId w:val="6"/>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subsection (4) (k), [which is not relevant to the present application] for damages in respect of injury to person or property, including economic loss arising from the injury, whether based on contract, tort or statutory duty ...</w:t>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Any other action not specifically provided for in this Act or any other Act may not be brought after the expiration of 6 years after the date on which the right to do so arose.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 resolution of this issue depends on a review of the pleadings, the material facts and the applicable law. It is therefore suitable for summary trial disposition on the present state of the evidence and material.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cases dealing with which claims are or are not within the definition in (2)(a) have emphasized that to fall outside its ambit, the conduct complained of must have been in some respect distinct from the personal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An example of a case in which the additional claims of the plaintiff over and above the tort claims were in substance no more than different ways of addressing matters arising from the personal injuries was </w:t>
      </w:r>
      <w:r>
        <w:rPr>
          <w:rFonts w:ascii="arial" w:eastAsia="arial" w:hAnsi="arial" w:cs="arial"/>
          <w:i/>
          <w:color w:val="000000"/>
          <w:sz w:val="20"/>
          <w:lang w:val="en-US" w:eastAsia="en-US" w:bidi="ar-SA"/>
        </w:rPr>
        <w:t>Bush v. Vancouver City</w:t>
      </w:r>
      <w:r>
        <w:rPr>
          <w:rFonts w:ascii="arial" w:eastAsia="arial" w:hAnsi="arial" w:cs="arial"/>
          <w:color w:val="000000"/>
          <w:sz w:val="20"/>
          <w:lang w:val="en-US" w:eastAsia="en-US" w:bidi="ar-SA"/>
        </w:rPr>
        <w:t xml:space="preserve">, </w:t>
      </w:r>
      <w:hyperlink r:id="rId328" w:history="1">
        <w:r>
          <w:rPr>
            <w:rFonts w:ascii="arial" w:eastAsia="arial" w:hAnsi="arial" w:cs="arial"/>
            <w:i/>
            <w:color w:val="0077CC"/>
            <w:sz w:val="20"/>
            <w:u w:val="single"/>
            <w:shd w:val="clear" w:color="auto" w:fill="FFFFFF"/>
            <w:lang w:val="en-US" w:eastAsia="en-US" w:bidi="ar-SA"/>
          </w:rPr>
          <w:t>2006 BCSC 1207</w:t>
        </w:r>
      </w:hyperlink>
      <w:r>
        <w:rPr>
          <w:rFonts w:ascii="arial" w:eastAsia="arial" w:hAnsi="arial" w:cs="arial"/>
          <w:color w:val="000000"/>
          <w:sz w:val="20"/>
          <w:lang w:val="en-US" w:eastAsia="en-US" w:bidi="ar-SA"/>
        </w:rPr>
        <w:t xml:space="preserve">, which is relied on by the defendant. In that decision, the plaintiff brought an action for injuries resulting from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statutory duty as well as for breaches of his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rights, arising from his arrest and prolonged detention in police cells. In concluding that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breaches were also captured by the limitation period in s. 3(2)(a), Madam Justice Allan emphasized that the plaintiff could not point to any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breach that was independent of the damage to his person or property as part of the tort claim. The defendant argues that this is analogous to the present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response, the plaintiff relies on three decisions</w:t>
      </w:r>
      <w:r>
        <w:rPr>
          <w:rFonts w:ascii="arial" w:eastAsia="arial" w:hAnsi="arial" w:cs="arial"/>
          <w:i/>
          <w:color w:val="000000"/>
          <w:sz w:val="20"/>
          <w:lang w:val="en-US" w:eastAsia="en-US" w:bidi="ar-SA"/>
        </w:rPr>
        <w:t>: Seibold Holdings Ltd. v. Wilson and Kofoed Ltd.</w:t>
      </w:r>
      <w:r>
        <w:rPr>
          <w:rFonts w:ascii="arial" w:eastAsia="arial" w:hAnsi="arial" w:cs="arial"/>
          <w:color w:val="000000"/>
          <w:sz w:val="20"/>
          <w:lang w:val="en-US" w:eastAsia="en-US" w:bidi="ar-SA"/>
        </w:rPr>
        <w:t xml:space="preserve">, </w:t>
      </w:r>
      <w:hyperlink r:id="rId329" w:history="1">
        <w:r>
          <w:rPr>
            <w:rFonts w:ascii="arial" w:eastAsia="arial" w:hAnsi="arial" w:cs="arial"/>
            <w:i/>
            <w:color w:val="0077CC"/>
            <w:sz w:val="20"/>
            <w:u w:val="single"/>
            <w:shd w:val="clear" w:color="auto" w:fill="FFFFFF"/>
            <w:lang w:val="en-US" w:eastAsia="en-US" w:bidi="ar-SA"/>
          </w:rPr>
          <w:t>[1990] B.C.J. No. 1000</w:t>
        </w:r>
      </w:hyperlink>
      <w:r>
        <w:rPr>
          <w:rFonts w:ascii="arial" w:eastAsia="arial" w:hAnsi="arial" w:cs="arial"/>
          <w:color w:val="000000"/>
          <w:sz w:val="20"/>
          <w:lang w:val="en-US" w:eastAsia="en-US" w:bidi="ar-SA"/>
        </w:rPr>
        <w:t xml:space="preserve">, </w:t>
      </w:r>
      <w:hyperlink r:id="rId329" w:history="1">
        <w:r>
          <w:rPr>
            <w:rFonts w:ascii="arial" w:eastAsia="arial" w:hAnsi="arial" w:cs="arial"/>
            <w:i/>
            <w:color w:val="0077CC"/>
            <w:sz w:val="20"/>
            <w:u w:val="single"/>
            <w:shd w:val="clear" w:color="auto" w:fill="FFFFFF"/>
            <w:lang w:val="en-US" w:eastAsia="en-US" w:bidi="ar-SA"/>
          </w:rPr>
          <w:t>1990 CanLII 237</w:t>
        </w:r>
      </w:hyperlink>
      <w:r>
        <w:rPr>
          <w:rFonts w:ascii="arial" w:eastAsia="arial" w:hAnsi="arial" w:cs="arial"/>
          <w:color w:val="000000"/>
          <w:sz w:val="20"/>
          <w:lang w:val="en-US" w:eastAsia="en-US" w:bidi="ar-SA"/>
        </w:rPr>
        <w:t xml:space="preserve"> (B.C.S.C.), </w:t>
      </w:r>
      <w:r>
        <w:rPr>
          <w:rFonts w:ascii="arial" w:eastAsia="arial" w:hAnsi="arial" w:cs="arial"/>
          <w:i/>
          <w:color w:val="000000"/>
          <w:sz w:val="20"/>
          <w:lang w:val="en-US" w:eastAsia="en-US" w:bidi="ar-SA"/>
        </w:rPr>
        <w:t>Smith v. Collette</w:t>
      </w:r>
      <w:r>
        <w:rPr>
          <w:rFonts w:ascii="arial" w:eastAsia="arial" w:hAnsi="arial" w:cs="arial"/>
          <w:color w:val="000000"/>
          <w:sz w:val="20"/>
          <w:lang w:val="en-US" w:eastAsia="en-US" w:bidi="ar-SA"/>
        </w:rPr>
        <w:t xml:space="preserve">, </w:t>
      </w:r>
      <w:hyperlink r:id="rId330" w:history="1">
        <w:r>
          <w:rPr>
            <w:rFonts w:ascii="arial" w:eastAsia="arial" w:hAnsi="arial" w:cs="arial"/>
            <w:i/>
            <w:color w:val="0077CC"/>
            <w:sz w:val="20"/>
            <w:u w:val="single"/>
            <w:shd w:val="clear" w:color="auto" w:fill="FFFFFF"/>
            <w:lang w:val="en-US" w:eastAsia="en-US" w:bidi="ar-SA"/>
          </w:rPr>
          <w:t>2009 BCPC 344</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Thurley v. Patrick</w:t>
      </w:r>
      <w:r>
        <w:rPr>
          <w:rFonts w:ascii="arial" w:eastAsia="arial" w:hAnsi="arial" w:cs="arial"/>
          <w:color w:val="000000"/>
          <w:sz w:val="20"/>
          <w:lang w:val="en-US" w:eastAsia="en-US" w:bidi="ar-SA"/>
        </w:rPr>
        <w:t xml:space="preserve">, </w:t>
      </w:r>
      <w:hyperlink r:id="rId331" w:history="1">
        <w:r>
          <w:rPr>
            <w:rFonts w:ascii="arial" w:eastAsia="arial" w:hAnsi="arial" w:cs="arial"/>
            <w:i/>
            <w:color w:val="0077CC"/>
            <w:sz w:val="20"/>
            <w:u w:val="single"/>
            <w:shd w:val="clear" w:color="auto" w:fill="FFFFFF"/>
            <w:lang w:val="en-US" w:eastAsia="en-US" w:bidi="ar-SA"/>
          </w:rPr>
          <w:t>[1996] B.C.J. No. 2073</w:t>
        </w:r>
      </w:hyperlink>
      <w:r>
        <w:rPr>
          <w:rFonts w:ascii="arial" w:eastAsia="arial" w:hAnsi="arial" w:cs="arial"/>
          <w:color w:val="000000"/>
          <w:sz w:val="20"/>
          <w:lang w:val="en-US" w:eastAsia="en-US" w:bidi="ar-SA"/>
        </w:rPr>
        <w:t xml:space="preserve">, </w:t>
      </w:r>
      <w:hyperlink r:id="rId331" w:history="1">
        <w:r>
          <w:rPr>
            <w:rFonts w:ascii="arial" w:eastAsia="arial" w:hAnsi="arial" w:cs="arial"/>
            <w:i/>
            <w:color w:val="0077CC"/>
            <w:sz w:val="20"/>
            <w:u w:val="single"/>
            <w:shd w:val="clear" w:color="auto" w:fill="FFFFFF"/>
            <w:lang w:val="en-US" w:eastAsia="en-US" w:bidi="ar-SA"/>
          </w:rPr>
          <w:t>1996 CanLII 2234</w:t>
        </w:r>
      </w:hyperlink>
      <w:r>
        <w:rPr>
          <w:rFonts w:ascii="arial" w:eastAsia="arial" w:hAnsi="arial" w:cs="arial"/>
          <w:color w:val="000000"/>
          <w:sz w:val="20"/>
          <w:lang w:val="en-US" w:eastAsia="en-US" w:bidi="ar-SA"/>
        </w:rPr>
        <w:t>,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Seibold</w:t>
      </w:r>
      <w:r>
        <w:rPr>
          <w:rFonts w:ascii="arial" w:eastAsia="arial" w:hAnsi="arial" w:cs="arial"/>
          <w:color w:val="000000"/>
          <w:sz w:val="20"/>
          <w:lang w:val="en-US" w:eastAsia="en-US" w:bidi="ar-SA"/>
        </w:rPr>
        <w:t xml:space="preserve"> involved an action against an insurance agent for failing to obtain sufficient coverage for the plaintiff who suffered loss in a fire. The defendant sought to argue that the claim was in reality one arising from damage to property, that is, the fire damage, and thus was caught by the two-year limitation period. In rejecting this argument, Mr. Justice Murray concluded that the claim for failure to obtain adequate coverage was one that already existed before the fire and had independent validity. All the fire had done was increase the measure of damages because of the absence of adequate coverage. The defendant's argument was not successful.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Smith</w:t>
      </w:r>
      <w:r>
        <w:rPr>
          <w:rFonts w:ascii="arial" w:eastAsia="arial" w:hAnsi="arial" w:cs="arial"/>
          <w:color w:val="000000"/>
          <w:sz w:val="20"/>
          <w:lang w:val="en-US" w:eastAsia="en-US" w:bidi="ar-SA"/>
        </w:rPr>
        <w:t xml:space="preserve"> dealt with a claim for contribution by the defendant to the cost of a judgment that had been awarded against the plaintiff, following an action by the plaintiff's neighbour for trespass on the neighbour's property. The plaintiff said that the trespass had resulted from the boundaries that had been laid out by the defendant, whom he had hired to clear his property. Judge Bayliff concluded that the plaintiff's action was "one step removed" from the damage to the neighbour's property, because that damage had been caused by the defendant. Accordingly, the plaintiff's action was not caught by s. 3(2)(a).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Thurley</w:t>
      </w:r>
      <w:r>
        <w:rPr>
          <w:rFonts w:ascii="arial" w:eastAsia="arial" w:hAnsi="arial" w:cs="arial"/>
          <w:color w:val="000000"/>
          <w:sz w:val="20"/>
          <w:lang w:val="en-US" w:eastAsia="en-US" w:bidi="ar-SA"/>
        </w:rPr>
        <w:t>, the plaintiff sued doctors and the society that operated the Forensic Psychiatric Institute. He alleged that he had sought psychiatric treatment from the defendants and been refused. He had then committed an arson fire for which he was found not criminally responsible and sent to the Forensic Institute. He claimed that this loss of liberty would not have occurred if his initial request for treatment had been followed. Once again, the argument was raised by the defendant that this was in substance an action relating to damage to property. Mr. Justice Boyle concluded that the plaintiff's case was not based on any direct infliction of damage to property and that the six-year limitation period applied.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Of course, none of these situations is precisely analogous to the present case. </w:t>
      </w:r>
      <w:r>
        <w:rPr>
          <w:rFonts w:ascii="arial" w:eastAsia="arial" w:hAnsi="arial" w:cs="arial"/>
          <w:i/>
          <w:color w:val="000000"/>
          <w:sz w:val="20"/>
          <w:lang w:val="en-US" w:eastAsia="en-US" w:bidi="ar-SA"/>
        </w:rPr>
        <w:t>Thurley</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Smith</w:t>
      </w:r>
      <w:r>
        <w:rPr>
          <w:rFonts w:ascii="arial" w:eastAsia="arial" w:hAnsi="arial" w:cs="arial"/>
          <w:color w:val="000000"/>
          <w:sz w:val="20"/>
          <w:lang w:val="en-US" w:eastAsia="en-US" w:bidi="ar-SA"/>
        </w:rPr>
        <w:t xml:space="preserve"> are of limited assistance, I think, because neither involves the question of whether the defendants' allegedly wrongful acts are all, in essence, personal injury or property damage related, as is argued in the present case. The </w:t>
      </w:r>
      <w:r>
        <w:rPr>
          <w:rFonts w:ascii="arial" w:eastAsia="arial" w:hAnsi="arial" w:cs="arial"/>
          <w:i/>
          <w:color w:val="000000"/>
          <w:sz w:val="20"/>
          <w:lang w:val="en-US" w:eastAsia="en-US" w:bidi="ar-SA"/>
        </w:rPr>
        <w:t>Seibold</w:t>
      </w:r>
      <w:r>
        <w:rPr>
          <w:rFonts w:ascii="arial" w:eastAsia="arial" w:hAnsi="arial" w:cs="arial"/>
          <w:color w:val="000000"/>
          <w:sz w:val="20"/>
          <w:lang w:val="en-US" w:eastAsia="en-US" w:bidi="ar-SA"/>
        </w:rPr>
        <w:t xml:space="preserve"> decision is more directly applicable because it deals with the interrelationship between damage suffered by the plaintiff and the breach of a duty to maintain insurance, but I am not sure that it can be said in the present case, in contrast to </w:t>
      </w:r>
      <w:r>
        <w:rPr>
          <w:rFonts w:ascii="arial" w:eastAsia="arial" w:hAnsi="arial" w:cs="arial"/>
          <w:i/>
          <w:color w:val="000000"/>
          <w:sz w:val="20"/>
          <w:lang w:val="en-US" w:eastAsia="en-US" w:bidi="ar-SA"/>
        </w:rPr>
        <w:t>Seibold</w:t>
      </w:r>
      <w:r>
        <w:rPr>
          <w:rFonts w:ascii="arial" w:eastAsia="arial" w:hAnsi="arial" w:cs="arial"/>
          <w:color w:val="000000"/>
          <w:sz w:val="20"/>
          <w:lang w:val="en-US" w:eastAsia="en-US" w:bidi="ar-SA"/>
        </w:rPr>
        <w:t>, that the plaintiff's breach of all of the plaintiff's contract claims are made out even in the absence of injury or damage. The present plaintiff's contract claim does contain an allegation of failure to provide the agreed-upon insurance in the abstract, but the other allegations of breach depend on her having suffered an injury for which insurance is now unavailable.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On the other hand, I do not find the </w:t>
      </w:r>
      <w:r>
        <w:rPr>
          <w:rFonts w:ascii="arial" w:eastAsia="arial" w:hAnsi="arial" w:cs="arial"/>
          <w:i/>
          <w:color w:val="000000"/>
          <w:sz w:val="20"/>
          <w:lang w:val="en-US" w:eastAsia="en-US" w:bidi="ar-SA"/>
        </w:rPr>
        <w:t>Bush</w:t>
      </w:r>
      <w:r>
        <w:rPr>
          <w:rFonts w:ascii="arial" w:eastAsia="arial" w:hAnsi="arial" w:cs="arial"/>
          <w:color w:val="000000"/>
          <w:sz w:val="20"/>
          <w:lang w:val="en-US" w:eastAsia="en-US" w:bidi="ar-SA"/>
        </w:rPr>
        <w:t xml:space="preserve"> decision to be of great assistance. That case clearly involved one set of tortious events that could be characterized in different ways, including as breaches of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rights. It is not tenable to argue, in my view, that the contract claims here are just different ways of attributing legal responsibility for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that led to the plaintiff's physical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At the end of the day, I am satisfied that the contract claims describe wrongful actions by the defendant that, while they certainly arise temporally from the injury that the plaintiff suffered, are fundamentally separate in nature and engage distinct factual and legal considerations. I find that failing to maintain insurance for a volunteer employee or failing to assist the employee in obtaining coverage for an injury suffered during voluntary employment are not in themselves claims for damage "in respect of injury to a person," despite the fact that a personal injury was certainly the antecedent event that led to the contract breaches having significance. The fact that the contract claims would not have come into being without the injuries having occurred does not, without more, clothe it with the character of a personal injury action. Accordingly, I find that the contract claims are subject to the six-year limitation period in s. 3(5) and are not barred by the operation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CONFIRMATION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Turning then to the injury claims, as I have indicated the plaintiff concedes that they are barred by the Act unless it is found that the defendant confirmed the cause of action within the limitation period or that the running of the period has been postponed.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Dealing first with confirmation, the relevant portions of s. 5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provide:</w:t>
      </w:r>
      <w:r>
        <w:rPr>
          <w:rFonts w:ascii="arial" w:eastAsia="arial" w:hAnsi="arial" w:cs="arial"/>
          <w:sz w:val="20"/>
          <w:lang w:val="en-US" w:eastAsia="en-US" w:bidi="ar-SA"/>
        </w:rPr>
        <w:cr/>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after time has begun to run with respect to a limitation period set by this Act, but before the expiration of the limitation period, a person against whom an action lies confirms the cause of action, the time during which the limitation period runs before the date of the confirmation does not count in the reckoning of the limitation period for the action by a person having the benefit of the confirmation against a person bound by the confirmation.</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purposes of this section,</w:t>
      </w:r>
    </w:p>
    <w:p>
      <w:pPr>
        <w:numPr>
          <w:numId w:val="9"/>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confirms a cause of action only if the person</w:t>
      </w:r>
    </w:p>
    <w:p>
      <w:pPr>
        <w:numPr>
          <w:numId w:val="10"/>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acknowledges a cause of action ...</w:t>
      </w:r>
    </w:p>
    <w:p>
      <w:pPr>
        <w:numPr>
          <w:numId w:val="11"/>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purposes of this section, an acknowledgment must be in writing and signed by the maker.</w:t>
      </w:r>
    </w:p>
    <w:p>
      <w:pPr>
        <w:numPr>
          <w:numId w:val="11"/>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purposes of this section, a person has the benefit of a confirmation only if the confirmation</w:t>
      </w:r>
    </w:p>
    <w:p>
      <w:pPr>
        <w:numPr>
          <w:numId w:val="12"/>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is made to the person or to a person through whom the person claims, or</w:t>
      </w:r>
    </w:p>
    <w:p>
      <w:pPr>
        <w:numPr>
          <w:numId w:val="12"/>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is made in the course of proceedings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Once again, I believe I have the entirety of the evidence relied on by the plaintiff to support confirmation before me in this application. A resolution of this issue is a matter of assessing that evidence in light of the case authorities and the legislation, so I believe it is appropriate for me to resolve it on the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A party can only be held to have acknowledged a claim if that party has, in effect, admitted his or her liability to pay that which the claimant seeks to recover: </w:t>
      </w:r>
      <w:r>
        <w:rPr>
          <w:rFonts w:ascii="arial" w:eastAsia="arial" w:hAnsi="arial" w:cs="arial"/>
          <w:i/>
          <w:color w:val="000000"/>
          <w:sz w:val="20"/>
          <w:lang w:val="en-US" w:eastAsia="en-US" w:bidi="ar-SA"/>
        </w:rPr>
        <w:t>Ryan v. Moore</w:t>
      </w:r>
      <w:r>
        <w:rPr>
          <w:rFonts w:ascii="arial" w:eastAsia="arial" w:hAnsi="arial" w:cs="arial"/>
          <w:color w:val="000000"/>
          <w:sz w:val="20"/>
          <w:lang w:val="en-US" w:eastAsia="en-US" w:bidi="ar-SA"/>
        </w:rPr>
        <w:t xml:space="preserve">, </w:t>
      </w:r>
      <w:hyperlink r:id="rId332" w:history="1">
        <w:r>
          <w:rPr>
            <w:rFonts w:ascii="arial" w:eastAsia="arial" w:hAnsi="arial" w:cs="arial"/>
            <w:i/>
            <w:color w:val="0077CC"/>
            <w:sz w:val="20"/>
            <w:u w:val="single"/>
            <w:shd w:val="clear" w:color="auto" w:fill="FFFFFF"/>
            <w:lang w:val="en-US" w:eastAsia="en-US" w:bidi="ar-SA"/>
          </w:rPr>
          <w:t>2005 SCC 38</w:t>
        </w:r>
      </w:hyperlink>
      <w:r>
        <w:rPr>
          <w:rFonts w:ascii="arial" w:eastAsia="arial" w:hAnsi="arial" w:cs="arial"/>
          <w:color w:val="000000"/>
          <w:sz w:val="20"/>
          <w:lang w:val="en-US" w:eastAsia="en-US" w:bidi="ar-SA"/>
        </w:rPr>
        <w:t xml:space="preserve">. The acknowledgement in writing must "admit some liability": </w:t>
      </w:r>
      <w:r>
        <w:rPr>
          <w:rFonts w:ascii="arial" w:eastAsia="arial" w:hAnsi="arial" w:cs="arial"/>
          <w:i/>
          <w:color w:val="000000"/>
          <w:sz w:val="20"/>
          <w:lang w:val="en-US" w:eastAsia="en-US" w:bidi="ar-SA"/>
        </w:rPr>
        <w:t>Podovinikoff v. Montgomery</w:t>
      </w:r>
      <w:r>
        <w:rPr>
          <w:rFonts w:ascii="arial" w:eastAsia="arial" w:hAnsi="arial" w:cs="arial"/>
          <w:color w:val="000000"/>
          <w:sz w:val="20"/>
          <w:lang w:val="en-US" w:eastAsia="en-US" w:bidi="ar-SA"/>
        </w:rPr>
        <w:t xml:space="preserve"> </w:t>
      </w:r>
      <w:hyperlink r:id="rId333" w:history="1">
        <w:r>
          <w:rPr>
            <w:rFonts w:ascii="arial" w:eastAsia="arial" w:hAnsi="arial" w:cs="arial"/>
            <w:i/>
            <w:color w:val="0077CC"/>
            <w:sz w:val="20"/>
            <w:u w:val="single"/>
            <w:shd w:val="clear" w:color="auto" w:fill="FFFFFF"/>
            <w:lang w:val="en-US" w:eastAsia="en-US" w:bidi="ar-SA"/>
          </w:rPr>
          <w:t>(1984), 58 B.C.L.R. 204</w:t>
        </w:r>
      </w:hyperlink>
      <w:r>
        <w:rPr>
          <w:rFonts w:ascii="arial" w:eastAsia="arial" w:hAnsi="arial" w:cs="arial"/>
          <w:color w:val="000000"/>
          <w:sz w:val="20"/>
          <w:lang w:val="en-US" w:eastAsia="en-US" w:bidi="ar-SA"/>
        </w:rPr>
        <w:t xml:space="preserve">, (S.C.). The test is an objective one, whether a reasonable person receiving and reading the communication would take it that the defendant was going to settle: </w:t>
      </w:r>
      <w:r>
        <w:rPr>
          <w:rFonts w:ascii="arial" w:eastAsia="arial" w:hAnsi="arial" w:cs="arial"/>
          <w:i/>
          <w:color w:val="000000"/>
          <w:sz w:val="20"/>
          <w:lang w:val="en-US" w:eastAsia="en-US" w:bidi="ar-SA"/>
        </w:rPr>
        <w:t>Canadian Pacific Railway v. Enderby</w:t>
      </w:r>
      <w:r>
        <w:rPr>
          <w:rFonts w:ascii="arial" w:eastAsia="arial" w:hAnsi="arial" w:cs="arial"/>
          <w:color w:val="000000"/>
          <w:sz w:val="20"/>
          <w:lang w:val="en-US" w:eastAsia="en-US" w:bidi="ar-SA"/>
        </w:rPr>
        <w:t xml:space="preserve">, </w:t>
      </w:r>
      <w:hyperlink r:id="rId334" w:history="1">
        <w:r>
          <w:rPr>
            <w:rFonts w:ascii="arial" w:eastAsia="arial" w:hAnsi="arial" w:cs="arial"/>
            <w:i/>
            <w:color w:val="0077CC"/>
            <w:sz w:val="20"/>
            <w:u w:val="single"/>
            <w:shd w:val="clear" w:color="auto" w:fill="FFFFFF"/>
            <w:lang w:val="en-US" w:eastAsia="en-US" w:bidi="ar-SA"/>
          </w:rPr>
          <w:t>2000 BCCA 319</w:t>
        </w:r>
      </w:hyperlink>
      <w:r>
        <w:rPr>
          <w:rFonts w:ascii="arial" w:eastAsia="arial" w:hAnsi="arial" w:cs="arial"/>
          <w:color w:val="000000"/>
          <w:sz w:val="20"/>
          <w:lang w:val="en-US" w:eastAsia="en-US" w:bidi="ar-SA"/>
        </w:rPr>
        <w:t>, at paragraphs 3 and 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 do not think the communications on behalf of the employees of the defendant can be said to have confirmed the cause of action within the limitation period. Ms. Foggo's communications, which would be the substance of any confirmation, can at best be characterized as expressions of her intention to facilitate the plaintiff's claim under the insurance policy, not to concede the defendant's underlying liability for her injuries. In fact, at one point, Ms. Foggo specifically indicated, as I have previously quoted, that the ultimate authority to determine the viability of the plaintiff's application was the insurer. Nowhere in the material is there a statement on behalf of the defendant that could reasonably be viewed as taking on legal responsibility for her injuries. Accordingly, I am satisfied that the cause of action has not been confirmed within the limitation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POSTPONEMENT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Finally, there is the question of whether the running of the limitation period has been postponed. The applicable portions of s. 6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provide:</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running of time with respect to the limitation period set by this Act for any of the following actions is postponed as provided in subsection (4):</w:t>
      </w:r>
    </w:p>
    <w:p>
      <w:pPr>
        <w:numPr>
          <w:numId w:val="1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for personal injury ...</w:t>
      </w:r>
    </w:p>
    <w:p>
      <w:pPr>
        <w:numPr>
          <w:numId w:val="14"/>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Time does not begin to run against a plaintiff or claimant with respect to an action referred to in subsection (3) until the identity of the defendant or respondent is known to the plaintiff or claimant and those facts within the plaintiff's or claimant's means of knowledge are such that a reasonable person, knowing those facts and having taken the appropriate advice [that] a reasonable person would seek on those facts [there is no "that" there], would regard th[e] facts as showing that</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action on the cause of action would, apart from the effect of the expiration of a limitation period, have a reasonable prospect of success, and</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person whose means of knowledge is in question ought, in the person's own interests and taking the person's circumstances into account, to be able to bring an action.</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purpose of subsection (4),</w:t>
      </w:r>
    </w:p>
    <w:p>
      <w:pPr>
        <w:numPr>
          <w:numId w:val="1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"appropriate advice", in relation to facts, means the advice of competent persons, qualified in their respective fields, to advise on the medical, legal and other aspects of the facts, as the case may require,</w:t>
      </w:r>
    </w:p>
    <w:p>
      <w:pPr>
        <w:numPr>
          <w:numId w:val="1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"facts" include</w:t>
      </w:r>
    </w:p>
    <w:p>
      <w:pPr>
        <w:numPr>
          <w:numId w:val="18"/>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existence of a duty owed to the plaintiff or claimant by the defendant or respondent, and</w:t>
      </w:r>
    </w:p>
    <w:p>
      <w:pPr>
        <w:numPr>
          <w:numId w:val="19"/>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a breach of a duty caused injury, damage or loss to the plaintiff or claimant ...</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burden of proving that the running of time has been postponed under subsections (3) and (4) is on the person claiming the benefit of the postponement.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A helpful paraphrase of these legislative requirements for postponement was provided in </w:t>
      </w:r>
      <w:r>
        <w:rPr>
          <w:rFonts w:ascii="arial" w:eastAsia="arial" w:hAnsi="arial" w:cs="arial"/>
          <w:i/>
          <w:color w:val="000000"/>
          <w:sz w:val="20"/>
          <w:lang w:val="en-US" w:eastAsia="en-US" w:bidi="ar-SA"/>
        </w:rPr>
        <w:t>Ounjian v. St. Paul's Hospital</w:t>
      </w:r>
      <w:r>
        <w:rPr>
          <w:rFonts w:ascii="arial" w:eastAsia="arial" w:hAnsi="arial" w:cs="arial"/>
          <w:color w:val="000000"/>
          <w:sz w:val="20"/>
          <w:lang w:val="en-US" w:eastAsia="en-US" w:bidi="ar-SA"/>
        </w:rPr>
        <w:t xml:space="preserve">, </w:t>
      </w:r>
      <w:hyperlink r:id="rId335" w:history="1">
        <w:r>
          <w:rPr>
            <w:rFonts w:ascii="arial" w:eastAsia="arial" w:hAnsi="arial" w:cs="arial"/>
            <w:i/>
            <w:color w:val="0077CC"/>
            <w:sz w:val="20"/>
            <w:u w:val="single"/>
            <w:shd w:val="clear" w:color="auto" w:fill="FFFFFF"/>
            <w:lang w:val="en-US" w:eastAsia="en-US" w:bidi="ar-SA"/>
          </w:rPr>
          <w:t>2002 BCSC 104</w:t>
        </w:r>
      </w:hyperlink>
      <w:r>
        <w:rPr>
          <w:rFonts w:ascii="arial" w:eastAsia="arial" w:hAnsi="arial" w:cs="arial"/>
          <w:color w:val="000000"/>
          <w:sz w:val="20"/>
          <w:lang w:val="en-US" w:eastAsia="en-US" w:bidi="ar-SA"/>
        </w:rPr>
        <w:t>, at paragraph 21:</w:t>
      </w:r>
      <w:r>
        <w:rPr>
          <w:rFonts w:ascii="arial" w:eastAsia="arial" w:hAnsi="arial" w:cs="arial"/>
          <w:sz w:val="20"/>
          <w:lang w:val="en-US" w:eastAsia="en-US" w:bidi="ar-SA"/>
        </w:rPr>
        <w:cr/>
      </w:r>
    </w:p>
    <w:p>
      <w:pPr>
        <w:numPr>
          <w:numId w:val="2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identity of the defendant is known to the plaintiff.</w:t>
      </w:r>
    </w:p>
    <w:p>
      <w:pPr>
        <w:numPr>
          <w:numId w:val="2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certain facts (including the facts set out in s. 6(5)(b)) within her means of knowledge.</w:t>
      </w:r>
    </w:p>
    <w:p>
      <w:pPr>
        <w:numPr>
          <w:numId w:val="2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reasonable person, knowing those facts and having taken the appropriate advice a reasonable person would seek on those facts, would regard the facts as showing that an action would have a reasonable prospect of success.</w:t>
      </w:r>
    </w:p>
    <w:p>
      <w:pPr>
        <w:numPr>
          <w:numId w:val="2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reasonable person, knowing those facts and having taken the appropriate advice a reasonable person would seek on those facts, would regard the facts as showing that the plaintiff ought, in her own interests and taking her circumstances into account, to be able to bring an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All four of these components must be satisfied before the limitation period begins running. With respect to the means of knowledge of sufficient facts, the plaintiff is deemed to have whatever information to support a claim that it would have been reasonable for her to seek: </w:t>
      </w:r>
      <w:r>
        <w:rPr>
          <w:rFonts w:ascii="arial" w:eastAsia="arial" w:hAnsi="arial" w:cs="arial"/>
          <w:i/>
          <w:color w:val="000000"/>
          <w:sz w:val="20"/>
          <w:lang w:val="en-US" w:eastAsia="en-US" w:bidi="ar-SA"/>
        </w:rPr>
        <w:t>Karsanjii Estate v. Roque</w:t>
      </w:r>
      <w:r>
        <w:rPr>
          <w:rFonts w:ascii="arial" w:eastAsia="arial" w:hAnsi="arial" w:cs="arial"/>
          <w:color w:val="000000"/>
          <w:sz w:val="20"/>
          <w:lang w:val="en-US" w:eastAsia="en-US" w:bidi="ar-SA"/>
        </w:rPr>
        <w:t xml:space="preserve"> </w:t>
      </w:r>
      <w:hyperlink r:id="rId336" w:history="1">
        <w:r>
          <w:rPr>
            <w:rFonts w:ascii="arial" w:eastAsia="arial" w:hAnsi="arial" w:cs="arial"/>
            <w:i/>
            <w:color w:val="0077CC"/>
            <w:sz w:val="20"/>
            <w:u w:val="single"/>
            <w:shd w:val="clear" w:color="auto" w:fill="FFFFFF"/>
            <w:lang w:val="en-US" w:eastAsia="en-US" w:bidi="ar-SA"/>
          </w:rPr>
          <w:t>(1990), 43 B.C.L.R. (2d) 234</w:t>
        </w:r>
      </w:hyperlink>
      <w:r>
        <w:rPr>
          <w:rFonts w:ascii="arial" w:eastAsia="arial" w:hAnsi="arial" w:cs="arial"/>
          <w:color w:val="000000"/>
          <w:sz w:val="20"/>
          <w:lang w:val="en-US" w:eastAsia="en-US" w:bidi="ar-SA"/>
        </w:rPr>
        <w:t>,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I have concluded that this issue is not suitable for resolution by summary trial because there is currently insufficient evidence on which to base a finding about whether it would have been reasonable for the plaintiff to view herself as being in an adversarial relationship with the defendant and thus to be alert to the necessity of litigation if the insurance benefits were not forthcoming. The plaintiff deposes to her understanding that the coverage available to her was of a no-fault nature, that is, that it did not depend on her demonstrating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other wrongdoing on the part of the defendant's employees. Counsel for the defendant did not contest that characterization.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It would be open to a court to find that a reasonable person who was injured in these circumstances and who understood that she had compensation for the injuries available through the simple submission of an injury claim would not view it as being necessary to commence litigation until a point had been reached at which that avenue of compensation had, for whatever reason, apparently been closed to her. The problem is that right now, on the state of the disclosure available to the plaintiff, I do not even know for certain if the plaintiff was eligible for coverage and, if she was, if and when and why she later ceased to be eligible. That determination depends in part on the court having a full picture of all relevant communications, including between the defendant's representatives and its insurers, which have not yet been produced. An examination for discovery of a representative of the defendant would also be beneficial in illuminating the postponement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There is also the question of whether the defendant's employees, volunteer or paid, induced the plaintiff, through errors and delays in their handling of her claim under the insurance policy, to believe that she need not be vigilant about her potential litigation options. I do not think that question can be determined accurately on the present evidence either. The internal processing of her claim and what could or should have been done to process it or what could or should have been done by her to further it successfully need to be understood on a full evidentiary record. In my view, this issue requires a trial based on complete disclosure in order for the issue to be resolved in a just manner. It is not a situation, I find, in which the plaintiff is dragging her feet in the litigation in order to frustrate resolution by summary trial. It just happens that the application arises at a time when relevant disclosure, for whatever reason, is not complete.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 OF FINDINGS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To summarize my findings, I conclude that the applicable limitation period for the contract claims is six years. I also conclude that with respect to the plaintiff's personal injury claim, the defendant did not confirm the cause of action within the limitation period. Finally, with respect to the question of whether there has been a postponement of the limitation period for the personal injury claim, I conclude this issue is not suitable for resolution in a summary trial because of the inadequacy of the current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DECIDING INDIVIDUAL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I am mindful of the caution that must be exercised before deciding individual issues in a summary trial because of the general undesirability of "litigating in slices"; see </w:t>
      </w:r>
      <w:r>
        <w:rPr>
          <w:rFonts w:ascii="arial" w:eastAsia="arial" w:hAnsi="arial" w:cs="arial"/>
          <w:i/>
          <w:color w:val="000000"/>
          <w:sz w:val="20"/>
          <w:lang w:val="en-US" w:eastAsia="en-US" w:bidi="ar-SA"/>
        </w:rPr>
        <w:t>Coast Foundation v. Currie Architect Inc.</w:t>
      </w:r>
      <w:r>
        <w:rPr>
          <w:rFonts w:ascii="arial" w:eastAsia="arial" w:hAnsi="arial" w:cs="arial"/>
          <w:color w:val="000000"/>
          <w:sz w:val="20"/>
          <w:lang w:val="en-US" w:eastAsia="en-US" w:bidi="ar-SA"/>
        </w:rPr>
        <w:t xml:space="preserve">, </w:t>
      </w:r>
      <w:hyperlink r:id="rId337" w:history="1">
        <w:r>
          <w:rPr>
            <w:rFonts w:ascii="arial" w:eastAsia="arial" w:hAnsi="arial" w:cs="arial"/>
            <w:i/>
            <w:color w:val="0077CC"/>
            <w:sz w:val="20"/>
            <w:u w:val="single"/>
            <w:shd w:val="clear" w:color="auto" w:fill="FFFFFF"/>
            <w:lang w:val="en-US" w:eastAsia="en-US" w:bidi="ar-SA"/>
          </w:rPr>
          <w:t>2003 BCSC 1781</w:t>
        </w:r>
      </w:hyperlink>
      <w:r>
        <w:rPr>
          <w:rFonts w:ascii="arial" w:eastAsia="arial" w:hAnsi="arial" w:cs="arial"/>
          <w:color w:val="000000"/>
          <w:sz w:val="20"/>
          <w:lang w:val="en-US" w:eastAsia="en-US" w:bidi="ar-SA"/>
        </w:rPr>
        <w:t>, at paragraphs 13, 15, and 18. I have, exercising that caution, concluded nonetheless that this approach is beneficial in the present case, by removing from consideration at any further trial those limitation issues that are properly dealt with in a summary fashion. I am thus allowing a court at a full trial or further application to focus its attention on the issue that requires exploration in greater depth, that is, the question of postponement.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Further, these issues, although all having to do with the applicability of limitation periods, are not really interwoven either factually or legally, as that term is used in the cases. Each issue relies on an application of a discrete section or aspect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to a discrete set of facts. Thus, the potential for embarrassing a trial judge in the legal sense of that term, by my prejudging an issue that is properly part of his or her trial responsibilities, seems to me to be minimal.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It is also worth pointing out that this application is in itself an issue-focussed and segmented one in that it deals only with the question of whether the claims are statute-barred and not their underlying merit. Thus, even dismissing all of the limitation period issues does not avoid a trial on the merits if one is sought.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For these reasons and pursuant to 9-7(15), the defendant's applications are dismissed. Costs will be in the cause. I wish to express my appreciation to counsel for their very helpful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T.A. SCHULTES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12" style="position:absolute;z-index:25187430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38"/>
          <w:headerReference w:type="default" r:id="rId339"/>
          <w:footerReference w:type="even" r:id="rId340"/>
          <w:footerReference w:type="default" r:id="rId341"/>
          <w:headerReference w:type="first" r:id="rId342"/>
          <w:footerReference w:type="first" r:id="rId34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44" w:history="1">
        <w:r>
          <w:rPr>
            <w:rFonts w:ascii="arial" w:eastAsia="arial" w:hAnsi="arial" w:cs="arial"/>
            <w:b/>
            <w:bCs/>
            <w:i/>
            <w:color w:val="0077CC"/>
            <w:kern w:val="32"/>
            <w:sz w:val="28"/>
            <w:szCs w:val="32"/>
            <w:u w:val="single"/>
            <w:shd w:val="clear" w:color="auto" w:fill="FFFFFF"/>
            <w:lang w:val="en-US" w:eastAsia="en-US" w:bidi="ar-SA"/>
          </w:rPr>
          <w:t>Kovac v. Moscone, [2012] B.C.J. No. 1167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J.S. Harvey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7-11, 14-18, 21-25, 28-31, April 1 and May 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7,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M060430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[2012] B.C.J. No. 1167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2012 BCSC 845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Louisa Kovac, Plaintiff, and Dominic Moscone,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(517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13" style="position:absolute;z-index:2516766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21" w:name="Keywords_17"/>
      <w:bookmarkEnd w:id="121"/>
      <w:r>
        <w:rPr>
          <w:rFonts w:ascii="arial" w:eastAsia="arial" w:hAnsi="arial" w:cs="arial"/>
          <w:b/>
          <w:color w:val="000000"/>
          <w:sz w:val="20"/>
          <w:lang w:val="en-US" w:eastAsia="en-US" w:bidi="ar-SA"/>
        </w:rPr>
        <w:t>Damages — Physical and psychological injuries — Physical injuries — Fibromyalgia or chronic pain — Considerations impacting on award — Credibility — Action by the plaintiff against the defendant for damages for injuries arising from a 2004 motor vehicle accident, allowed in part — Plaintiff suffered from depression, chronic pain and fibromyalgia — Defendant admitted liability for accident, but argued that plaintiff's condition was caused by a 2006 workplace fall and not the 2004 accident — Plaintiff's evidence of her post-accident/pre-fall symptoms was inconsistent with doctors' notes and with statements she made to WorkSafe BC when pursuing compensation for the fall — Court found plaintiff had largely recovered from accident prior to fall — Plaintiff's damages limited to non-pecuniary loss of $75,000.</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For personal injuries — Non-pecuniary loss — Pain and suffering — Action by the plaintiff against the defendant for damages for injuries arising from a 2004 motor vehicle accident, allowed in part — Plaintiff suffered from depression, chronic pain and fibromyalgia — Defendant admitted liability for accident, but argued that plaintiff's condition was caused by a 2006 workplace fall and not the 2004 accident — Plaintiff's evidence of her post-accident/pre-fall symptoms was inconsistent with doctors' notes and with statements she made to WorkSafe BC when pursuing compensation for the fall — Court found plaintiff had largely recovered from accident prior to fall — Plaintiff's damages limited to non-pecuniary loss of $75,000.</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Assessment of damages — Limiting factors — Intervening cause — Action by the plaintiff against the defendant for damages for injuries arising from a 2004 motor vehicle accident, allowed in part — Plaintiff suffered from depression, chronic pain and fibromyalgia — Defendant admitted liability for accident, but argued that plaintiff's condition was caused by a 2006 workplace fall and not the 2004 accident — Plaintiff's evidence of her post-accident/pre-fall symptoms was inconsistent with doctors' notes and with statements she made to WorkSafe BC when pursuing compensation for the fall — Court found plaintiff had largely recovered from accident prior to fall — Plaintiff's damages limited to non-pecuniary loss of $75,000.</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22" w:name="Case Summary_15"/>
            <w:bookmarkEnd w:id="12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32-year-old plaintiff, Kovac, against the defendant, Moscone, for damages for injuries arising from a 2004 motor vehicle accident. The plaintiff suffered from depression, chronic pain and fibromyalgia. Her condition was not likely to improve. As a result, it was also unlikely that the plaintiff would be able to return to her employment as a school teacher on anything other than a part-time or casual basis. Complicating matters was a workplace fall that occurred in 2006. According to the plaintiff, her symptoms from the accident became worse after the fall. Before the fall she attempted to put on a brave face in spite of the pain she experienced; however, after the fall the pain became unbearable. She claimed damages exceeding $3 million. The defendant disputed that the plaintiff's condition was caused by the motor vehicle accident for which he had admitted liability. The defendant's position was that the workplace fall was the underlying reason for the plaintiff's condition. As such, he submitted an award of damages in the range of $20,000-$50,000 was appropriate.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23" w:name="Holdings of Court_12"/>
            <w:bookmarkEnd w:id="123"/>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While the Court was satisfied that some of the plaintiff's pain was due to injuries suffered in the 2004 accident, it was not satisfied that those injuries contributed or caused her fall in 2006. The plaintiff's evidence regarding her pre-fall symptoms was at odds with the notes of her doctor, which failed to corroborate her complaints. Similarly, she failed to mention her condition when pursuing compensation with WorkSafe BC for her fall. As such, the Court found the plaintiff's evidence regarding her pre-fall condition unbelievable or at least unreliable. The Court agreed with the defendant that the severity, frequency, intensity and debilitating effects of all symptoms changed dramatically after the fall such that the residual symptoms from the motor vehicle accident were entirely distinguishable from the symptoms experienced after the fall. Nevertheless, the Court accepted the plaintiff's evidence that the numbness and tingling she experienced in her hands was attributable to thoracic outlet syndrome (TOS), which was caused by the motor vehicle accident. However, it found that the symptoms from the syndrome would not have impacted upon the plaintiff's ability to work as an elementary school teacher. Given the Court's findings as to the aetiology of the plaintiff's disabling injuries, her damages were limited to non-pecuniary loss, which was set at $75,000.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24" w:name="Counsel_17"/>
      <w:bookmarkEnd w:id="12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14" style="position:absolute;z-index:2517278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D.J. Wallin and W. Glover.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K. Affleck Q.C., J. Burgoyne and D.M. De Baie.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25" w:name="Judgment_17"/>
      <w:bookmarkEnd w:id="125"/>
      <w:r>
        <w:pict>
          <v:line id="_x0000_s1115" style="position:absolute;z-index:251779072"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A correction was released by the Court June 25, 2012; the change has been made to the text and the correction is appended to this document.]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71"/>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26" w:name="J.S. HARVEY J."/>
            <w:bookmarkEnd w:id="126"/>
            <w:r>
              <w:rPr>
                <w:rFonts w:ascii="arial" w:eastAsia="arial" w:hAnsi="arial" w:cs="arial"/>
                <w:b/>
                <w:color w:val="000000"/>
                <w:sz w:val="30"/>
                <w:lang w:val="en-US" w:eastAsia="en-US" w:bidi="ar-SA"/>
              </w:rPr>
              <w:t>J.S. HARVEY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This action arises from a motor vehicle accident which occurred February 9, 2004 (the "accident"). Liability for the accident has been admitted by the defendant, Mr. Dominic Moscone. The overriding question is what role (if any) the defendant's admitted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played in the plaintiff's current symptomology.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There is no dispute among the medical experts as to the plaintiff's present ongoing disability. She suffers from depression, chronic pain and fibromyalgia. She is unlikely to experience significant improvement in the future and, as a result, is unlikely to ever resume her former occupation as a school teacher other than on a part-time basis. The primary area of disagreement is the aetiology of her current symptoms. In addition, there is a difference of opinion as to whether the plaintiff suffers from post-traumatic stress syndrome ("PTSD") and whether she has thoracic outlet syndrome ("TOS").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complicating factor in assessing the causal relationship between the plaintiff's current symptoms and the accident is the occurrence of a workplace fall which occurred on January 16, 2006 (the "fall" or "workplace fall"). The defendant argues the fall provides the underlying reason for the plaintiff's current complaints.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Maria Kovac (nee Maria Bozic) is 32. She is married to Mike Kovac, a chartered accountant. She has a master's degree in education. Until January of 2006, she taught an elementary class at St. Helen's, a private parochial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Prior to the February 2004 accident, she resided in the home of her mother and father. She is the younger of two children. Her brother Michael, who testified at trial, is a lawyer practising in the Lower Mainland.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is part of a close-knit traditional Croatian family. Both of her parents appear to have been hard working and the plaintiff appears to have followed in their footsteps. She was involved in the Croatian community and was outwardly proud of her heritage. Her parents were industrious. While growing up, the plaintiff moved a number of times as her parents bought and then renovated properties for sale. She was involved in various facets of the renovations from an early age including demolition and clean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Despite the numerous moves, the plaintiff integrated well into her new school environments and was active in student council and sports. Principally she was active in volleyball and basketball at school. Outside of school she had interests in soccer and Croatian folk dancing.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Grade 12 she was captain of her senior volleyball team. She received good grades and, from an early age, wanted to be an elementary school teacher.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She participated in a dance group called "Sarajevo" from an early age until shortly after the accident. The group trained in numerous ethnic dances which required fitness, coordination and enthusiasm. She travelled with the group to festivals where they displayed their talents with other Croatian dance troupes from different regions. The training and exhibitions culminated in a large festival during the May long weekend of each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Prior to the motor vehicle accident, the plaintiff began to lead the Sarajevo dance troupe along with a friend, Mr. Ivan Mustapic. Her role in the troupe was that of teacher/choreographer until she quit the troupe in May of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Following high school, the plaintiff successfully attended Capilano University and, later, Simon Fraser University ("SFU"). She obtained a bachelor's degree. After graduation from SFU, she successfully completed the Professional Development Program which enabled her to teach.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As early as September of 2000, while still at SFU, the plaintiff began working as a volunteer at St. Helen's School as a teacher's assistant. This entailed working under the supervision of teachers instructing children with learning disabilities. Her duties included marking assignments, class preparation and generally providing assistance to the teacher. She did this 1 1/2 to 2 days per week while still attending SFU full time in pursuit of her degree.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principal of St. Helen's throughout the plaintiff's employment was Mr. Waldemar Sambor. Following completion of her Professional Development Program, she returned to St. Helen's to advise Mr. Sambor she could now teach on a full-time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From January to April 2003, she taught elementary grades at Morley Elementary School. In addition, she participated in assisting the coach of the Grade 7 volleyball team. Commencing with the fall term of 2003, the plaintiff began teaching at St. Helen's on an on-call basis. She taught Kindergarten to Grade 7. As well, she taught as a substitute in the Surrey School District. In addition to teaching duties she was involved at St. Helen's in coaching, refereeing and overseeing playground activities during lunch and recess.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Outside of school, she continued her hobbies of soccer and Croatian folk dancing. She was socially active with friends.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plaintiff's goal was to eventually have her own class. In January 2004, a Grade 3 teacher was about to commence maternity leave. The plaintiff was interviewed for the position and subsequently hired. In January 2004, she began to "shadow" the teacher whom she was replacing. Commencing in February of 2004, she had her own Grade 3 class to teach. As a private school, St. Helen's renewed employment contracts in April of each year. The plaintiff was hired from January until June 2004 and aspired to a renewal of her contract in April 2004 for the following school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As a term of her contract of employment, she was required to participate in extracurricular activities. She coached soccer and involved herself in several of the social functions connected with the school. She refereed volleyball as well as soccer.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Throughout her employment at St. Helen's, the plaintiff had a good relationship with her fellow teachers and Mr. Sambor. She essentially ran her own classroom with the assistance of a "mother helper". She was well-liked by her fellow teachers and held in high regard professionally.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St. Helen's is a faith-based school. Each morning at 8:30 a.m. staff would gather in the staff meeting room for daily instruction from Mr. Sambor and a prayer. Other than those morning meetings, the plaintiff's contact with Mr. Sambor was limited. He occasionally attended her classroom briefly to either observe or interact with her students.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According to the plaintiff, prior to the motor vehicle accident, her dreams were beginning to unfold exactly as she had hoped.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Through her travels with the dance group Sarajevo, the plaintiff met Mike Kovac in Winnipeg in 2001. A long-distance romance began. He later moved to Vancouver and, in August 2003, they announced their engagement. A wedding was planned for September 2004. Separate ceremonies were planned for Vancouver and Winnipeg.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plaintiff and Mr. Kovac shared an interest in all things athletic. They did the Grouse Grind, hiked, and rollerbladed together. Prior to the motor vehicle accident, Mr. Kovac was teaching the plaintiff how to golf.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plaintiff's view of her pre-accident history was corroborated by friends, Maria Brkich and Ivan Mustapic, as well as her mother, brother, and husband.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According to the plaintiff, her life radically changed after the accident. In the words of her counsel, she suffered thereafter from "unrelenting pain" until the workplace fall of January 2006. The aftermath of the fall, according to the plaintiff, was simply "more of the same". The cumulative effect of the two events, she says, has resulted in her present level of disability.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defendant's view is that the accident resulted in a mild to moderate whiplash injury which ran its course far before the occurrence of the workplace fall. The fall is said to be the source of her current difficulties; not the effects of the accident or some combination of injuries from both events. If the plaintiff suffers from TOS as a result of the accident, which the defendant disputes, it is not the source of the plaintiff's present disability and does not result in compensation for past or future wage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2004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On February 9, 2004, the plaintiff was alone in her vehicle, stopped at a red light at Production Way in Burnaby, when she was struck from behind by the defendant's vehicle. She was on her way to view wedding invitations in preparation for her upcoming marriage. She was unable to make her appointment.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She described the contact as a "smash" throwing her body forward then backward, resulting in her head hitting the headrest. She says she was "in shock". She and the defendant were able to speak to one another and exchange driver's information. No emergency vehicles attended. He asked if she was okay and they each moved their cars off to the side of the road. The plaintiff testified she was shaking and crying at the scene such that she could barely write down the defendant's contact information. Before she left the scene, she called Mike Kovac so as to have him calm her down so she could drive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Moscone, for health reasons, was unable to testify at the trial of this matter. However, his recollection of the circumstances of the accident was described in a questionnaire prepared by him for ICBC as to the details of the collision. In the words of Mr. Moscone, the impact was "severe" and he himself sustained injuries from striking his face on the steering wheel sufficient to cause his dental plate to snap. He suffered from neck pain, headaches and knee pain following the accident. In his words "both the other driver and I were really shaken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damage to both vehicles was minimal. Photographs of each depict modest damage to the rear bumper of the plaintiff's car and similar levels of damage to the defendant's front bumper. Both vehicles were operable and the plaintiff drove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plaintiff's mother, Ms. Anika Bozic, testified that upon arrival home the plaintiff appeared upset and was crying. No medical treatment was sought that evening. Instead, injuries to the plaintiff's neck and upper back area were self-treated with a "magic bag" and Advil. The magic bag is apparently a bean bag heated in the microwave and applied to the afflicted area. The plaintiff said that within an hour of arriving home she began to experience a headache. The accident was reported to ICBC and, although her mother suggested she attend a walk-in clinic, the plaintiff declined. She went to bed early that evening feeling stiff and emotional over the circumstances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accident occurred during the work week. The next morning the plaintiff arose as usual, showered and went to work over the protestations of her mother.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Over the approximately two-year span between the accident and the fall, there is no evidence of work missed as a result of injuries she suffered in the accident. Her employment records indicated brief absences on two or three occasions. None of these was said to be attributable to injuries sustained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circumstances or effects of the accident were never relayed to any of the teachers or administration of St. Helen's. It was not until shortly prior to the trial of this matter that her principal and workmates learned of the accident and its stated effect upon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plaintiff testified that despite her significant discomfort, she was concerned about the prospects of missing time from her new job. A common thread throughout her testimony thereafter was that she stoically endured the symptoms from the motor vehicle accident and shielded them from her principal and workmates so as not to jeopardize her chances of obtaining longer-term employment at St. Helen's. She stated that after the accident, she struggled with her employment daily, moved slowly and continued to experience headaches, a stiff neck, and pressure on the chest, together with sleep interruption and anxiety over driving.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She says she modified her teaching techniques to accommodate her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On February 13, 2004, she reported the accident to ICBC. In a statement provided to the adjuster at the time, she reported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exchanged information with the other driver. Since the accident, my neck and low back are sore. I had no problems with my neck in the past. </w:t>
      </w:r>
      <w:r>
        <w:rPr>
          <w:rFonts w:ascii="arial" w:eastAsia="arial" w:hAnsi="arial" w:cs="arial"/>
          <w:color w:val="000000"/>
          <w:sz w:val="20"/>
          <w:u w:val="single"/>
          <w:lang w:val="en-US" w:eastAsia="en-US" w:bidi="ar-SA"/>
        </w:rPr>
        <w:t>My low back has been sore for years [and] the soreness has intensified since the accident</w:t>
      </w:r>
      <w:r>
        <w:rPr>
          <w:rFonts w:ascii="arial" w:eastAsia="arial" w:hAnsi="arial" w:cs="arial"/>
          <w:color w:val="000000"/>
          <w:sz w:val="20"/>
          <w:lang w:val="en-US" w:eastAsia="en-US" w:bidi="ar-SA"/>
        </w:rPr>
        <w:t>. I have not received any treatment for my low back in the last six months. I work as a teacher at St. Helen's. I have not missed any work. I have read this statement and it is true.</w:t>
      </w:r>
    </w:p>
    <w:p>
      <w:pPr>
        <w:spacing w:before="120" w:line="260" w:lineRule="atLeast"/>
        <w:ind w:left="288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portion of the statement relating to her previous back complaints was added to the typewritten statement in the plaintiff's handwriting. Although given four days following the accident, the statement makes no mention of headaches, sleep interruption or anxiety surrounding driving following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plaintiff contacted her family physician, Dr. Donna McLachlan, following the accident and arranged for an appointment on February 12, 2004, outside of school hours. Dr. McLachlan, along with two physiotherapists and, according to the plaintiff, a massage therapist, oversaw her treatment until the fall in 2006. Dr. McLachlan's practice was staffed by locums during her maternity leave in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Neither physiotherapist nor the massage therapist gave evidence or provided an opinion as to the plaintiff's post-accident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According to Dr. McLachlan's chart, the plaintiff reported on February 13, 2004, "Initially very stiff, now pain in neck + head + mid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No other complaints were recorded. On physical examination, the plaintiff displayed reduced flexion, normal extension and tenderness in the paraspinal region. Dr. McLachlan noted under the heading "Impression" that the plaintiff experienced a Grade II strain and advised her to return in 10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plaintiff treated her symptoms with Advil, the heated bean bag and rest. She testified of difficulties in performing her role as a teacher following the accident. Specifically, she had difficulty writing on displays because raising her arm(s) caused discomfort, as well as handing things out to children, cutting, stapling, three-hole punching and bending to interact with her students. She says she began to employ adaptive measures to make up for the difficulties she was experiencing. Instead of bending, she would kneel down on her knees so as to be at their level. She invited students to help out in some of the troublesome activities such as handing out material, so as to avoid the discomfort of doing so herself.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She temporarily gave up participation in sports, specifically soccer. Prior to the accident she played in a women's soccer league. The plaintiff practiced twice weekly and had a weekly game.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addition to the modification of work and personal routines, the plaintiff testified to significant headaches, difficulty in sleeping and mood change. She was irritable and easily upset by little things. Her teaching day left her with little energy for her other pursuits.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Despite her car being driveable following the accident, the plaintiff said her father began driving her to and from school. This continued until her marriage in September of 2004, then Mike would drive her to school and her father would pick her up and return her to her residence. This, she says, was because of anxiety related to driving. Others testified that she was a nervous passenger, often giving directions of caution to those who drove her or simulating "braking" when she sensed peril.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plaintiff testified that following the accident she began to frequently leave school over the lunch hour so as to go to her parents' home to lie down and rest. She says she put on a "brave face" despite ongoing daily pain and limitations on her movement. Her motive in doing so was to shield from her coworkers, particularly Mr. Sambor, the extent of her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Her friends Marisa Brkich and Ivan Mustapic, together with family members, testified that the plaintiff often grimaced with pain and her discomfort was openly apparent. Her co-workers, Theresa Collins and Sandra Drlje, together with principal Sambor, testified they never observed such behaviour prior to the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After the 2006 workplace fall, when it became apparent the plaintiff would not be returning to St. Helen's to teach, all three provided the plaintiff with glowing letters of recommendation. A common theme was her involvement in extracurricular activities, her energy and initiative.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Ms. Collins and Ms. Drlje testified, as did Mr. Sambor, that leaving the school grounds over lunch without permission was contrary to established school policy. Neither teacher confirmed the plaintiff's evidence that she frequently left the school during lunch between the accident and the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Another of the plaintiff's complaints was ringing in her ears and a tight, sharp pain in her shoulders which went down into her arms. Sometime late in February, or perhaps early March, 2004, she began to notice symptoms in her hands. She testified that her hands would go white, the tips of her fingers changed to purple on her pinky, ring and middle fingers and they were cold. She would need to shake her hands to try to regain circulation. These symptoms were particularly noticeable following writing on the blackboard or any activity which required her to raise her hand above shoulder level. She would also notice the symptoms after sleeping.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colour change was observed by her mother, husband, and other collateral witnesses who testified on her behalf. Her fingers were said to claw while her hands turned either white or purplish. None of the medical experts who later assessed the plaintiff observed the clawing phenomena, although the tingling was reported to Dr. McLachlan in a visit in May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Following the accident the plaintiff states she became more reclusive. Her then fiancé, Mike, would come over for visits which would often be cut short. When he was there she was using heat, ice and Advil and was, according to Mike, visibly struggling with her symptoms. Her headaches were almost daily and she suffered from sleep interruption. She would use pillows to make herself comfortable when sitting for any length of time. She reduced her chores at home and let others do what she previously had routinely undertaken.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None of these symptoms were recorded by Dr. McLachlan or the three locums who took over her practice while she was on maternity leave during most of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In terms of her recreational activities, she resumed playing soccer in the spring of 2004 but says she was not playing the game with the same competitive edge she had before the accident. Instead of playing a full game, she estimated she would play only 15 minutes a game. She said she did not attend practices. Her position changed to a less demanding role. The soccer games, according to the plaintiff, became more of a social gathering than an athletic endeavour.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By the end of May 2004, she stepped down from her role as the choreographer of Sarajevo because, she said, her symptoms precluded the required athleticism associated with many of the dances. Following the accident, she began to pass over tutelage of the group to Ivan Mustapic and only stayed to complete the annual folk festival in the May long weekend of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Emergency records from Burnaby Hospital, coupled with a reference in Dr. McLachlan's chart, indicated she experienced ear problems while travelling to Edmonton in the early spring of 2004. I assume her travel was in connection with her dance activities with Sarajevo although described in the chart as a "holiday".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A by-product of her symptoms was her irritability and loss of patience. All of the lay witnesses called by the plaintiff testified to a marked difference in her personality almost immediately following the accident. She was often short and set off by little things. This was more acute with her mother and Mike Kovac.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None of the teachers from St. Helen's observed a change in her demeanour either in her interaction with colleagues or students.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plaintiff said she suffered from loss of concentration. An example given was an incident in the spring of 2004 when she excused a student, Jessica Lando, to go to the washroom. The plaintiff then forgot her and left with her other students for a field trip, leaving Jessica in the washroom. This resulted in a complaint by the child's parents and a meeting between the Landos, Mr. Sambor, and herself. According to the plaintiff, the parents eventually withdrew the child from the school over the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plaintiff says she proffered no explanation, not even the effects of the accident, to explain the incident. She simply apologized to the parents. When this incident, including the meeting, was raised with Mr. Sambor, he was unable to recall it and there was no record of it in the school's files.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lay witnesses called by the plaintiff were all able to identify the plaintiff's pain levels by her grimacing and open displays of discomfort coupled with complaints about how she felt. The plaintiff apparently made no effort to shield family and friends from the extent of the injuries she suffered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According to her mother, husband, and friend Maria Brkich, she would lose her temper over minor issues and overreact by lashing out at those around her, particularly her husband or mother.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Their observations were markedly different from that of Mr. Sambor, Ms. Collins and Ms. Drlje. Those three noticed none of the pain displays which were described by the plaintiff's mother, husband, brother and her two friends, Ivan Mustapic and Maria Brkich. None of the St. Helen's staff testified as to any shortness of temper, irritability or moodiness on the part of the plaintiff from the accident to the workplace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Excerpts from the letters of recommendation provided to the plaintiff at her request by Mr. Sambor, Ms. Collins and Ms. Dlje described her "gentle and calm manner"; as "inspirational and encouraging"; possessing "excellent written and verbal communication skills"; and spending "many extra hours at the school coaching and helping". Another by-product of the plaintiff's symptoms was that she gave up refereeing soccer and volleyball and required Mike Baldeen, a teacher's assistant at St. Helen's, to assist her with the soccer practices which she routinely ran prior to the accident. Mr. Baldeen, according to the plaintiff, assumed the more demanding tasks associated with coaching while she performed more of an administrative role during practices and games.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All treatments and medical investigations for her accident injuries occurred outside of school hours according to the plaintiff, because she did not wish her employer to know anything of the accident for fear of the effect it might have on her subsequent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With the exception of eight physiotherapy appointments which occurred between March 2004 and May 2004, the plaintiff's medical treatment was all provided by her family physician, Dr. McLachlan, or locums who oversaw Dr. McLachlan's practice while she was on maternity leave.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plaintiff stated she attended a massage therapist but efforts to retrieve records relating to her attendance were unsuccessful. The claim for special damages makes no references to the expense and ICBC did not fund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plaintiff testified that she complained to Dr. McLachlan, the locums, and her physiotherapist about her work challenges and the difficulty she was having sitting and standing. She also noted the difficulties she continued to have while writing on the blackboard and placing displays at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plaintiff's attendance for medical investigation of her complaints was sporadic. At least two of the eight visits between February 12, 2004, and December 16, 2005, had nothing to do with her injuries. In several of the visits, she had multiple concerns, including those related to her injuries, as well as unrelated matters.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In addition to active treatment during the months of March through May of 2004, her physiotherapist provided an exercise program and stretching regime together with instructions on how to modify certain activities so as to avoid some of the problems she complained of. The plaintiff purchased an elastic resistance band and a core stabilizing ball which she said she used at home up to the time of the workplace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Although entitled to twelve physiotherapy treatments funded by ICBC, the plaintiff said she stopped going to physiotherapy after eight sessions because she felt that it was aggravating, rather than improving, her symptoms. She was reassured about her recovery by advice given to her by both Dr. McLachlan and the physiotherapist, Stefanie Rizzo. She felt that the use of the appliances she had purchased coupled with a home exercise program would lead to her eventual recovery. She testified it did not despite her compliance with the exercise routine provided.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Instead, her symptoms of neck and shoulder pain, migraine-like headaches, sleep interruption, affected mood, fear of driving, clawing of her hands and interference with her work duties all continued without abatement to the date of the fall. Her counsel, in closing submissions, described her pain as "unrelenting."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No medications were prescribed for pain control although the plaintiff testified Dr. McLachlan provided samples of prescription pain relievers directed at treatment of her headaches on three separate occasions. They unfortunately provided no relief.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Neither rest nor exercise, according to the plaintiff, alleviated the symptoms in any meaningful fashion to the date of the fall. She noted some improvement with her low back but says that the other symptoms remained more or less constant between the date of the accident and the date of the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plaintiff testified she was only able to continue on with her employment with the assistance of her husband who would help her by marking student work and her mother and cousins who attended with her in September 2004 to help her put up bulletin boards, decorate the classroom, and organize the students' materials.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Nonetheless, she took on part-time employment with the City of Burnaby, overseeing a community recreation program in the summer of 2004. The plaintiff explained that her duties were supervisory and the work was dependent upon good weather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None of the teacher's aides assigned to her class or the various mother helpers who assisted her in the classroom were called to give evidence as to their observations about the plaintiff's abilities in the classroom between the accident and the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Apart from maintaining a brave face at work, the plaintiff said her life was in disarray as a result of her symptoms. Her social activities were severely curtailed. She says she needed time to rest from the strain of work and became somewhat reclusive. She gave up refereeing basketball and volleyball. Her involvement in soccer was more social and less physical.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Another continuing complaint following the accident was the plaintiff's transition from a confident driver to an anxious, fearful driver who avoided driving when possible and, when required to drive was "hyper alert". The plaintiff said she avoided the accident scene because when she travelled past it she would have recurrent feelings of those which arose after the accident and would replay the motor vehicle accident in her head. These have persisted steadily since the accident and have not changed since it occurred. She testified that following the accident she spoke to her family physician about driving anxiety and subsequently spoke to a psychologist about methods to manage her anxiety.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plaintiff was not referred by Dr. McLachlan for psychological counselling until the fall of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plaintiff's post-accident health impacted her wedding. After the accident, she found planning too challenging and gave up thoughts of performing a song on the piano because she had difficulties with her hands and looking down. She could not carry her wedding dress because she couldn't raise it above shoulder height to make sure it didn't get wrinkled. Ivan Mustapic testified that he had to help her with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Nonetheless, the wedding took place, as planned, in September 2004. Two separate events were held: the marriage and reception in Vancouver, where some 400 guests attended, and another reception in Winnipeg where some 250 attended.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According to the plaintiff, all events surrounding both events were marred by her physical discomfort and her inability to participate fully in them. She was unable to participate in the expected receiving line or mingle with guests. She was irritable with her husband at the ceremony in Vancouver because of a toast he gave the serving staff. In Winnipeg, she was upset and irritated because insufficient food was ordered. While able to dance a polka, she was unable to engage in one of the more energetic traditional wedding dances that had the husband twirling the bride, while off her feet. After the wedding, she testified she couldn't remove bobby pins from her hair without assistance.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None of these complaints appear to have been communicated to Dr. McLachlan when the plaintiff first attended following her wedding on November 30, 2004. Instead, the chart notes for that visit were redacted from Dr. McLachlan's file on the basis they contained no information relevant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In the approximate 16 months between her marriage and the fall, the plaintiff says there was no improvement. Her sleep continued to be interrupted with neck pain and cramping in her hands. She had frequent headaches. She treated her headaches with Advil, and her neck and shoulder pain with the magic bag and heating pads.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Holidays in Las Vegas over Christmas 2004 and in the Caribbean in 2005 were marred, if not ruined, by the ongoing symptoms the plaintiff experienced in her neck, shoulder and arms. She testified she could not enjoy planned activities such as horseback riding and golf. Instead, she spent significant periods of time in her room.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A summer trip to the Okanagan in 2005 for wine tasting with friends was similarly ruined by pain throughout the trip resulting, she said, in a cancellation of some planned wine tours. She was accompanied on the trip by her husband, Mr. Mustapic and Ms. Brkich, amongst others. Mr. Mustapic testified the day of wine touring was cut short because of the plaintiff's apparent discomfort. Ms. Brkich testified the tasting was discontinued because the participants, other than the plaintiff, drank too much wine and were unable to carry 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On November 28, 2005, she was taken to Burnaby emergency for what she and Mike described in their testimony as back pain. Mike, in particular, testified under cross-examination that the purpose of the visit was in relation to pain in her neck, back and shoulders. When confronted with the Burnaby hospital records noting the reason for admission as "right side abdominal pain-epigastric + back pain", he continued to insist that long-standing back pain was the reason for admission.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Her admission to hospital preceded, by a few days, the meeting between herself, her husband and an ICBC adjuster named Ann Crosby to which I will refer later in these reasons. Ms. Crosby was never seemingly advised of the Emergency visit.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On November 17, 2005, the plaintiff attended Dr. McLachlan's locum who referenced the upcoming meeting with ICBC and noted "both sides wanting to settle". The plaintiff's chart entry for that visit notes low back pain with occasional flare-ups and reported difficulty bending on occasion.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Though acknowledging no time was missed from work as a result of the accident, the plaintiff described interference with her work performance to the extent that she had Mike mark some of her students' assignments and had her mother assist with class setup in one or both of the 2004/2005 class start-ups.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She continued to modify her teaching techniques to accommodate her ongoing symptoms. She knelt as opposed to bent; she adapted her use of the blackboard so as not to write for long periods and used the students themselves to do some of the class chores she previously performed.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She testified that her headaches were constant and it was a "sharp pain radiating up her skull to her forehead and into her temples behind the eye." They occurred as often as three times per week and would last for hours. The plaintiff testified the headaches remained a constant in their frequency and duration from after the accident until the workplace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Despite these complaints, her attendance for medical assessment or treatment was sporadic.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With the exceptions of Advil and the sample medications received from Dr. McLachlan, the plaintiff did not take or seek anything stronger by way of painkillers or anti-inflammatories.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Post-Accident Medical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As noted, the plaintiff's family physician at the time of the accident was Dr. Donna McLachlan. Dr. McLachlan's clinical records were introduced in evidence, spanning from several years prior to the motor vehicle accident through 2010, well after the workplace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According to both the plaintiff and her physician, the plaintiff's pre-accident medical history was uneventful and non-contributing to the condition described by the medical experts at trial. Dr. McLachlan was seemingly unaware of the plaintiff's low back pain which predated the accident referenced by the plaintiff in her statement to ICBC.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At her initial attendance upon Dr. McLachlan on February 12, 2004, Dr. McLachlan noted the occurrence of the accident two days before, noted complaints of stiffness with the pain in the neck, head and mid-back, coupled with a reduction in flexion and tenderness in the paraspinal area. The diagnosis was a Grade II strain. Nowhere in Dr. McLachlan's records predating the workplace fall is there a record of headaches. On one occasion, the first visit, there is reference to "pain in neck head and midback." Nowhere is there a recorded complaint of ringing in the plaintiff's 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In the visit 12 days later, Dr. McLachlan noted that the plaintiff was "still very stiff" with tenderness in the trapezius area. Her mobility was a bit improved. Dr. McLachlan's impression was "cervical strain improving". Massage was planned and a referral was made to the physiotherapist.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In a further follow-up in March 2004 the major complaint was noted as stiffness. Physiotherapy treatment had started, resulting in a bit more pain as a result of stretching and some traction. Reference is made to a visit to a walk-in clinic for ear pain and antibiotics given "while on vacation." Admission records from a walk-in clinic noted that she was experiencing ear pain after a flight from Edmonton.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On May 3, 2004, the plaintiff returned again to Dr. McLachlan for a routine test unrelated to the accident. The plaintiff, for the first time, reported that she was experiencing numbness and paleness in three fingers on both hands lasting for 20 minutes to an hour. There was no mention of "clawing" of the hands. Dr. McLachlan ordered cervical spine x-rays. The plaintiff was provided with a requisition form for further investigation but apparently misplaced it and x-rays were not done until approximately a year later. The plaintiff testified this was because of a loss of concentration following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In June 2004, Dr. McLachlan responded to a request from the ICBC adjuster then handling the plaintiff's claim and prepared a CL-19 report. The thrust of the report was that the plaintiff was 80% recovered from her injuries; this despite not having seen her patient since May 2004 and not administering any physical testing on that visit.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On July 13, 2004, the plaintiff attended for a routine test with no reference to any accident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On November 30, 2004, following both marriage celebrations, the plaintiff re-attended Dr. McLachlan. The records of that visit were redacted by Dr. McLachlan on the basis the visit did not relate to the accident. Neither she nor the plaintiff gave specifics as to the purpose of her November 2004 visit.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Following the November 30, 2004 attendance Dr. McLachlan went on maternity leave. Locums oversaw her practice from thereafter. The next time Dr. McLachlan saw the plaintiff was after her fall in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The plaintiff continued to attend Dr. McLachlan's office but saw locums on three different occasions, specifically March 5, 2005, November 17, 2005 and December 16,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At the March 5, 2005 visit she requested a copy of the CL-19 prepared by Dr. McLachlan in June 2004 and obtained a replacement of the radiology requisition which had been provided to her in the spring of 2004 by Dr. McLachlan and lost. She reported to the locum that she had "ongoing neck stiffness and pain since mva". She reported ongoing numbness and colour change in her hands. No reports of clawing of the hands were recorded. No reports were recorded of headaches, anxiety or sleep interruption.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Other details unrelated to the accident were recorded by the locum. The plaintiff next attended November 17, 2005. The plaintiff's charts make reference to "wanting to settle both sides - still has low back pain, works [as] a teacher - difficult sometimes to bend down and lift books up." In another portion of the entry, it's noted that five days prior to the visit, the plaintiff was seemingly playing soccer when another player stepped on her right foot causing pain across the front of the foot to the lateral portion. The other noted reference is to difficulties the plaintiff and her husband were experiencing in conceiving a child.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The final notation predating the workplace fall occurred December 16, 2005, referencing, once again, numbness to the third, fourth and fifth fingers of both hands. The notation indicates that the complaint was that it happened three times per week, usually when she lifted her arms or during the night while sleeping. Reference was made to a visit between the plaintiff and the ICBC adjuster, Ann Crosby, who according to the chart entry told the plaintiff she ought to consult a neurologist concerning the complaints to her hands.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A referral to a neurologist was made for January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Apart from the reference to "head pain" in the original visit of February 12, 2004, the plaintiff's medical chart is devoid of any complaint referable to headaches particularly of the nature described by the plaintiff. Similarly, there is no reference in the chart entries preceding the workplace fall of any disruption of the plaintiff's sleeping patterns, any emotional difficulties or anxiety surrounding driving.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Ann Crosby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In early December 2005, the plaintiff and her husband attended at ICBC in response to an invitation from Ann Crosby, the ICBC adjuster then in charge of her file, to discuss settlement of her claim. The limitation period for the commencement of an action was but two months away and no civil action had been commenced.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Ms. Crosby had recently taken over handling the claim from another adjuster. She reviewed the only medical information available to the time of the meeting. This was comprised of the CL-19 prepared by Dr. McLachlan together with Dr. McLachlan's clinical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Ms. Crosby testified that upon being assigned the plaintiff's file, she called the plaintiff to arrange a meeting to discuss settlement of the claim. In their telephone discussions prior to the meeting, the plaintiff advised her that she had no wage loss from the accident, had married since its occurrence, and was active in coaching, albeit not Croatian dancing. As to the latter, Ms. Crosby was of the view that had more to do with the plaintiff's lack of time owing to work and marriage rather than any physical impediments. She did not elaborate as to how she arrived at that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A cheque had previously been issued by ICBC to the plaintiff and sent to her along with a release of further claims against the defendant. The plaintiff neither signed the release nor cashed the cheque. According to Ms. Crosby, she was advised to bring the cheque to the meeting along with any receipts for special damages in anticipation of resolving the claim at the scheduled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Both the plaintiff and her husband attended at ICBC on December 2, 2005 and, according to both, the plaintiff related her symptoms to Ms. Crosby. Neither offered specifics as to what was relayed but each confirmed the purpose of the meeting was to discuss the whole of her symptomology.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Ms. Crosby's note to file regarding the meeting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is still having tingling in her hands in the pinky fingers and finger next to it, and her middle fingers, she wakes up with hands in a claw, and her hands tingle and get cold. Her physio thinks it might be carpal tunnel syndrome or ulnar neuropathy, or may be coming from her neck. Her doctor is on mat leave, and the replacement doctor does not know what to do next. Louisa will follow up with a referral to a neurologist to determine what is causing the tingling in her hands. She said she often has tightness in her neck when it happens, and often she is writing on the blackboard when it happens.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Given her ongoing symptoms, it was not reasonable to discuss settlement amount of her claim. At this time we do not have a diagnosis or prognosis.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At the time of the meeting, Ms. Crosby was suffering from a repetitive strain injury to her right arm and, as a result, had limited use of her right arm and hand. She says she mentioned this to the plaintiff and suggested in her testimony that the aetiology of the plaintiff's complaints concerning discolouration and discomfort in her hands was as result of the plaintiff mimicking Ms. Crosby's symptoms and later recounting them to her doctor.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Given the plaintiff's complaints concerning her hand were first noted by Dr. McLachlan in May 2004, it is difficult to understand how Ms. Crosby could arrive at such a view, particularly since she acknowledged being in possession of Dr. McLachlan's chart containing the relevant entries chronicling the hand complaints since prior to the meeting with the plaintiff and her husband.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Ms. Crosby denied advising the plaintiff to consult a neurologist because of the reported complaint of hand symptoms. In Ms. Crosby's view, the purpose of the meeting was to settle the plaintiff's claim. That didn't occur, she says, because the plaintiff failed to bring the necessary receipts for her medical treatment. That conclusion is belied by the adjuster's note to file which concludes settlement was premature in view of ongoing complaints concerning her hands.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The plaintiff's version of the meeting is markedly different and she denies even being aware of Ms. Crosby's medical concerns let alone emulating them later as Ms. Crosby testified. Ms. Crosby, she says, suggested a referral to a neurologist and, indeed, that is what the plaintiff told the locum on December 15, 2005, resulting in a referral to Dr. Mezei.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Workplace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On Monday, January 16, 2006, the plaintiff arrived as usual, to commence her school week at St. Helen's. She was, according to evidence at her discovery, "fine" but qualified that answer at trial by noting her accident complaints were still bothering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In arriving at her classroom, she noticed that the display of student artwork appended to the wall above the windows had fallen to the floor. The plaintiff said she was anxious to restore the artwork to its place on the wall prior to her students arriving and stepped onto a chair and then climbed on top of the storage cabinets so as to try to reattach the artwork to the location from where it had fallen. She was aware the school had available ladders but thought it safer to climb onto the cabinet.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According to Mr. Sambor, the practice of posting children's artwork, other than on specified bulletin boards, was contrary to school policy. Additionally, he testified teachers were discouraged from activities requiring climbing. Such tasks were to be done with proper equipment by custodians.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The plaintiff acknowledged there was no urgency associated with the task but expressed ignorance over the policies referenced by her principal concerning the posting of artwork. Ms. Collins and Ms. Dlje both noted the policy regarding the display of children's work on classroom walls was honoured more in the breach than the observance.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In attempting to reattach the artwork, she raised her arms up and, according to her testimony, the next thing she knew she was falling backwards. She acknowledged first hitting a chair mid back before her entire body, including her head, hit the floor.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The plaintiff said she climbed onto the filing cabinet, some five feet high, and was standing flat footed on it just before she fell. She denied the suggestion she was on her tiptoes just prior to the fall. What caused her to fall is unknown but the plaintiff gave no evidence of discomfort in her hands or arm, let alone dizziness, just prior to falling.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The fall and resultant injuries resulted in a disability claim to WorkSafeBC for compensation. In the application to WorkSafeBC, the plaintiff signed a statement which included the following description of the incident: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stood on a counter 5' high x 2' wide to put up student's work. After working on this for 5 minutes, I stood on my tip toes to reach higher and the next thing I knew I was falling. I hit a chair that was up on a desk with its legs up and then hit the ground with my lower back. My arms and legs were in the 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The plaintiff denied standing on her tiptoes as described in the WorkSafeBC application and attributed the words to her mother who printed the answers to questions. She testified the document contained errors. Nonetheless, she signed it acknowledging, at the time of signing, it was "true and correct". The application was submitted to WorkSafeBC and never amended. The application asked if there was any "previous pain or difficulty in the areas of your present injury". The answer was "no". The area most affected by the fall was the plaintiff's low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Anika Bozic, the plaintiff's mother, was never asked about the application in her evidence given before the plaintiff testified, nor was she recalled to give evidence as to the form's completion or the origin of the information she included in the application after the plaintiff concluded her testimony.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Whatever the mechanism of the fall, its results were immediate and, according to the defendant, catastrophic. The claimant never returned to full-time work thereafter.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In its immediate aftermath, the plaintiff was attended to by another teacher while still on the floor. She attempted to teach that morning from a sitting position but found the pain unbearable. Mike was called and came to pick her up. He took her to Dr. McLachlan's office where she attended a locum who assessed the plaintiff and ordered x-rays and a neurological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As fate would have it, such a referral was already in place with Dr. Mezei for two days later. The plaintiff attended Dr. Mezei on January 18th. Dr. Mezei's concern was more for the plaintiff's lower extremities than the arm and hand symptoms although, according to the plaintiff, Dr. Mezei also advised her that she had thoracic outlet syndrome, thus accounting for the symptoms in her arms.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Dr. Mezei did not offer an opinion as to the nature of the hand and arm complaints. She concentrated on the more immediate problem of the plaintiff's significant low back pain. X-rays revealed a disc herniation at L4/5 and L5/S1.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Her symptoms, immediately following the fall, included back pain and pain primarily radiating into the right leg.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The plaintiff testified she advised WorkSafeBC of the accident and the fact the referral to the neurologist was as a consequence of the accident, not the fall. She signed an authorization on January 31, 2006, to produce her medical file to WorkSafeBC. Her claim was accepted for a low back injury. Disability benefits began.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After the fall, the plaintiff was unable to work. For the first several weeks/months following it, she was essentially bedridden and/or confined to home. Her back pain was acute and she was prescribed and took a number of medications to control the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The back pain persisted such that by July of 2006, a WorkSafeBC representative discussed with her the possibility of epidural steroid injections for low back complaints. Instead the plaintiff followed the advice of Dr. Mezei who put her on a course of Gabapentin. However by September 2006, her symptoms were acute enough to warrant epidural injections for pain management.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In December 2006, the plaintiff reported an increase of symptoms, described as "increasing back pain" and severe headaches after working with her head down for a period of time in mid-December.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In a reassessment by WorkSafeBC in January 2007 the plaintiff, according to a self report to a WorkSafeBC medical consultant, Deborah Collins, was not demonstrating any significant improvement despite an extensive course of physiotherapy and two epidural injections.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Efforts to return to work were interrupted, according to the plaintiff's report to Ms. Collins, by back pain and intermittent sharp pain down the posterior aspect of her right leg.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Following her convalescence, an extensive period of treatment ensued including physiotherapy with Dana Ranahan, a registered physiotherapist together with entry by the plaintiff into a rehabilitation program designed to prepare her for a graduated return to work. The program consisted of circuit training, walking, using weights, and various stretching exercises. All of the treatments she received were directed to and focused on her lower back which was the area of injury occasioned by the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All were funded by WorkSafeBC with the objective of restoring the plaintiff to her former position as a grade school teacher at St. Helen's.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Dr. McLachlan continued to prescribe, and the plaintiff took, numerous medications designed primarily to control the pain associated with her injury from the fall. Dr. McLachlan provided regular reports to WorkSafeBC as they were required to maintain the plaintiff's funding for both wage benefits and rehabilitation.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All recreational pursuits came to a halt after the fall and the whole of the plaintiff's initial focus was on the programs in which she was enrolled so as to rehabilitate her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As time progressed and she was unable to return to the classroom full time she sought the approval of WorkSafeBC to enrol in a program to acquire her master's degree in education. WorkSafeBC took no issue so long as the school requirements did not interfere with medical treatments or vocational rehabilitation efforts. She acquired her master's degree, albeit she testified her completion was delayed a year by virtue of her symptoms from the accident, specifically her inability to concentrate.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Ultimately, rehabilitation efforts proved unsuccessful at restoring the plaintiff to her previous level of function. Despite two separate programs of rehabilitative treatment, the plaintiff has been unable to return to teaching full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Currently, she is works as an on-call teacher. Her physical condition precludes her from full-time employment.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Plaintiff's Involvement with WorkSafeBC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Throughout her time as a client of WorkSafeBC, the plaintiff dealt with a variety of WorkSafeBC employees involved with her file. Harry Lin was the adjuster overseeing her claim. Both he and Lynn Bickley, another WorkSafeBC claims adjuster, testified at the behest of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Mr. Lin became the handling officer in charge of the plaintiff's file early on. He spoke to the plaintiff as early as March 2006 and testified she advised him in a telephone conversation that she had no prior medical history regarding her low back, the area of significant injury, and that her previous back and neck injuries from the accident had "resolved". Mr. Lin recorded his understanding on the conversation within a few moments of the call.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His note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denies any prior injuries to her low back. She advised that she had injuries to her neck/upper back injury as a result of an MVA in 2004 but, advised that this had resolved.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The plaintiff acknowledged discussing the injuries she received in the accident but denied telling Mr. Lin they had "resolved", adding she was seeing a neurologist in respect of them. Presumably, this refers to the pre-arranged appointment with Dr. Mezei.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Mr. Lin conceded on cross-examination that WorkSafeBC was unconcerned with injuries unrelated to the fall. The focus of his oversight was the plaintiff's recovery from the injuries received in the fall. Those were reportedly to her low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WorkSafeBC records reveal an intake assessment done on April 28, 2006 by a WorkSafeBC team comprised of Heather King, a physical therapist, and Lanny Taschuk, a kinesiologist. The plaintiff apparently reported to them that her job was 8 hours per day, five days per week, requiring her to sit for forty-five minutes at a time, stand for fifteen minutes at a time, bend/stoop below waist level 10 times in forty-five minutes sustained for up to three minutes at a time, lift 10 pounds over 20 metres 8 times per day, lift twenty pounds to shoulder level 8 times per shift and push/pull desks and chairs weighing over 30 lbs 32 times, three times per shift. No apparent mention was made of any adaptation or accommodation required in respect of these requirements as a result of injuries from the accident nor were any psychosocial factors such as mood alteration or sleep interruption noted.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According to Lynn Bickley, the plaintiff told her in February 2006 that prior to the fall, she had no problems with her back and she had been playing soccer 3 times per week. The plaintiff was unable to recall the discussion with Ms. Bickley as it related to her soccer involvement but explained the remark concerning prior complaints as a misunderstanding. She was trying to relay that the pain radiating from her back was a new symptom; not that she had never previously had back problems. She says the remark concerning her soccer attendance did not convey the fact "she was not involved with practices" and only played fifteen minutes per game.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In March 2006, Eva Clegg, a nurse's assistant, spoke with the plaintiff and recorded the conversation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worker said she is a Grade 2 teacher and because she is tall, she sits, kneels and bends often with her students. </w:t>
      </w:r>
      <w:r>
        <w:rPr>
          <w:rFonts w:ascii="arial" w:eastAsia="arial" w:hAnsi="arial" w:cs="arial"/>
          <w:color w:val="000000"/>
          <w:sz w:val="20"/>
          <w:u w:val="single"/>
          <w:lang w:val="en-US" w:eastAsia="en-US" w:bidi="ar-SA"/>
        </w:rPr>
        <w:t>She said she is a very active teacher and physically acts out her teaching.</w:t>
      </w:r>
    </w:p>
    <w:p>
      <w:pPr>
        <w:spacing w:before="120" w:line="260" w:lineRule="atLeast"/>
        <w:ind w:left="288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In March 2007, while attending Progressive Rehab, the plaintiff described her duties to Mithwa Lee, an occupational therapist in the following terms: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-class preparation one hour daily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-one hour daily marking assignments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-teaching 4.5 hours per day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-supervising computer lab 40 minutes daily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-supervising playground during recess and lunch hour 15 minutes to 45 minutes if on duty (once per week)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-coaching volleyball September to November-and soccer April to June 4 times per week (three 45 minute practices and one 1.5 hour game per [week] required during soccer and volleyball games. "While refereeing a volleyball game Ms. Bozic needs to stand on a small platform with no room to pace or change position effectively, while refereeing a soccer game she needs to run across the field"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-attending staff office meeting (2hrs) once a week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-Parent teacher conferences 3 times annually-two three hour sessions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-field trips 3 times per year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-completing report cards 3 times a year-taking 20 hours to complete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Nowhere in the occupational therapist's note is there a suggestion the plaintiff was unable to do any of the described tasks from February 2004 to the time of the fall or that she had implemented accommodations as suggested in her testimony.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According to the WorkSafeBC notes, Megan De Beer, a vocational rehabilitation consultant, recorded that the plaintiff reported developing "excruciating headache" after having her head down proofreading for a period of time while attempting a return to work in December 2006. Ms. De Beer also recorded the plaintiff's report that Ms. Ranahan, her treating physiotherapist, was of the opinion that "pain is transferring to new areas of her body because of new body positions she is using".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The WorkSafeBC records are devoid of any entry suggesting the plaintiff reported that her pre-fall condition impacted her ability to perform her functions as an elementary school teacher at St. Helen's or that the symptoms she was experiencing were a continuation or aggravation of those she was experiencing from the accident. There was no suggestion to WorkSafeBC that her post-fall condition was "more of the same".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Plaintiff's Function Post-Fall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After her most acute symptoms began to abate, the plaintiff began a course of treatment sponsored by WorkSafeBC which included attendance at several rehabilitation facilities, including Progressive Rehab and Orion Health. She took over 200 physiotherapy treatments, attended numerous consultants in a variety of medical fields and was treated with opiates, epidural cortisone injections and, eventually, anti-depressants.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Immediately after the fall, the plaintiff described her low back pain as being intense, debilitating and the forefront of her concern. No treatment was administered for her symptoms related to the motor vehicle accident, nor had any been for the past 20 months other than home exercise as was prescribed by the physiotherapist Ms. Rizzo.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The plaintiff and various lay witnesses she called described the aftermath of the fall as "more of the same" despite the qualitative change in at least two respects. Firstly, the plaintiff never regained the ability to work full time following the fall and, secondly, she underwent intense treatment and took numerous prescriptive medications to control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Unlike prior to the fall, the plaintiff's medical charts, both Dr. McLachlan's and those maintained by WorkSafeBC, are filled with entries detailing complaints of headache, sleep loss, loss of concentration and mood alteration.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The plaintiff's brother married on April 29, 2006. The plaintiff testified that she was still in a great deal of pain at the wedding, but for her brother's sake, tried to put on a brave face and fulfill her role as bridesmaid and sister of the groom. However, at the wedding, she suffered such pain that eventually an ambulance was called and she was transferred to the Emergency Department of Vancouver General Hospital. There she received morphine to reduce the pain and was kept overnight and then later discharged.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The incident was reported by the plaintiff to Mr. Lin via correspondence dated May 3,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In the spring of 2007, the plaintiff attempted a return to work through a sponsored return-to-work program. She returned to St. Helen's where she reverted back to the role of teacher's assistant and worked one-on-one with small groups of children. She described her symptoms as being extremely aggravated and that she could not complete an entire day of activities even though they were modified to suit her disabilities. Her complaints including frequent headaches, low back, mid back, and shoulder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In October 2007 the plaintiff attended a pain program run through Orion Health as sponsored by WorkSafeBC. This program had as its objective an increase in the plaintiff's ability to manage ongoing pain and limitations associated with work. She attended the program daily for six weeks from 9 a.m. until 3 p.m. and after completion of the course began once again a graduated work program at St. Helen's.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According to the plaintiff she was unsuccessful in reaching the baseline created. She could not meet the basic expectations of her job. By October 2007 she was experiencing headaches, neck pain, shoulder and upper back pain, pain in her arms and hands coupled with low back pain radiating into both legs. In addition to the hand numbness and discolouration, she was experiencing the same in her feet.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A second graduated return-to-work program commenced in December 2007 and ended in February 2008 with her being unable to meet the expectations of her employer. This was despite the fact that the role she assumed was the equivalent of a teacher's assistant, not a teacher. While her physical complaints were plaguing her, the plaintiff's mood deteriorated. She and her collateral witnesses described this as "more of the same", referring presumably to her mood after the accident but before the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By the time of her second failed attempt to return to work, it was apparent to her co-workers, not just her friends, that pain behaviour was being displayed and that her mood was worsened from the period before the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In early 2008, all modalities of treatment, previously sponsored by WorkSafeBC, came to a halt and whatever treatment the plaintiff then pursued was either at her expense or covered by her existing medical coverage. ICBC did not accept any responsibility for treatment following the workplace fall and the plaintiff's special damages to the date of the trial, if caused by the motor vehicle accident, are acknowledged to be $29,000.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The plaintiff is now a substitute/supply teacher working one or two days a week within the Burnaby School District. She can only work for one or two days before her symptoms cause her to require recuperative time away from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The medical evidence suggests this is a chronic situation with no likelihood that she will return to full-time employment. None of the experts who provided opinions concerning her health differed in this assessment. The difference in opinion relates to the aetiology of the plaintiff's symptoms and the diagnoses of thoracic outlet syndrome and post-traumatic stress disorder; not their impact upon her physical and emotional health.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Presently, she is extremely limited in the activities she pursues. Since the fall, she has not engaged meaningfully in any sporting activities. Her husband now engages in athletic pursuits without her. Activities they once enjoyed together he now does alone or with friends.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A confounding factor is the inability of the plaintiff to have children. Seemingly this first became a concern shortly following marriage. Despite the plaintiff's protestations that she and Mike Kovac wished to spend time with just one another in the early years of their marriage, references to concerns of fertility begin to appear in her chart by November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They continue to attempt to have a family. The lack of success is an acknowledged contributor to the plaintiff's emotional frailty. Despite this acknowledgement by Dr. McLachlan, she wrote a letter to plaintiff's counsel in support of redaction of the references to her infertility from her clinical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The defendants do not dispute that the plaintiff is not competitively employable as a teacher and will likely never be. Nonetheless, since the fall, the plaintiff has managed to secure her master's degree. Her stated goal is to achieve a halftime position as a teacher. That may not be a realistic objective. As a teacher on call she can decline work when not feeling well enough to perform the duties associated with that occupation.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Vocational consultant Derek Nordin concluded her employment options were limited in view of her ongoing disability. Likely, teaching on call is the optimal use of her abilities and energy.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In June 2008, the plaintiff, together with her husband and brother collaborated in drafting a letter to the review division of WorkSafeBC to appeal their decision to deny further benefits. The letter is comprehensive in its description of the impact of the workplace fall upon the plaintiff's life. Each of the plaintiff, her husband and her brother asserted that when they collaborated on the drafting of the June 2008 letter they had no reason to distinguish between the injuries sustained at work and those sustained in the motor vehicle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Correspondence with WorkSafeBC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In April of 2008, following the decision of WorkSafeBC (formerly, the Workers' Compensation Board or WCB) to terminate treatment and benefits, the plaintiff wrote to Mr. Lin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writing in regards to the current status of my WCB claim. My goal is to improve my health. It appears I am being neglected by WCB since no treatment was been allowed or provided since early February 2008.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Since then my symptoms and pain have increased while my functionality has decreased. Spasms have occurred more frequently and with more intensity. Quality of sleep is worse due to pain and additional foot cramps. All activities are becoming increasingly more difficult for 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requested an extension of physiotherapy benefits from my vocational rehabilitation manager (Karen) at the beginning of March. She told me she would forward the request to you and a decision should be made shortly.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has been a month and I have yet to hear from anyone. No longer able to wait. I have begun seeing Dana Ranahan physiotherapist in hopes of relieving some of my pain. It is not my financial responsibility to pay these medical costs.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Lin, my concern is that my injury is not getting the proper amount of attention in order to improve my condition. Therefore I am requesting for a second time that physiotherapy benefits are immediately re-instated[. I] expect to hear back from you by April 11th,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Mr. Lin's response was a letter drafted April 17th, 2008, advising her claim for ongoing disability payments and medical treatments were concluded. The basis for denial was that the chronic pain in the plaintiff's low back was stable and permanent.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Ultimately a pension of approximately $58,000 was awarded to the plaintiff for a permanent partial disability based on her back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In response to the decision by WorkSafeBC to deny the plaintiff further temporary wage loss benefits and further medical treatment for her disability, the plaintiff wrote a lengthy letter to the review division on June 11, 2008. Authorship of the letter was shared between the plaintiff, her brother, and husband. In it, in regard to the cessation of her medical treatment, she noted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Many of my treating professionals have on numerous occasions said to me that there is "no crystal ball" to assist in determining if and when I may recover from my injuries or have further symptom relief. [The] twenty months of "on again off again" treatments I have been allowed, have simply (and obviously) have not been sufficient to rehabilitate my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The letter goes on to note that Mr. Lin, in his letter of denial, had not set forth a complete list of the plaintiff's ongoing limitations and symptoms which she went on to describe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limitations that I continue to experience on a constant basis: sitting for more than 30 minutes, standing for more than an hour, walking for more than 30 minutes, holding my arms in front of me and above my head, squatting, and kneeling. The muscles in my back and neck are weak. I find that all physical activities that I perform physically increases my ongoing pain and symptoms. When I tried to return to work, I suffered from severe migraines and headaches that come more frequently and more painfully causing difficulties to concentrate and think clearly. In fact, I required considerable assistance from my husband Michael and others just to prepare this brief letter. I have ongoing and marked difficulty just performing daily activities around the house and in driving. My sleep is disrupted constantly because of the intense pain that I experience on a constant basis. I require regular assistance with grocery shopping, with duties around the house and sometimes even in getting dressed and in other personal care. When I try to work on the computer, read, or perform other activities that require me to hold my head in a downward or static neck position[, this] causes an immediate increase in my ongoing pain symptoms and stiffness. I also have considerable difficulty concentrating and thinking clearly because of the constant pain I experience on a daily basis. I have to perform any such tasks such as writing this letter over days and weeks due to my limitations and the overwhelming feeling that I can't accomplish and get through such tasks. I am miserable. I am extremely reactive and irritable because of the constant pain I am in. I have significant and ongoing restrictions in my movements. Movements of bending forward and backward and twisting side to side all increase my pain.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pain is constantly present. There is never a moment that I am not in pain. I have lost the strength in my legs and arms and constantly feel weak. I feel disabled and reliant on others to help me. I am concerned that I will never feel normal again and that my current pain and limitations will never improve. I worry about whether I will be able to be as active as I once was and whether I will be able to work again without being in constant pain. I also worry about whether my husband and I will be able to get pregnant and if we can, will I be able to care for our child. Overall I am constantly tired and fatigued and my mood is very low. I have been told by my family doctor that I need psychological counselling due to my physical injuries. I am greatly restricted in my movements and what I can do.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feel it necessary to also point out that a teacher's day is much more involved and physically demanding than Mr. Lin suggests. It is normally 9 hours long. Clearly, my inability to meet goals and objectives indicates that I am not functionally capable of returning to work as a teacher, which is the unsupported conclusion of Mr. Lin.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By all medical accounts my condition is complex and difficult to treat and manage. This is supported by the chronic nature of my ongoing symptomology. However, this is no reason to deny my benefits. On the contrary, the very success of my future endeavours hinges on the decision the Board makes with regard to my healing process.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like an opportunity to continue my treatments, including physiotherapy. When my physiotherapy is interrupted, I start to rapidly deteriorate. I have increased symptoms and my functions decrease.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Nowhere in the letter of June 11, 2008, is any reference made to the presentation of any of these symptoms prior to the fall of 2006. An uninformed reader would assume the plaintiff was, in all respects, healthy and able bodied prior to the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The plaintiff refers to a letter dated February 18, 2008, from Dr. McLachlan, noting that "Ms. Kovac has not recovered and has not returned to her previous level of functioning ... her recovery is incomplete and her prognosis guarded." The letter makes no reference to any impairment arising from the accident or any diminishment of function existing at the time of the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Unlike the period between the accident and fall, the post-January 2006 medical records of Dr. McLachlan are replete with complaints, post-fall, of sleep loss, the taking of Advil to control pain and a reasonably comprehensive description of the plaintiff's complaints of back spasm, and radiation of pain into her right leg following sitting. She continued to complain periodically of arm and hand complaints similar to those which she experienced in the spring of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The decision to terminate treatment and benefits was appealed by the plaintiff. The Worker's Compensation Appeals Tribunal eventually dismissed the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The plaintiff says she was obliged to attend Dr. McLachlan more frequently so as to maintain her ongoing benefits with WorkSafeBC thus accounting for the marked divergence from her previous stoicism.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In April 2008 she re-attended upon a locum filling in for Dr. McLachlan and complained of ongoing severe back spasms in her lower back and upper back symptoms which caused limited range of motion. She was still experiencing numbness and tingling in her right foot, foot cramps plus constant neck pain. By November 2008 the plaintiff reported to another locum that she "now has a sensation that everything aches" and others have told her that she seems a bit "glazed".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Medical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McLachlan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During the interregnum between the accident and the fall, the plaintiff received treatment from Dr. McLachlan, the locums who oversaw her practice during her maternity leave in 2005 and two physiotherapists: one from the North Burnaby Physiotherapy Clinic and Stephanie Rizzo of the Eight Rinks Physiotherapy Clinic. In total, the plaintiff received eight physiotherapy treatments during the spring of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Only Dr. McLachlan and the two physiotherapists, neither of whom testified, had the advantage of seeing the plaintiff prior to the occurrence of the fall. All of the other specialists whose opinions I am asked to rely on saw the plaintiff after the cumulative effect of the accident and the fall were in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Dr. McLachlan was on maternity leave from approximately the end of 2004 until the end of 2005. During her absence, the plaintiff attended her office on three occasions and was seen on each occasion by a locum. The first she saw was Dr. Yao and on the next two occasions she attended upon Dr. Levis.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Dr. McLachlan's assessment of the plaintiff's condition, post-accident and pre-fall, is confined to the six occasions she saw the plaintiff from February to November 2004. Two of those occasions, July 13, 2004, and November 30, 2004, were unrelated to the accident or its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Dr. McLachlan conceded to having approximately 2,000 patients and acknowledged her note taking was less than ideal. She met with the plaintiff at some time prior to the trial and they discussed the plaintiff's post-accident symptomology.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Nowhere in Dr. McLachlan's pre-fall clinical chart entries is there a record of headaches, sleep disruption, mood alteration, depressive behavior or anxiety related to driving. Apart from the reference to the word "head" in the original appointment, there was no further reference in the clinical notes of Dr. McLachlan, or those of her locums, to a description of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In cross-examination, she agreed that the plaintiff's depressive symptoms were not noted anywhere in her pre-fall chart but that in her medical report dated July 28, 2009, she attributed the depression solely to the accident; not the fall or the plaintiff's infertility. Dr. McLachlan agreed she "overstated" the accident's contribution to the plaintiff's depression and conceded the involvement of both the fall and the plaintiff's infertility.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With this backdrop in mind, Dr. McLachlan provided the Court with three separate medical opinions dated February 18, 2008, July 28, 2009, and December 14, 2010, respectively. The reports collectively attribute many of the plaintiff's symptoms as originating from the accident, and not the workplace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Despite being in possession of the opinions of Dr. Mezei, who was at least equivocal as to the origins of the plaintiff's symptoms, and Drs. Clark and Doyle, both of whom rejected the diagnosis of thoracic outlet syndrome, Dr. McLachlan made no mention of the conflicting opinions. I note that Dr. McLachlan made the referral to Dr. Clark.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Prior to the preparation of these reports, Dr. McLachlan prepared a CL-19 medical report for ICBC in June 2004, which reported no diminishment in flexion, normal extension, and tender paraspinal muscles in the plaintiff. Under the heading "Current Physical Findings and Investigation", Dr. McLachlan reported range of motion had improved but there was still ongoing stiffness. Overall, the plaintiff was described as "80% better".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Dr. McLachlan resiled from that opinion under questioning from plaintiff's counsel saying that she did not examine the plaintiff in response to the request from ICBC for updated physical information and that she had not reviewed the clinical records of Eight Rinks nor had she done any physical examination of the plaintiff since May of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In a series of reports prepared for WorkSafeBC, Dr. McLachlan repeatedly advised that the plaintiff's earlier motor vehicle accident symptoms were non-contributory to her ongoing disability from the fall and formed no impediment to the plaintiff's anticipated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In April 2006, in one of the first reports prepared by Dr. McLachlan to WorkSafeBC, under the heading "Prior/Other Problems Affecting Injury, Recovery or Disability", Dr. McLachlan wrote, "MVA - neck pain - recovered from that injury about 90% at time of this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In response to questions from counsel for the defendant, Dr. McLachlan acknowledged she repeatedly advised WorkSafeBC that the plaintiff had no relevant existing conditions relating to her WorkSafeBC injury. As late as May 2008, Dr. McLachlan was reporting to WorkSafeBC that the plaintiff's disability was as a result of low mid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Dr. McLachlan conceded in cross-examination that substantial portions of her report were reliant upon the plaintiff's memory and not her own chart. She conceded that the reference to her recollection of the plaintiff's mental state, raised for the first time in the report of December 14, 2010, was a combination of both the plaintiff's memory and 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Dr. McLachlan agreed with counsel for the defendant's suggestion that as far as she knew there was no time lost by the plaintiff from work and ultimately agreed that the workplace fall had a catastrophic effect on the plaintiff's life.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Other Medical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With the exception of Dr. McLachlan, none of the experts who filed reports opining as to the plaintiff's medical condition and its origins had the advantage of seeing the plaintiff prior to the workplace fall in 2006. Each was only able to assess the plaintiff in the aftermath of both events and assess the combined effects of both the accident and the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In assessing the aetiology of the plaintiff's disability, each of the experts was reliant, in large measure, upon the history given by the plaintiff and the records available to them so as to try to assess her situation both pre-accident and, later, pre-fall.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With the exception of the diagnoses of thoracic outlet syndrome and post-traumatic stress disorder, there was little disagreement between the experts as to the plaintiff's medical condition. The totality of the medical evidence is that the plaintiff is and will be permanently partially disabled. Her recovery is at a plateau. She can work as a substitute teacher several days a week but is unlikely to ever do more.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Stanley Jung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Dr. Stanley Jung is a chiropractic consultant specializing in rehabilitation. Predominantly he works with chronic pain patients involved in motor vehicle collisions.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He saw the plaintiff in September 2007. One of his assumptions was that her report to him as to her symptomology following the accident "was accurate".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In addition to his meeting with the plaintiff, he examined the plaintiff on September 26, 2007, and reviewed various clinical records and medical reports including the clinical records of Dr. McLachlan predating the accident to March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Dr. Jung opined that on the basis of the history given him, his physical examination of the plaintiff and his review of the records he was of the opinion that her injuries were consistent with resulting from the accident and further exacerbated in the low back from the workplace injury. Based upon the history given by Mrs. Kovac and his physical examination he was of the view that the plaintiff suffered the following injuries in the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soft tissue/musculoligamentous injury to the neck, mid-back and low back;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disc herniations at L4-5 and L5-S1;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annular tears at the L4-L5 disc;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facet joint injuries in the cervical, thoracic and lumbrosacral spine;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costal vertebral joint injury in the thoracic spine;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cervicogenic headache;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hand and arm symptoms suggestive of Reynaud's phenomenon, reactive vasospasm and/or thoracic syndrome; and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chronic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He observed a number of postural irregularities during his examination of the plaintiff. He described her left upper torso as rotated forward. Her left shoulder was higher and she held her head far more interiorly than the ideal posture.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He further opined that while soft tissue injuries generally resolve in a matter of months, the fact that he detected hypertonicity and tenderness to palpation 3 1/2 years post-accident indicated to him that the injuries were more serious than "just a soft tissue injury". He also detected significant weakness in the plaintiff's neck and low back muscles.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As to the annular tears at L4-5, made apparent by radiographs done post-fall, Dr. Jung was of the opinion, despite the absence of symptoms into the plaintiff's legs prior to the fall, that the annular tears were suffered in the accident. As a result he was of the view that when she fell off the chair during the workplace fall, her low back was already compromised from the accident and thus likely resulted in the disc herniations. In arriving at this opinion, he expressed no knowledge of the plaintiff's pre-accident history of low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On the issue of causation, Dr. Jung was of the opinion that the plaintiff's current conditions are a direct result of the injuries she suffered in the motor vehicle accident. In his view the workplace fall merely exacerbated her low back pain. Like the plaintiff's family and friends, he thinks it was "more of the same".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Rhonda Shuckett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Dr. Rhonda Shuckett is a rheumatologist. She saw the plaintiff on one occasion in January of 2008. Arising from that attendance, Dr. Shuckett provided three reports detailing her opinion as to the injuries of the plaintiff and their origin.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She, like the other doctors assessing the plaintiff, took a detailed history from the plaintiff when she attended in 2008. The salient features of that history are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is unsure of the damage to her vehicle which was repaired.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Her main symptoms after the MVA included headaches, stiffness in the neck and shoulder areas, sharp pains at the base of the neck, particularly on the right side with a constant pressure feeling in the neck area. She had sharp pain in the trapezii and pain in the thoracic spine radiating along the lower costal border. She also had low back pain.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had a number of symptoms initiated with the MVA of February 10, 2004. She was continuing to have these symptoms when, on January 16, 2006, she was standing on a cabinet putting students' work up. Her arms were raised up and she fell backwards, hitting the leg of a chair just underneath the cabinet. Her lower back hit the leg of the chair. She is unsure of how she landed but just recalls falling backwards. She said that she hit her low back against the ground. She did not notice any bruising.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symptoms that were already established from the MVA got worse after the slip and fall. When she fell, she got worse pain in her legs. The pain seemed to go into her legs and feet after she fell.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said that when she fell, it increased her ongoing symptoms from the February 10, 2004 MVA. Her neck pain and headaches got worse and the tightness in the thoracic spine got so bad it was hard to breathe.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feels that her main injury was initiated by the MVA, but feels that when she fell while putting up the students' work, her symptoms and pain level really increased. The pain became heightened.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After the subject MVA of February 10, 2004, she developed pain all over her body quite diffusely. After she fell, she got superimposed leg symptoms and increased low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Upon presentation to Dr. Shuckett, the plaintiff presented with a myriad of symptoms including headaches, neck pain, shoulder girdle symptoms, hand numbness, upper and mid-back pain, low back pain, "pain all over", sleep interruption and mood alteration.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The patient demonstrated 13 of 18 painful fibromyalgia symptoms, filling the criteria for fibromyalgia syndrome.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She reported tingling in the right ring and pinky fingers. Testing for non-organic pain signs revealed only 1 of 8 positive responses, this for axial loading of the neck. Dr. Shuckett opined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appears that her symptoms began following the MVA only to become exacerbated with the slip and fall. It sounds like with the slip and fall she developed more in the way of low back and leg pain.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After the subject MVA, she forced herself to keep working as it was very hard for her to get a full time job in teaching. However, she was struggling with her symptoms but then when she fell off the cabinet, it obviated her work entirely. She is currently attending a back to work program and is gradually trying to return to her post as a school teacher.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Based upon a combination of the history given and physical examination, Dr. Shuckett diagnosed the plaintiff with a whiplash injury of the neck (particularly of the right side), cervicogenic headaches, shoulder girdle pain with bilateral thoracic outlet syndrome, mechanical low back pain with sacroiliac ligament dysfunction and fibromyalgia syndrome.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Dr. Shuckett felt the motor vehicle accident caused the problems, which were then exacerbated by the workplace fall. She noted that aside from fibromyalgia syndrome, all symptoms are in keeping with injury from the motor vehicle accident of February 10, 2004, as well as from the time she fell on January 16,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Dr. Shuckett opined, "The fibromyalgia, I believe is a sequalae of these injuries in that I believe she developed deconditioning, multiple regions of musculoskeletal pain, sleep disorder and a cycle of fibromyalgia syndrome."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When assessed a second time on October 12, 2010, Dr. Shuckett provided an updated opinion relating to her diagnosis, prognosis and the issue of causation. In terms on an update on the plaintiff's symptoms, by 2010 she had headaches with severity of varying degrees, often reaching 8 out of 10. She would complain of a constant lower grade pressure and sharpness in her head. The headaches are not improving; indeed they are getting worse. Neck pain ranges from 5 to 8 out of 10 and is always present. She experienced upper and mid-back pain constant in severity and ranges in severity similar to that of her neck pain. She continued to complain of pain all over her body.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By 2010, the plaintiff was taking Ciprelex for depression. Dr. Shuckett noted, "She does not feel she had any depression before her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Her sleep is poor and she is constantly up from pain. She experiences cramping in her foot or gets into an uncomfortable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xml:space="preserve">  Since her previous visit to Dr. Shuckett, she had tried </w:t>
      </w:r>
      <w:r>
        <w:rPr>
          <w:rFonts w:ascii="arial" w:eastAsia="arial" w:hAnsi="arial" w:cs="arial"/>
          <w:i/>
          <w:color w:val="000000"/>
          <w:sz w:val="20"/>
          <w:lang w:val="en-US" w:eastAsia="en-US" w:bidi="ar-SA"/>
        </w:rPr>
        <w:t>in vitro</w:t>
      </w:r>
      <w:r>
        <w:rPr>
          <w:rFonts w:ascii="arial" w:eastAsia="arial" w:hAnsi="arial" w:cs="arial"/>
          <w:color w:val="000000"/>
          <w:sz w:val="20"/>
          <w:lang w:val="en-US" w:eastAsia="en-US" w:bidi="ar-SA"/>
        </w:rPr>
        <w:t xml:space="preserve"> fertilization on three occasions without success. Although admitting it was challenging she denied any depression associated with her lack of ability to conceive children. Her worst pain is her neck and headache pain and she described them as a huge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Dr. Shuckett confirmed her view that the motor vehicle accident was causally responsible for the majority of the plaintiff's symptoms and that the slip and fall appeared only to exacerbate her symptoms but likely plays a significant role in the ongoing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On re-examination the plaintiff again exhibited 13 of 18 painful fibromyalgia tender points thus qualifying for a diagnosis of fibromyalgia. Dr. Shuckett went on to note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Causation of fibromyalgia after an injury such as an MVA is a controversial topic. There is literature supporting and literature detracting from the concept of fibromyalgia post trauma. Some patients seem to get into a vicious cycle of chronic pain, deconditioning, sleep disorder and mood disorder which culminate in a diffused generalized musculoskeletal pain filling the criteria for fibromyalgia syndrome.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suspect she has gotten into this cycle. The degree to which psychosocial issues that emanate from the MVA and which psychosocial issues that do not emanate from the MVA are involved in her presentation or something that the psychiatrists who have seen her are better qualified to discern.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Dr. Shuckett's opinion was that her prognosis, now six years post-accident, must be guarded. She confirmed the opinions of others that the plaintiff could work perhaps two days in a row and felt there might be avoidance of activity based on fear of exacerbation of pain.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Alister Prout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Dr. Prout is a neurologist. The plaintiff was examined by him so as to "provide an opinion with respect to injuries sustained by Ms. Louisa Kovac at the time of a motor vehicle accident on February 10,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Dr. Prout, like all other medical examiners, took a history from the plaintiff when she attended April 15, 2008, at his office. He also reviewed documents provided by Mrs. Kovac's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He notes she reported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states that she "worked through" the pain problems and other issues she experienced after the motor vehicle accident. She describes having primary issues relating to headaches as well as stiffness and tightness in the upper neck, mid-neck, shoulders, interscapular regions and symptoms into the upper arms. The symptoms followed the motor vehicle accident and were persisted to varying degrees. The symptoms increased after a subsequent work related fall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She reported the symptoms she had following the motor vehicle accident (primarily neck pain, upper back pain and headaches) continued throughout 2004 and 2005 but had not really worsened. She had good and bad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238</w:t>
      </w:r>
      <w:r>
        <w:rPr>
          <w:rFonts w:ascii="arial" w:eastAsia="arial" w:hAnsi="arial" w:cs="arial"/>
          <w:color w:val="000000"/>
          <w:sz w:val="20"/>
          <w:lang w:val="en-US" w:eastAsia="en-US" w:bidi="ar-SA"/>
        </w:rPr>
        <w:t>  They were limiting primarily in respect of her recreational activities including soccer and volleyball as well as sensory complaints regarding cramping in her hands with elevation of her arm. Her headaches increased with more activity.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239</w:t>
      </w:r>
      <w:r>
        <w:rPr>
          <w:rFonts w:ascii="arial" w:eastAsia="arial" w:hAnsi="arial" w:cs="arial"/>
          <w:color w:val="000000"/>
          <w:sz w:val="20"/>
          <w:lang w:val="en-US" w:eastAsia="en-US" w:bidi="ar-SA"/>
        </w:rPr>
        <w:t>  She reported headaches three times weekly beginning with the upper neck and posterior of her head and then radiating into the area behind her eyes. They had features of migraine headaches including light sensitivity but no nausea or vomiting. They would last several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240</w:t>
      </w:r>
      <w:r>
        <w:rPr>
          <w:rFonts w:ascii="arial" w:eastAsia="arial" w:hAnsi="arial" w:cs="arial"/>
          <w:color w:val="000000"/>
          <w:sz w:val="20"/>
          <w:lang w:val="en-US" w:eastAsia="en-US" w:bidi="ar-SA"/>
        </w:rPr>
        <w:t>  As to the January 16, 2006 fall she reported to Dr. Prout that "she felt dizzy or light headed and fell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241</w:t>
      </w:r>
      <w:r>
        <w:rPr>
          <w:rFonts w:ascii="arial" w:eastAsia="arial" w:hAnsi="arial" w:cs="arial"/>
          <w:color w:val="000000"/>
          <w:sz w:val="20"/>
          <w:lang w:val="en-US" w:eastAsia="en-US" w:bidi="ar-SA"/>
        </w:rPr>
        <w:t>  In the opinion of Dr. Prout the plaintiff displays positive clinical signs of thoracic outlet syndrome and her symptoms are typical of the diagnosis. Thoracic outlet syndrome generally refers to a series of symptoms consisting of variable degrees of pain, numbness and circulatory changes referred into the upper extremities in association with muscular dysfunction in the region of the thoracic outlet (the area between the neck and shoulder through which the fibres of the brachial plexus and the vessels to the arm run). The symptoms were documented in the early post-accident records of Dr. McLachlan and persisted to the date of Dr. Prout's assessment. Electrodiagnostic testing gave a result of normal but this, according to Dr. Prout, is generally used to rule out nerve entrapment, such as carpal tunnel syndrome or ulnar nerve entrapment.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242</w:t>
      </w:r>
      <w:r>
        <w:rPr>
          <w:rFonts w:ascii="arial" w:eastAsia="arial" w:hAnsi="arial" w:cs="arial"/>
          <w:color w:val="000000"/>
          <w:sz w:val="20"/>
          <w:lang w:val="en-US" w:eastAsia="en-US" w:bidi="ar-SA"/>
        </w:rPr>
        <w:t>  Dr. Prout went on to note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Although the headaches, in my clinical opinion secondary to myofascial dysfunction in the neck, are not well documented in the post-MVA records through 2004 Ms. Kovac gives a history consistent with headaches developing following that accident and in my opinion she did develop a headache disorder as a result of the soft tissue injury to the neck. The headache problems did not however appear to be a significant disability for Ms. Kovac in comparison with the upper back, neck and arm symptoms that she experienced following the February 10, 2004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243</w:t>
      </w:r>
      <w:r>
        <w:rPr>
          <w:rFonts w:ascii="arial" w:eastAsia="arial" w:hAnsi="arial" w:cs="arial"/>
          <w:color w:val="000000"/>
          <w:sz w:val="20"/>
          <w:lang w:val="en-US" w:eastAsia="en-US" w:bidi="ar-SA"/>
        </w:rPr>
        <w:t>  That opinion, in my view, is wholly reliant upon the accuracy of the plaintiff's recitation.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244</w:t>
      </w:r>
      <w:r>
        <w:rPr>
          <w:rFonts w:ascii="arial" w:eastAsia="arial" w:hAnsi="arial" w:cs="arial"/>
          <w:color w:val="000000"/>
          <w:sz w:val="20"/>
          <w:lang w:val="en-US" w:eastAsia="en-US" w:bidi="ar-SA"/>
        </w:rPr>
        <w:t>  He concludes with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the upper back and neck symptoms as well as the problems with cervicogenic headaches that all increased in 2006, although worsened by the effects of the work related fall in 2006, were caused primarily by the accident of February 10, 2004. In my opinion the accident of February 10, 2004 has materially contributed to the subsequent effects of the work related fall of January 16, 2006 ... In my opinion the subsequent multifocal myofascial pain syndrome referred to by Dr. Shuckett, rheumatologist in her report of January 21, 2008, as fibromyalgia syndrome was caused primarily by the effects of the work-related fall of January 16, 2006 but Ms. [Kovac] was likely rendered susceptible to the development of such multifocal myofascial pain syndrome in part due to the lingering effects of the soft tissue injuries sustained in the earlier motor vehicle accident of February 10, 2004.</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Anthony Salvian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245</w:t>
      </w:r>
      <w:r>
        <w:rPr>
          <w:rFonts w:ascii="arial" w:eastAsia="arial" w:hAnsi="arial" w:cs="arial"/>
          <w:color w:val="000000"/>
          <w:sz w:val="20"/>
          <w:lang w:val="en-US" w:eastAsia="en-US" w:bidi="ar-SA"/>
        </w:rPr>
        <w:t>  Dr. Anthony Salvian is a vascular surgeon. He saw Mrs. Kovac in May 2009, took a history and conducted a physical examination. He had available to him the clinical records of Dr. McLachlan during the relevant periods of time, her reports and the reports of various other doctors to whom I have referred or will refer in the body of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246</w:t>
      </w:r>
      <w:r>
        <w:rPr>
          <w:rFonts w:ascii="arial" w:eastAsia="arial" w:hAnsi="arial" w:cs="arial"/>
          <w:color w:val="000000"/>
          <w:sz w:val="20"/>
          <w:lang w:val="en-US" w:eastAsia="en-US" w:bidi="ar-SA"/>
        </w:rPr>
        <w:t>  He reported he had the "WCB records of February 9, 2002 to January 2008" but seemingly did not have the WorkSafeBC application to which I have earlier referred to wherein the plaintiff described, at least to her mother, the mechanics of her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247</w:t>
      </w:r>
      <w:r>
        <w:rPr>
          <w:rFonts w:ascii="arial" w:eastAsia="arial" w:hAnsi="arial" w:cs="arial"/>
          <w:color w:val="000000"/>
          <w:sz w:val="20"/>
          <w:lang w:val="en-US" w:eastAsia="en-US" w:bidi="ar-SA"/>
        </w:rPr>
        <w:t>  The purpose of Dr. Salvian's assessment was to assess the plaintiff's symptoms in respect of neck pain, pain in the upper back and posterior shoulders, and numbness and tingling into the third, fourth and fifth fingers of both hands associated with discolouration of whiteness and redness.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248</w:t>
      </w:r>
      <w:r>
        <w:rPr>
          <w:rFonts w:ascii="arial" w:eastAsia="arial" w:hAnsi="arial" w:cs="arial"/>
          <w:color w:val="000000"/>
          <w:sz w:val="20"/>
          <w:lang w:val="en-US" w:eastAsia="en-US" w:bidi="ar-SA"/>
        </w:rPr>
        <w:t>  The plaintiff's presenting complaints were that of knife-like neck pain on both sides of the neck radiating to the back of the head, leading to headache. She also described a sharp pain radiating to the posterior upper arm on both sides present all of the time. This was accompanied by tingling and numbness of the third, fourth and fifth finger of the right, more so than the left hand. The latter symptoms come and go and are brought about by any overhead activity or extending the arms "out front". They also occur at night and often wake her from sleep with pain in her hands. She also has pain radiating from the palm of her hands. This tends to first occur and then is followed by numbness and tingling. Mrs. Kovac reported that "she feels that all of these symptoms are caused by a motor vehicle accident of February 10,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249</w:t>
      </w:r>
      <w:r>
        <w:rPr>
          <w:rFonts w:ascii="arial" w:eastAsia="arial" w:hAnsi="arial" w:cs="arial"/>
          <w:color w:val="000000"/>
          <w:sz w:val="20"/>
          <w:lang w:val="en-US" w:eastAsia="en-US" w:bidi="ar-SA"/>
        </w:rPr>
        <w:t>  She reported to Dr. Salvian that she had been involved in a motor vehicle accident in 1998 and had some neck pain and saw a physiotherapist "a few times". Since the accident in 2004, she reported to him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she could not do any activity for a while. In April of 2004 she tried to play soccer but noted that after 15 minutes she would get numbness and tingling into her hands. She had to have an assistant throw the balls when teaching volleyball. She avoided all other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250</w:t>
      </w:r>
      <w:r>
        <w:rPr>
          <w:rFonts w:ascii="arial" w:eastAsia="arial" w:hAnsi="arial" w:cs="arial"/>
          <w:color w:val="000000"/>
          <w:sz w:val="20"/>
          <w:lang w:val="en-US" w:eastAsia="en-US" w:bidi="ar-SA"/>
        </w:rPr>
        <w:t>  She reported seeing her GP following the accident where she reported she was "given anti-inflammatories and prescribed physiotherapy". She reportedly told him that "she had to take a lot of painkillers" and found that after work "she was either flat out on her back or going to physiotherapy". She went to physiotherapy for about six months and then did a home program. This did not help much.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251</w:t>
      </w:r>
      <w:r>
        <w:rPr>
          <w:rFonts w:ascii="arial" w:eastAsia="arial" w:hAnsi="arial" w:cs="arial"/>
          <w:color w:val="000000"/>
          <w:sz w:val="20"/>
          <w:lang w:val="en-US" w:eastAsia="en-US" w:bidi="ar-SA"/>
        </w:rPr>
        <w:t>  She reported working steadily except for occasional "sick days" for arm and neck symptoms until January 2006. She could not coach or play soccer as long and she avoided other sports. She said her sleeping was poor and she was taking medication to sleep. The fall at work occurred in January 2006 whilst she was standing upon a 5 foot high counter. She fell backwards onto an upturned chair. This caused a C4-5 disc herniation and annular tear. It also made her headache, neck and arm symptoms "much worse". She reported that she had not been getting better prior to the fall and had noted this to her doctor in December 2005 and obtained a referral to a neurologist.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252</w:t>
      </w:r>
      <w:r>
        <w:rPr>
          <w:rFonts w:ascii="arial" w:eastAsia="arial" w:hAnsi="arial" w:cs="arial"/>
          <w:color w:val="000000"/>
          <w:sz w:val="20"/>
          <w:lang w:val="en-US" w:eastAsia="en-US" w:bidi="ar-SA"/>
        </w:rPr>
        <w:t>  Under the heading "Present Symptoms and Effects on Activities of Daily Living", she told Dr. Salvian that she had made no improvement beyond the initial recovery. Specifically in January 2006 she could barely walk, whereas now she can walk short distances and do a few stairs. Her neck and arm symptoms are worse than they were before the fall of January 2006. She complains of poor sleeping, waking frequently with pain in her neck and hands together with low back pain. She takes anti-inflammatories and has tried other medications but sleeps only four hours per night. She cannot work because of her arm numbness and tingling. Looking down causes her severe headache and neck pain. She also complains of "severe low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253</w:t>
      </w:r>
      <w:r>
        <w:rPr>
          <w:rFonts w:ascii="arial" w:eastAsia="arial" w:hAnsi="arial" w:cs="arial"/>
          <w:color w:val="000000"/>
          <w:sz w:val="20"/>
          <w:lang w:val="en-US" w:eastAsia="en-US" w:bidi="ar-SA"/>
        </w:rPr>
        <w:t>  At the time of her assessment, she had a contract to work full days on Mondays and Wednesdays but could only do it for two weeks because it caused a significant exacerbation of her symptoms. For recreation she tries to do Pilates and takes light walks.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254</w:t>
      </w:r>
      <w:r>
        <w:rPr>
          <w:rFonts w:ascii="arial" w:eastAsia="arial" w:hAnsi="arial" w:cs="arial"/>
          <w:color w:val="000000"/>
          <w:sz w:val="20"/>
          <w:lang w:val="en-US" w:eastAsia="en-US" w:bidi="ar-SA"/>
        </w:rPr>
        <w:t>  The plaintiff tested positive for thoracic outlet syndrome. Straight arm elevation caused symptoms within thirty seconds, more particularly in the right side of her neck and shoulder. The "hold up maneuver" (arms outspread and raised) results in rapid pain onset in the right side of the neck, more so than the left with numbness and tingling in the right fourth and fifth fingers. The EAST maneuver (frequent flexing of the hand) exacerbated the numbness and tingling with increased pain in both sides of the neck.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255</w:t>
      </w:r>
      <w:r>
        <w:rPr>
          <w:rFonts w:ascii="arial" w:eastAsia="arial" w:hAnsi="arial" w:cs="arial"/>
          <w:color w:val="000000"/>
          <w:sz w:val="20"/>
          <w:lang w:val="en-US" w:eastAsia="en-US" w:bidi="ar-SA"/>
        </w:rPr>
        <w:t>  Of importance to Dr. Salvian was that by as early as April 2004, the plaintiff was reporting to her physiotherapist that she was starting to feel pins and needles in the ulnar three digits of her hand.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256</w:t>
      </w:r>
      <w:r>
        <w:rPr>
          <w:rFonts w:ascii="arial" w:eastAsia="arial" w:hAnsi="arial" w:cs="arial"/>
          <w:color w:val="000000"/>
          <w:sz w:val="20"/>
          <w:lang w:val="en-US" w:eastAsia="en-US" w:bidi="ar-SA"/>
        </w:rPr>
        <w:t>  Dr. Salvian noted that the onset of neck pain and stiffness was within days of the motor vehicle accident and over the next two to three months she began to describe numbness and tingling radiating into her fingers, which worsened with elevation of her arms. He noted she worked full time as a teacher until the workplace fall although she continued to complain of numbness and tingling pain radiating down the arms. Following the workplace fall in 2006 her back injury and back pain were severe, preventing her from doing any work until November 2006, at which time she attempted a limited return to work for one to two hours once or twice per week. During that period of time her therapy was focused on her low back and she was restricted in her activities. By June of 2006 the plaintiff's back symptoms had become "very significant", the arm symptoms having become much less significant, most probably, in the opinion of Dr. Salvian, because she was not working and using the arms for any significant activity and her severe lower back and leg symptoms overshadowed her arm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257</w:t>
      </w:r>
      <w:r>
        <w:rPr>
          <w:rFonts w:ascii="arial" w:eastAsia="arial" w:hAnsi="arial" w:cs="arial"/>
          <w:color w:val="000000"/>
          <w:sz w:val="20"/>
          <w:lang w:val="en-US" w:eastAsia="en-US" w:bidi="ar-SA"/>
        </w:rPr>
        <w:t>  In his opinion, her symptoms as they relate to her arms, fingers and hands are a result of post-traumatic thoracic outlet syndrome or soft tissue irritation of the nerves of the brachial plexus.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258</w:t>
      </w:r>
      <w:r>
        <w:rPr>
          <w:rFonts w:ascii="arial" w:eastAsia="arial" w:hAnsi="arial" w:cs="arial"/>
          <w:color w:val="000000"/>
          <w:sz w:val="20"/>
          <w:lang w:val="en-US" w:eastAsia="en-US" w:bidi="ar-SA"/>
        </w:rPr>
        <w:t>  As to the causation of the thoracic outlet syndrome, Dr. Salvian opined that the relationship between a flexion extension injury of the type suffered by the plaintiff in the accident and the onset of post-traumatic or "myogenic" thoracic outlet syndrome is well established and, in his opinion, explains the origin of the ongoing symptoms experienced by the plaintiff in relation to her hands and arms. The only time she didn't complain of the symptoms was while she was significantly incapacitated by her low back injury and, when she tried to become more productive, the symptoms became more severe.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259</w:t>
      </w:r>
      <w:r>
        <w:rPr>
          <w:rFonts w:ascii="arial" w:eastAsia="arial" w:hAnsi="arial" w:cs="arial"/>
          <w:color w:val="000000"/>
          <w:sz w:val="20"/>
          <w:lang w:val="en-US" w:eastAsia="en-US" w:bidi="ar-SA"/>
        </w:rPr>
        <w:t>  He concluded by stating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my opinion that this will be a continued serious problem for her and that if she is unable to make the job and lifestyle modifications suggested (i.e. avoid overhead use or repetitive activities or prolonged heavy lifting with the arms and at home she would need help with her vacuuming, washing the tub, heavy gardening, painting and window washing) then her symptoms will become worse and she will not be able to do these activities and a chronic pain syndrome with its general poor outcome is likely.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260</w:t>
      </w:r>
      <w:r>
        <w:rPr>
          <w:rFonts w:ascii="arial" w:eastAsia="arial" w:hAnsi="arial" w:cs="arial"/>
          <w:color w:val="000000"/>
          <w:sz w:val="20"/>
          <w:lang w:val="en-US" w:eastAsia="en-US" w:bidi="ar-SA"/>
        </w:rPr>
        <w:t>  In a subsequent medical report dated December 9, 2009, Dr. Salvian considered what role, if any, the diagnosed TOS played in the 2006 fall: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question then is why this previously physically fit and active athlete would fall off a table.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have to say that dizziness associated with elevation of the arms is a relatively common symptom of patients with post traumatic thoracic outlet syndrome. This may be related to sympathetic compression or traction on the vertebral arteries (the arteries to the back of the brain) when there is compression of the subclavian artery with the arms in that position. Furthermore, the abrupt onset of the numbness, tingling and paresthesias and discomfort in the arms may lead to a "vagal" reaction with a drop in blood pressure akin to simple fainting as a response to either pain or anxiety.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I say, </w:t>
      </w:r>
      <w:r>
        <w:rPr>
          <w:rFonts w:ascii="arial" w:eastAsia="arial" w:hAnsi="arial" w:cs="arial"/>
          <w:color w:val="000000"/>
          <w:sz w:val="20"/>
          <w:u w:val="single"/>
          <w:lang w:val="en-US" w:eastAsia="en-US" w:bidi="ar-SA"/>
        </w:rPr>
        <w:t>in my personal experience, it is not an uncommon complaint to have some degree of dizziness with bilateral arm elevation in patients presenting with post traumatic thoracic outlet syndrome</w:t>
      </w:r>
      <w:r>
        <w:rPr>
          <w:rFonts w:ascii="arial" w:eastAsia="arial" w:hAnsi="arial" w:cs="arial"/>
          <w:color w:val="000000"/>
          <w:sz w:val="20"/>
          <w:lang w:val="en-US" w:eastAsia="en-US" w:bidi="ar-SA"/>
        </w:rPr>
        <w:t>.</w:t>
      </w:r>
    </w:p>
    <w:p>
      <w:pPr>
        <w:spacing w:before="120" w:line="260" w:lineRule="atLeast"/>
        <w:ind w:left="288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261</w:t>
      </w:r>
      <w:r>
        <w:rPr>
          <w:rFonts w:ascii="arial" w:eastAsia="arial" w:hAnsi="arial" w:cs="arial"/>
          <w:color w:val="000000"/>
          <w:sz w:val="20"/>
          <w:lang w:val="en-US" w:eastAsia="en-US" w:bidi="ar-SA"/>
        </w:rPr>
        <w:t>  It appears the role of TOS in the 2006 fall was not considered by him until late 2009.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Holly Stepaniuk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262</w:t>
      </w:r>
      <w:r>
        <w:rPr>
          <w:rFonts w:ascii="arial" w:eastAsia="arial" w:hAnsi="arial" w:cs="arial"/>
          <w:color w:val="000000"/>
          <w:sz w:val="20"/>
          <w:lang w:val="en-US" w:eastAsia="en-US" w:bidi="ar-SA"/>
        </w:rPr>
        <w:t>  In respect of her complaints of depression, Mrs. Kovac began seeing the psychologist Dr. Holly Stepaniuk in October of 2008. In their early discussions, the plaintiff reported "chronic pain" in her back and head and told Dr. Stepaniuk she had a lot of "referred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263</w:t>
      </w:r>
      <w:r>
        <w:rPr>
          <w:rFonts w:ascii="arial" w:eastAsia="arial" w:hAnsi="arial" w:cs="arial"/>
          <w:color w:val="000000"/>
          <w:sz w:val="20"/>
          <w:lang w:val="en-US" w:eastAsia="en-US" w:bidi="ar-SA"/>
        </w:rPr>
        <w:t>  During the initial testing in October 2008 the plaintiff was presented with a symptom checklist for PTSD wherein she endorsed vivid memories of the accident, a sense of reliving the accident, and panic attacks. The plaintiff reported to Dr. Stepaniuk that she was always "looking in the rear view mirror" and reported that in February 2008 she had been "followed by ICBC". She reported it was scary because the man (presumably the ICBC investigator) was driving erratically.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264</w:t>
      </w:r>
      <w:r>
        <w:rPr>
          <w:rFonts w:ascii="arial" w:eastAsia="arial" w:hAnsi="arial" w:cs="arial"/>
          <w:color w:val="000000"/>
          <w:sz w:val="20"/>
          <w:lang w:val="en-US" w:eastAsia="en-US" w:bidi="ar-SA"/>
        </w:rPr>
        <w:t>  She reported "the guy following me is even more in the forefront than the car accident or the fall. I've become more of an anxious driver. Now I'm afraid I'm going to get hit from behind". She reported a sense that "someone is following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265</w:t>
      </w:r>
      <w:r>
        <w:rPr>
          <w:rFonts w:ascii="arial" w:eastAsia="arial" w:hAnsi="arial" w:cs="arial"/>
          <w:color w:val="000000"/>
          <w:sz w:val="20"/>
          <w:lang w:val="en-US" w:eastAsia="en-US" w:bidi="ar-SA"/>
        </w:rPr>
        <w:t>  She agreed to difficulties with falling asleep, waking during the night, irritability, difficulty concentrating, tension and anxiety, restlessness and excessive jumpiness.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266</w:t>
      </w:r>
      <w:r>
        <w:rPr>
          <w:rFonts w:ascii="arial" w:eastAsia="arial" w:hAnsi="arial" w:cs="arial"/>
          <w:color w:val="000000"/>
          <w:sz w:val="20"/>
          <w:lang w:val="en-US" w:eastAsia="en-US" w:bidi="ar-SA"/>
        </w:rPr>
        <w:t>  She advised Dr. Stepaniuk that she avoided driving and thinking about the accident, experienced difficulty with memory, loss of interest in usual activities, difficulty trusting others and an inability to express her feelings. In the session on October 15, 2008, the plaintiff advised Dr. Stepaniuk she was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avoiding driving 100%. I'd have my parents drive me. But when I'm </w:t>
      </w:r>
      <w:r>
        <w:rPr>
          <w:rFonts w:ascii="arial" w:eastAsia="arial" w:hAnsi="arial" w:cs="arial"/>
          <w:color w:val="000000"/>
          <w:sz w:val="20"/>
          <w:u w:val="single"/>
          <w:lang w:val="en-US" w:eastAsia="en-US" w:bidi="ar-SA"/>
        </w:rPr>
        <w:t>not</w:t>
      </w:r>
      <w:r>
        <w:rPr>
          <w:rFonts w:ascii="arial" w:eastAsia="arial" w:hAnsi="arial" w:cs="arial"/>
          <w:color w:val="000000"/>
          <w:sz w:val="20"/>
          <w:lang w:val="en-US" w:eastAsia="en-US" w:bidi="ar-SA"/>
        </w:rPr>
        <w:t xml:space="preserve"> driving, that lack of control - I'll grab the side bar or try to 'brake' . . . there are aspects of the car accident or fall that I don't remember. But my memory in general - if you ask my husband, I used to have a very good memory. But now I have to write things down. I am not with it like I used to be.</w:t>
      </w:r>
    </w:p>
    <w:p>
      <w:pPr>
        <w:spacing w:before="120" w:line="260" w:lineRule="atLeast"/>
        <w:ind w:left="288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267</w:t>
      </w:r>
      <w:r>
        <w:rPr>
          <w:rFonts w:ascii="arial" w:eastAsia="arial" w:hAnsi="arial" w:cs="arial"/>
          <w:color w:val="000000"/>
          <w:sz w:val="20"/>
          <w:lang w:val="en-US" w:eastAsia="en-US" w:bidi="ar-SA"/>
        </w:rPr>
        <w:t>  Dr. Stepaniuk diagnosed the plaintiff with chronic PTSD, major depressive disorder and chronic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268</w:t>
      </w:r>
      <w:r>
        <w:rPr>
          <w:rFonts w:ascii="arial" w:eastAsia="arial" w:hAnsi="arial" w:cs="arial"/>
          <w:color w:val="000000"/>
          <w:sz w:val="20"/>
          <w:lang w:val="en-US" w:eastAsia="en-US" w:bidi="ar-SA"/>
        </w:rPr>
        <w:t>  On retesting in June 2009, the plaintiff scored higher on all tests initially obtained in the October 8th session. A higher score is indicative of a greater level of distress. By June 2009, the plaintiff scored 35 on the Beck Depression Inventory and was falling within the range of "severe depression". She described the following depressive symptomology: sadness, frequent crying, irritability, loss of interest and pleasure in daily activities, insomnia, psychomotor agitation, fatigue and loss of energy.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269</w:t>
      </w:r>
      <w:r>
        <w:rPr>
          <w:rFonts w:ascii="arial" w:eastAsia="arial" w:hAnsi="arial" w:cs="arial"/>
          <w:color w:val="000000"/>
          <w:sz w:val="20"/>
          <w:lang w:val="en-US" w:eastAsia="en-US" w:bidi="ar-SA"/>
        </w:rPr>
        <w:t>  The increase in her depressive symptomology was seen as a result of the marginal return on the plaintiff's efforts at rehabilitation together with an increasing sense of helplessness that nothing she personally could do would assist in the resolution of her injuries as she perceived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270</w:t>
      </w:r>
      <w:r>
        <w:rPr>
          <w:rFonts w:ascii="arial" w:eastAsia="arial" w:hAnsi="arial" w:cs="arial"/>
          <w:color w:val="000000"/>
          <w:sz w:val="20"/>
          <w:lang w:val="en-US" w:eastAsia="en-US" w:bidi="ar-SA"/>
        </w:rPr>
        <w:t>  She conveyed to Dr. Stepaniuk that before the accident, "I never went to the doctor. Now my doctor sees me all the time." I pause to note that following the motor vehicle accident, Mrs. Kovac sought medical attention approximately fifteen times, if one includes her attendance at physiotherapy. Since the fall of 2006, she attended over 200 further medical appointments.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271</w:t>
      </w:r>
      <w:r>
        <w:rPr>
          <w:rFonts w:ascii="arial" w:eastAsia="arial" w:hAnsi="arial" w:cs="arial"/>
          <w:color w:val="000000"/>
          <w:sz w:val="20"/>
          <w:lang w:val="en-US" w:eastAsia="en-US" w:bidi="ar-SA"/>
        </w:rPr>
        <w:t>  According to Dr. Stepaniuk, the plaintiff was grieving the loss of her dream to be a physical education teacher and experiencing a great deal of uncertainty about her occupational future and loss of her previous lifestyle. In their session on February 25, 2009, the plaintiff advised her that her plans to start a family had been delayed and she felt: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guilty because Mike wants children. I think I'd be a good mother. What next? I want to get myself physically and mentally ready to have a baby.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272</w:t>
      </w:r>
      <w:r>
        <w:rPr>
          <w:rFonts w:ascii="arial" w:eastAsia="arial" w:hAnsi="arial" w:cs="arial"/>
          <w:color w:val="000000"/>
          <w:sz w:val="20"/>
          <w:lang w:val="en-US" w:eastAsia="en-US" w:bidi="ar-SA"/>
        </w:rPr>
        <w:t>  Nowhere in the narrative does there appear to be any disclosure to Dr. Stepaniuk of the issue of infertility which arose as early as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273</w:t>
      </w:r>
      <w:r>
        <w:rPr>
          <w:rFonts w:ascii="arial" w:eastAsia="arial" w:hAnsi="arial" w:cs="arial"/>
          <w:color w:val="000000"/>
          <w:sz w:val="20"/>
          <w:lang w:val="en-US" w:eastAsia="en-US" w:bidi="ar-SA"/>
        </w:rPr>
        <w:t>  The plaintiff was also experiencing financial pressures, no doubt as a result of the loss of income from her employment and the relatively recent cessation of WorkSafeBC benefits. These, too, impacted her mood.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274</w:t>
      </w:r>
      <w:r>
        <w:rPr>
          <w:rFonts w:ascii="arial" w:eastAsia="arial" w:hAnsi="arial" w:cs="arial"/>
          <w:color w:val="000000"/>
          <w:sz w:val="20"/>
          <w:lang w:val="en-US" w:eastAsia="en-US" w:bidi="ar-SA"/>
        </w:rPr>
        <w:t>  Reference was made to a minor motor vehicle accident in 2008 which, according to Dr. Stepaniuk, further diminished her sense of safety, already eroded by the accident in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275</w:t>
      </w:r>
      <w:r>
        <w:rPr>
          <w:rFonts w:ascii="arial" w:eastAsia="arial" w:hAnsi="arial" w:cs="arial"/>
          <w:color w:val="000000"/>
          <w:sz w:val="20"/>
          <w:lang w:val="en-US" w:eastAsia="en-US" w:bidi="ar-SA"/>
        </w:rPr>
        <w:t>  Following the second round of testing in 2009, Dr. Stepaniuk reaffirmed her original diagnosis of "PTSD, chronic in nature, together with major depressive disorder, single episode, severe without psychotic features". I glean from the reference to "single episode" that Dr. Stepaniuk's believes the depression has its origins in the accident. Curiously, in my view, her reports are devoid of any but passing reference to the fall in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276</w:t>
      </w:r>
      <w:r>
        <w:rPr>
          <w:rFonts w:ascii="arial" w:eastAsia="arial" w:hAnsi="arial" w:cs="arial"/>
          <w:color w:val="000000"/>
          <w:sz w:val="20"/>
          <w:lang w:val="en-US" w:eastAsia="en-US" w:bidi="ar-SA"/>
        </w:rPr>
        <w:t>  In describing the psychological sequalae of the accident, Dr. Stepaniuk wrote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given Mrs. Kovac's high premorbid functioning, it is highly likely that her PTSD and Major Depressive Disorder arose as a direct result of her MVA. I see no evidence of malingering. In my opinion, had her MVA not occurred, Ms. Kovac would likely not be in her current 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277</w:t>
      </w:r>
      <w:r>
        <w:rPr>
          <w:rFonts w:ascii="arial" w:eastAsia="arial" w:hAnsi="arial" w:cs="arial"/>
          <w:color w:val="000000"/>
          <w:sz w:val="20"/>
          <w:lang w:val="en-US" w:eastAsia="en-US" w:bidi="ar-SA"/>
        </w:rPr>
        <w:t>  Dr. Stepaniuk went 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Mrs. Kovac's physical, psychological and financial sequ[a]lae of the MVA put a tremendous strain on her marriage. Prior to the MVA, her then-fiancé Mike was her partner. Since the MVA, he has been in a caretaker role with her. During our session on October 15, 2008, she stated "I think me being injured has put a strain on the relationship with Mike because you can't do the things you want. So much money being spent on treatments. Not being able to have a family right now. Am I physically ready to?" During our session on October 22, 2008, Mrs. Kovac tearfully stated "It's been a rough couple of days. My husband says I'm a lot of work and he hates to come home. The camel's back has broken . . . I think he thinks I should be the same person I was. I know if I'm angry, I do take it out on him . . . He mentioned that every day of the week, I have an appointment. We only have one car . . . I think not having a kid is bothering him . . . On Sunday, I tried to go for a walk with my husband. I got two lock spasms. I turned my head left, but got shooting pains [down face]. All together, it was half an hour [out] because we had to go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278</w:t>
      </w:r>
      <w:r>
        <w:rPr>
          <w:rFonts w:ascii="arial" w:eastAsia="arial" w:hAnsi="arial" w:cs="arial"/>
          <w:color w:val="000000"/>
          <w:sz w:val="20"/>
          <w:lang w:val="en-US" w:eastAsia="en-US" w:bidi="ar-SA"/>
        </w:rPr>
        <w:t>  I note that the financial impact referenced by Dr. Stepaniuk occurred only after the cessation of benefits from WorkSafeBC sometime in 2008. There were no financial consequences to the Kovacs after the motor vehicle accident either by way of reduced income or medical cost.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Stephen Anderson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279</w:t>
      </w:r>
      <w:r>
        <w:rPr>
          <w:rFonts w:ascii="arial" w:eastAsia="arial" w:hAnsi="arial" w:cs="arial"/>
          <w:color w:val="000000"/>
          <w:sz w:val="20"/>
          <w:lang w:val="en-US" w:eastAsia="en-US" w:bidi="ar-SA"/>
        </w:rPr>
        <w:t>  In addition to Dr. Stepaniuk, whose treatment is ongoing, the plaintiff attended upon the psychiatrist Dr. Stephen Anderson who saw her on February 10, 2010, for the purposes of an independent evaluation.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280</w:t>
      </w:r>
      <w:r>
        <w:rPr>
          <w:rFonts w:ascii="arial" w:eastAsia="arial" w:hAnsi="arial" w:cs="arial"/>
          <w:color w:val="000000"/>
          <w:sz w:val="20"/>
          <w:lang w:val="en-US" w:eastAsia="en-US" w:bidi="ar-SA"/>
        </w:rPr>
        <w:t>  Under "Basic Facts and Assumptions", Dr. Anderson assumed the following:</w:t>
      </w:r>
      <w:r>
        <w:rPr>
          <w:rFonts w:ascii="arial" w:eastAsia="arial" w:hAnsi="arial" w:cs="arial"/>
          <w:sz w:val="20"/>
          <w:lang w:val="en-US" w:eastAsia="en-US" w:bidi="ar-SA"/>
        </w:rPr>
        <w:cr/>
      </w:r>
    </w:p>
    <w:p>
      <w:pPr>
        <w:numPr>
          <w:numId w:val="9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general consensus from physicians who have assessed Mrs. Kovac is that she developed a thoracic outlet syndrome (TOS) and fibromyalgia (FM) following the MVA.</w:t>
      </w:r>
    </w:p>
    <w:p>
      <w:pPr>
        <w:numPr>
          <w:numId w:val="9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Mrs. Kovac was involved in a "slip and fall" accident on January 16, 2006 which resulted in an exacerbation of her symptoms as well as new symptoms (hip, back and leg pain).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numPr>
          <w:numId w:val="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Mrs. Kovac developed anxiety and depressive symptoms following the February 10, 2004 MVA as noted by her family physician, Dr. [McLachlan], in her report dated July 28, 2009.</w:t>
      </w:r>
    </w:p>
    <w:p>
      <w:pPr>
        <w:numPr>
          <w:numId w:val="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Mrs. Kovac did not receive treatment for her anxiety/depressive symptoms until she began psychotherapy with psychologist, Dr. Stepaniuk, in September 2009. Depressive symptoms had been identified by psychologist, Dr. Lipinski in October 2007 but Mrs. Kovac had not been provided with counselling until she saw Dr. Stepaniuk.</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Mrs. Kovac is not presently taking antidepressant medication. She is presently undergoing her second in vitro fertilization trial.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5"/>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Mrs. Kovac has recently been working on her Master's Degree but she has had difficulty reading and studying due to concentration and memory difficulties.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281</w:t>
      </w:r>
      <w:r>
        <w:rPr>
          <w:rFonts w:ascii="arial" w:eastAsia="arial" w:hAnsi="arial" w:cs="arial"/>
          <w:color w:val="000000"/>
          <w:sz w:val="20"/>
          <w:lang w:val="en-US" w:eastAsia="en-US" w:bidi="ar-SA"/>
        </w:rPr>
        <w:t>  Under the heading "Opinion" Dr. Anderson noted the plaintiff's current significant ongoing physical symptoms were headache pain (regular and severe), tinnitus, hand and finger symptoms, mid-back pain, hip pain, low back pain, leg and feet symptoms and decreased energy.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282</w:t>
      </w:r>
      <w:r>
        <w:rPr>
          <w:rFonts w:ascii="arial" w:eastAsia="arial" w:hAnsi="arial" w:cs="arial"/>
          <w:color w:val="000000"/>
          <w:sz w:val="20"/>
          <w:lang w:val="en-US" w:eastAsia="en-US" w:bidi="ar-SA"/>
        </w:rPr>
        <w:t>  Dr. Anderson states as a fact, presumably reliant upon the opinion of Dr. McLachlan as stated in her report, that following the February 10, 2004 MVA, Mrs. Kovac developed anxiety and depressive symptoms. Her mood deteriorated further following the January 16, 2006 work accident. Mrs. Kovac rated her lowest mood following the motor vehicle accident as being 3 out of 10, with 10 being the best she felt in the past and 1 being the lowest. She rated her lowest mood following the workplace fall as being only 1 out of 10. She rated her mood during the past month as usually being 4 out of 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283</w:t>
      </w:r>
      <w:r>
        <w:rPr>
          <w:rFonts w:ascii="arial" w:eastAsia="arial" w:hAnsi="arial" w:cs="arial"/>
          <w:color w:val="000000"/>
          <w:sz w:val="20"/>
          <w:lang w:val="en-US" w:eastAsia="en-US" w:bidi="ar-SA"/>
        </w:rPr>
        <w:t>  As to the diagnosis of PTSD, Dr. Anderson opined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Mrs. Kovac was also emotionally traumatized by the February 10, 2004 MVA. Although she did not develop nightmares or flashbacks of the MVA, she did develop marked anxiety when exposed to cues which reminded her of the trauma (e.g. being in automobiles). Mrs. Kovac experiences physical symptoms of anxiety in automobiles including increased heart rate, shortness of breath and sweatiness. She continues to fear that she will be involved in another MVA in the future. When discussing the 2004 MVA Mrs. Kovac was emotionally distraught. Mrs. Kovac developed increased anxiety symptoms after she was involved in a minor MVA of November 16, 2008. She was also more vulnerable to developing anxiety following future MVA's due to the February 10th, 2004 MVA. Her anxiety also increased after she was followed by an investigator working for ICBC.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discussing the January 16th, 2006 work accident, Mrs. Kovac was fairly calm. There was no evidence that she developed PTSD symptoms following the work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284</w:t>
      </w:r>
      <w:r>
        <w:rPr>
          <w:rFonts w:ascii="arial" w:eastAsia="arial" w:hAnsi="arial" w:cs="arial"/>
          <w:color w:val="000000"/>
          <w:sz w:val="20"/>
          <w:lang w:val="en-US" w:eastAsia="en-US" w:bidi="ar-SA"/>
        </w:rPr>
        <w:t>  He then opines that the plaintiff would not have developed her present constellation of physical, cognitive and emotional difficulties if she had not been injured in the February 10, 2004 motor vehicle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Gordon Robinson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285</w:t>
      </w:r>
      <w:r>
        <w:rPr>
          <w:rFonts w:ascii="arial" w:eastAsia="arial" w:hAnsi="arial" w:cs="arial"/>
          <w:color w:val="000000"/>
          <w:sz w:val="20"/>
          <w:lang w:val="en-US" w:eastAsia="en-US" w:bidi="ar-SA"/>
        </w:rPr>
        <w:t>  Dr. Gordon Robinson is a neurologist specializing in headache disorders. He met and examined the plaintiff on August 3, 2010, and was also provided with a number of records including the clinical records of Dr. McLachlan, and the various medical legal reports prepared on behalf of the plaintiff and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286</w:t>
      </w:r>
      <w:r>
        <w:rPr>
          <w:rFonts w:ascii="arial" w:eastAsia="arial" w:hAnsi="arial" w:cs="arial"/>
          <w:color w:val="000000"/>
          <w:sz w:val="20"/>
          <w:lang w:val="en-US" w:eastAsia="en-US" w:bidi="ar-SA"/>
        </w:rPr>
        <w:t>  In the history taken by Dr. Robinson he recorded that the plaintiff experienced headaches in the days and weeks following the accident together with issues relating to her back, arms and hands and "some low back pain". Mostly the pain was confined to her upper back and shoulders.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287</w:t>
      </w:r>
      <w:r>
        <w:rPr>
          <w:rFonts w:ascii="arial" w:eastAsia="arial" w:hAnsi="arial" w:cs="arial"/>
          <w:color w:val="000000"/>
          <w:sz w:val="20"/>
          <w:lang w:val="en-US" w:eastAsia="en-US" w:bidi="ar-SA"/>
        </w:rPr>
        <w:t>  She reported that her symptoms made her irritable and she would occasionally "take it out on the children" but apologize the next day. She reported to Dr. Robinson that she was nervous while riding or driving a motor vehicle following the accident and has frequent "flashbacks" of the accident and becomes highly anxious about any impending collisions. Although not described in detail by Dr. Robinson, the reference to flashbacks seems at odds with the report of Dr. Anderson who when investigating that very symptom was provided with no history of flashbacks.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288</w:t>
      </w:r>
      <w:r>
        <w:rPr>
          <w:rFonts w:ascii="arial" w:eastAsia="arial" w:hAnsi="arial" w:cs="arial"/>
          <w:color w:val="000000"/>
          <w:sz w:val="20"/>
          <w:lang w:val="en-US" w:eastAsia="en-US" w:bidi="ar-SA"/>
        </w:rPr>
        <w:t>  She stated her primary care physician tried "different medications for migraine" without success. She went to physiotherapy, massage and acupuncture with temporary benefit. The reference to massage therapy was never clearly linked to the time frame following the accident. Acupuncture clearly didn't take place until after the workplace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289</w:t>
      </w:r>
      <w:r>
        <w:rPr>
          <w:rFonts w:ascii="arial" w:eastAsia="arial" w:hAnsi="arial" w:cs="arial"/>
          <w:color w:val="000000"/>
          <w:sz w:val="20"/>
          <w:lang w:val="en-US" w:eastAsia="en-US" w:bidi="ar-SA"/>
        </w:rPr>
        <w:t>  She reported the fall of January 16, 2006, and reported that she "does not recall feeling dizzy, lightheaded or having any other symptoms before falling". This stands in stark contrast to the report given Dr. Prout concerning the moments preceding the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290</w:t>
      </w:r>
      <w:r>
        <w:rPr>
          <w:rFonts w:ascii="arial" w:eastAsia="arial" w:hAnsi="arial" w:cs="arial"/>
          <w:color w:val="000000"/>
          <w:sz w:val="20"/>
          <w:lang w:val="en-US" w:eastAsia="en-US" w:bidi="ar-SA"/>
        </w:rPr>
        <w:t>  She reported after this injury her pre-existing headaches, neck and shoulder discomfort were all worsened. As well she had severe back pain causing her difficulty in moving about. At the time of her visit, headaches were present every day. If she didn't awaken with a headache, discomfort in her neck would spread into her temples, forehead and behind her eyes as the day progressed. Aggravators to her headaches included stress, physical exertion and lack of sleep. When her headaches are severe she feels nauseated and is extremely sensitive to light and sound. In the result she goes to bed taking pain killers which provide a modest benefit.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291</w:t>
      </w:r>
      <w:r>
        <w:rPr>
          <w:rFonts w:ascii="arial" w:eastAsia="arial" w:hAnsi="arial" w:cs="arial"/>
          <w:color w:val="000000"/>
          <w:sz w:val="20"/>
          <w:lang w:val="en-US" w:eastAsia="en-US" w:bidi="ar-SA"/>
        </w:rPr>
        <w:t>  She experiences a mild to moderate headache every day with severe attacks occurring once or more per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292</w:t>
      </w:r>
      <w:r>
        <w:rPr>
          <w:rFonts w:ascii="arial" w:eastAsia="arial" w:hAnsi="arial" w:cs="arial"/>
          <w:color w:val="000000"/>
          <w:sz w:val="20"/>
          <w:lang w:val="en-US" w:eastAsia="en-US" w:bidi="ar-SA"/>
        </w:rPr>
        <w:t>  In his report, Dr. Robinson noted that headaches related to her neck injury were constant after the accident and, according to the plaintiff, there was no improvement prior to the fall. As to the respective roles of the accident and the fall, he opined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probable that the work related injury did aggravate her pre-existing difficulties. Had this injury not occurred I believe that she probably would have continued to have headache, neck and back pain for many years but probably would have been able to continue working.</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Dana Ranahan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293</w:t>
      </w:r>
      <w:r>
        <w:rPr>
          <w:rFonts w:ascii="arial" w:eastAsia="arial" w:hAnsi="arial" w:cs="arial"/>
          <w:color w:val="000000"/>
          <w:sz w:val="20"/>
          <w:lang w:val="en-US" w:eastAsia="en-US" w:bidi="ar-SA"/>
        </w:rPr>
        <w:t>  Dana Ranahan is the physiotherapist who treated the plaintiff following her fall in January 2006. Ms. Ranahan reviewed the physiotherapy treatment predating the fall spanning from March 2004 until May 14, 2004. At the conclusion of physiotherapy, the plaintiff was continuing to report neck and back soreness but she discontinued treatment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294</w:t>
      </w:r>
      <w:r>
        <w:rPr>
          <w:rFonts w:ascii="arial" w:eastAsia="arial" w:hAnsi="arial" w:cs="arial"/>
          <w:color w:val="000000"/>
          <w:sz w:val="20"/>
          <w:lang w:val="en-US" w:eastAsia="en-US" w:bidi="ar-SA"/>
        </w:rPr>
        <w:t>  Ms. Ranahan first assessed the plaintiff on February 14, 2006, following her work-related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295</w:t>
      </w:r>
      <w:r>
        <w:rPr>
          <w:rFonts w:ascii="arial" w:eastAsia="arial" w:hAnsi="arial" w:cs="arial"/>
          <w:color w:val="000000"/>
          <w:sz w:val="20"/>
          <w:lang w:val="en-US" w:eastAsia="en-US" w:bidi="ar-SA"/>
        </w:rPr>
        <w:t>  At that time, objective signs of injury included significant reduction in loss of lumbar flexion, extension, side flexion and rotation.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296</w:t>
      </w:r>
      <w:r>
        <w:rPr>
          <w:rFonts w:ascii="arial" w:eastAsia="arial" w:hAnsi="arial" w:cs="arial"/>
          <w:color w:val="000000"/>
          <w:sz w:val="20"/>
          <w:lang w:val="en-US" w:eastAsia="en-US" w:bidi="ar-SA"/>
        </w:rPr>
        <w:t>  Ms. Ranahan's primary focus of treatment was on the plaintiff's lumbar spine as it related to the WCB-funded physiotherapy program but carried on treating the plaintiff following cessation of WCB benefits in 2008. Treatment carries on to this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297</w:t>
      </w:r>
      <w:r>
        <w:rPr>
          <w:rFonts w:ascii="arial" w:eastAsia="arial" w:hAnsi="arial" w:cs="arial"/>
          <w:color w:val="000000"/>
          <w:sz w:val="20"/>
          <w:lang w:val="en-US" w:eastAsia="en-US" w:bidi="ar-SA"/>
        </w:rPr>
        <w:t>  In July 2007 Ms. Ranahan recommended to the plaintiff Pilates rehabilitation, acupuncture, osteopathy, massage therapy and referral to a psychologist to cope with stress management, breathing and overall relaxation. According to Ms. Ranahan the plaintiff diligently pursued all forms of therapy and exercise to improve her physical functioning with limited success.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298</w:t>
      </w:r>
      <w:r>
        <w:rPr>
          <w:rFonts w:ascii="arial" w:eastAsia="arial" w:hAnsi="arial" w:cs="arial"/>
          <w:color w:val="000000"/>
          <w:sz w:val="20"/>
          <w:lang w:val="en-US" w:eastAsia="en-US" w:bidi="ar-SA"/>
        </w:rPr>
        <w:t>  At the date of the evaluation done for her report, Ms. Ranahan noted that the plaintiff suffered from daily headaches, cervical pain, pain in the jaw (greater in the right side than left), tightness in the shoulder girdles limiting mobility and tightness in the upper back and chest region limiting her ability to breathe deeply.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299</w:t>
      </w:r>
      <w:r>
        <w:rPr>
          <w:rFonts w:ascii="arial" w:eastAsia="arial" w:hAnsi="arial" w:cs="arial"/>
          <w:color w:val="000000"/>
          <w:sz w:val="20"/>
          <w:lang w:val="en-US" w:eastAsia="en-US" w:bidi="ar-SA"/>
        </w:rPr>
        <w:t>  She continues to have pins and needles in both hands with the right being affected more so than the left. She has lower back pain with shooting pain into both buttocks and tightness and pain in both buttocks into her posterior thighs. She also suffers from muscle fatigue and muscle soreness especially after any activity or work. Her sleep is interrupted.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300</w:t>
      </w:r>
      <w:r>
        <w:rPr>
          <w:rFonts w:ascii="arial" w:eastAsia="arial" w:hAnsi="arial" w:cs="arial"/>
          <w:color w:val="000000"/>
          <w:sz w:val="20"/>
          <w:lang w:val="en-US" w:eastAsia="en-US" w:bidi="ar-SA"/>
        </w:rPr>
        <w:t>  In the opinion of Ms. Ranahan the plaintiff's symptoms are extensive and create significant problems for her in returning to her previous functional activity and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301</w:t>
      </w:r>
      <w:r>
        <w:rPr>
          <w:rFonts w:ascii="arial" w:eastAsia="arial" w:hAnsi="arial" w:cs="arial"/>
          <w:color w:val="000000"/>
          <w:sz w:val="20"/>
          <w:lang w:val="en-US" w:eastAsia="en-US" w:bidi="ar-SA"/>
        </w:rPr>
        <w:t>  Despite not examining the plaintiff until February 2006, Ms. Ranahan opined that given her complaints of pain at the conclusion of physiotherapy treatment in May 2004 it is "likely that she continued to have problems with muscular weakness and hyper reactivity or spasms in her muscles that persisted chronically."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302</w:t>
      </w:r>
      <w:r>
        <w:rPr>
          <w:rFonts w:ascii="arial" w:eastAsia="arial" w:hAnsi="arial" w:cs="arial"/>
          <w:color w:val="000000"/>
          <w:sz w:val="20"/>
          <w:lang w:val="en-US" w:eastAsia="en-US" w:bidi="ar-SA"/>
        </w:rPr>
        <w:t>  I note that at no time did the plaintiff apparently complain of back spasms nor were they noted in an examination which took place prior to the fall. Thereafter, spasms are noted by a variety of practitioners and described as "severe".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303</w:t>
      </w:r>
      <w:r>
        <w:rPr>
          <w:rFonts w:ascii="arial" w:eastAsia="arial" w:hAnsi="arial" w:cs="arial"/>
          <w:color w:val="000000"/>
          <w:sz w:val="20"/>
          <w:lang w:val="en-US" w:eastAsia="en-US" w:bidi="ar-SA"/>
        </w:rPr>
        <w:t>  Ms. Ranahan goes on to say that based upon a review of Dr. McLachlan's records: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it is clear that Ms. Bozic was continuing to report neck and back symptoms post MVA beyond the time that she completed physiotherapy. It is noted in these clinical records that Ms. Kovac visited Dr. McLachlan's office for visits on March 1, 2005, November 17, 2005, and December 16, 2005. At each of these visits, it is noted that Mrs. Kovac continued to complain of ongoing neck stiffness and pain which radiated to the upper back, as well as ongoing numbness in her 3-5th fingers.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the November 17, 2005 appointment it is noted in the doctor's reports that she was having constant lower back soreness with intermittent flare-ups. The notes further indicate that she was having ongoing difficulty with working as a teacher, especially with bending down and lifting books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304</w:t>
      </w:r>
      <w:r>
        <w:rPr>
          <w:rFonts w:ascii="arial" w:eastAsia="arial" w:hAnsi="arial" w:cs="arial"/>
          <w:color w:val="000000"/>
          <w:sz w:val="20"/>
          <w:lang w:val="en-US" w:eastAsia="en-US" w:bidi="ar-SA"/>
        </w:rPr>
        <w:t>  Nowhere does Ms. Ranahan report she was told of the plaintiff's pre-accident low back complaints as reported to ICBC. She went on to state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opinion is that it is entirely likely that Mrs. Kovac had not fully recovered her muscular strength and cervical/thoracic spine stability and control post MVA at the time of her fall, even though there had been a timeframe of approximately 23 months since her MVA. She had continued to have symptoms throughout this timeframe and leading up to the workplace fall. Whether these ongoing symptoms directly affected her fall is something that I cannot determine with certainty, but I anticipate there was some link to the muscular dysfunction relating to the previous MVA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305</w:t>
      </w:r>
      <w:r>
        <w:rPr>
          <w:rFonts w:ascii="arial" w:eastAsia="arial" w:hAnsi="arial" w:cs="arial"/>
          <w:color w:val="000000"/>
          <w:sz w:val="20"/>
          <w:lang w:val="en-US" w:eastAsia="en-US" w:bidi="ar-SA"/>
        </w:rPr>
        <w:t>  As to prognosis, Ms. Ranahan expressed the same guarded pessimism regarding recovery. She recommended a course of treatment including regular physiotherapy, Pilates, gym exercise, massages as needed, continuing work with a psychologist to help stress management techniques, breathing awareness and self-management strategies.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Cecil Hershler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306</w:t>
      </w:r>
      <w:r>
        <w:rPr>
          <w:rFonts w:ascii="arial" w:eastAsia="arial" w:hAnsi="arial" w:cs="arial"/>
          <w:color w:val="000000"/>
          <w:sz w:val="20"/>
          <w:lang w:val="en-US" w:eastAsia="en-US" w:bidi="ar-SA"/>
        </w:rPr>
        <w:t>  Dr. Hershler is a specialist in physical and rehabilitative medicine. He saw the plaintiff on one occasion in September of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307</w:t>
      </w:r>
      <w:r>
        <w:rPr>
          <w:rFonts w:ascii="arial" w:eastAsia="arial" w:hAnsi="arial" w:cs="arial"/>
          <w:color w:val="000000"/>
          <w:sz w:val="20"/>
          <w:lang w:val="en-US" w:eastAsia="en-US" w:bidi="ar-SA"/>
        </w:rPr>
        <w:t>  He diagnosed "widespread myofascial (neuropathic) pain disorder" together with a "variant of thoracic outlet syndrome". Based upon the history, physical examination, document review and history of the accidents, Dr. Hershler attributed the diagnoses to the motor vehicle accident though acknowledging they were aggravated by the workplace fall. He felt her current condition was as a result of the combined effects of the two incidents.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308</w:t>
      </w:r>
      <w:r>
        <w:rPr>
          <w:rFonts w:ascii="arial" w:eastAsia="arial" w:hAnsi="arial" w:cs="arial"/>
          <w:color w:val="000000"/>
          <w:sz w:val="20"/>
          <w:lang w:val="en-US" w:eastAsia="en-US" w:bidi="ar-SA"/>
        </w:rPr>
        <w:t>  Although the plaintiff had been working at the time of the fall without interruption, Dr. Hershler could not be certain whether she would have been able to carry on but for the fall. He said "likely she would have been able to continue working full time (albeit in pain), but I cannot be certain she would have been able to continue working indefinitely."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309</w:t>
      </w:r>
      <w:r>
        <w:rPr>
          <w:rFonts w:ascii="arial" w:eastAsia="arial" w:hAnsi="arial" w:cs="arial"/>
          <w:color w:val="000000"/>
          <w:sz w:val="20"/>
          <w:lang w:val="en-US" w:eastAsia="en-US" w:bidi="ar-SA"/>
        </w:rPr>
        <w:t>  He endorsed the recommendations of Diana Robertson, an occupational therapist, as medically warranted.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Ralph Cheesman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310</w:t>
      </w:r>
      <w:r>
        <w:rPr>
          <w:rFonts w:ascii="arial" w:eastAsia="arial" w:hAnsi="arial" w:cs="arial"/>
          <w:color w:val="000000"/>
          <w:sz w:val="20"/>
          <w:lang w:val="en-US" w:eastAsia="en-US" w:bidi="ar-SA"/>
        </w:rPr>
        <w:t>  Ralph Cheesman is an occupational therapist engaged by the defendant to provide an opinion as to the plaintiff's functional abilities and limitations relating to the motor vehicle accident and then later, the workplace fall of January 2006. He was also asked to comment upon the report of Diana Robertson, the occupational therapist engaged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311</w:t>
      </w:r>
      <w:r>
        <w:rPr>
          <w:rFonts w:ascii="arial" w:eastAsia="arial" w:hAnsi="arial" w:cs="arial"/>
          <w:color w:val="000000"/>
          <w:sz w:val="20"/>
          <w:lang w:val="en-US" w:eastAsia="en-US" w:bidi="ar-SA"/>
        </w:rPr>
        <w:t>  Mr. Cheesman conducted his examination over an 8 1/2 hour period commencing with an interview and functional capacity evaluation.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312</w:t>
      </w:r>
      <w:r>
        <w:rPr>
          <w:rFonts w:ascii="arial" w:eastAsia="arial" w:hAnsi="arial" w:cs="arial"/>
          <w:color w:val="000000"/>
          <w:sz w:val="20"/>
          <w:lang w:val="en-US" w:eastAsia="en-US" w:bidi="ar-SA"/>
        </w:rPr>
        <w:t>  The plaintiff reported to Mr. Cheesman that following the accident she: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incurred emerging symptoms in her neck and upper extremities that remain present to the date of her fall accident in her classroom. She states she was actively investigating these symptoms via a referral process through her family physician to a specialist. Ms. Kovac reports she incurred some functional limitations related to the progression of post MVA symptoms while teaching. She states she regularly received classroom assistance from student volunteers and a parent volunteer, regardless of any accident related limitations. Ms. Kovac reported she reorganized this available assistance to perform tasks that were eliciting her symptom reactivity. She mainly identified posting of information on a class bulletin board (requiring overhead reaches) and stapling of multiples of photocopied material as functions that were reorganized. Further she reorganized functional tasks with her assistant coach to continue on with her duty to coach school based soccer and volleyball.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313</w:t>
      </w:r>
      <w:r>
        <w:rPr>
          <w:rFonts w:ascii="arial" w:eastAsia="arial" w:hAnsi="arial" w:cs="arial"/>
          <w:color w:val="000000"/>
          <w:sz w:val="20"/>
          <w:lang w:val="en-US" w:eastAsia="en-US" w:bidi="ar-SA"/>
        </w:rPr>
        <w:t>  In describing her fall in January 2006, she denied any dizziness or tripping and says "she does not know why she fell".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314</w:t>
      </w:r>
      <w:r>
        <w:rPr>
          <w:rFonts w:ascii="arial" w:eastAsia="arial" w:hAnsi="arial" w:cs="arial"/>
          <w:color w:val="000000"/>
          <w:sz w:val="20"/>
          <w:lang w:val="en-US" w:eastAsia="en-US" w:bidi="ar-SA"/>
        </w:rPr>
        <w:t>  Mrs. Kovac apparently reported to Mr. Cheesman: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was a combination of onset of low back pain and aggravated neck and upper extremity symptoms that has prevented her from returning to her pre-fall function and teaching activity.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315</w:t>
      </w:r>
      <w:r>
        <w:rPr>
          <w:rFonts w:ascii="arial" w:eastAsia="arial" w:hAnsi="arial" w:cs="arial"/>
          <w:color w:val="000000"/>
          <w:sz w:val="20"/>
          <w:lang w:val="en-US" w:eastAsia="en-US" w:bidi="ar-SA"/>
        </w:rPr>
        <w:t>  Mr. Cheesman is of the opinion that the plaintiff was capable of performing the majority and primary functions of her teaching position in primary school classrooms at St. Helen's school before the time of her workplace fall. Her residual symptoms, stemming from the accident, were adequately managed with workplace adaptations. In short, her symptoms at the time of the fall did not preclude the plaintiff from performing the majority and primary functions of her teaching position. He goes on to opine: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test of time, in this case two years of adequate teaching functions, suggest Ms. Kovac was durably capable of her work demands before her work place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316</w:t>
      </w:r>
      <w:r>
        <w:rPr>
          <w:rFonts w:ascii="arial" w:eastAsia="arial" w:hAnsi="arial" w:cs="arial"/>
          <w:color w:val="000000"/>
          <w:sz w:val="20"/>
          <w:lang w:val="en-US" w:eastAsia="en-US" w:bidi="ar-SA"/>
        </w:rPr>
        <w:t>  As to her present status, Mr. Cheesman agreed with the preponderance of the medical evidence that the plaintiff is presently incapable of teaching on a full-time basis and concludes she is not competitively employable.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Lynn Doyle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317</w:t>
      </w:r>
      <w:r>
        <w:rPr>
          <w:rFonts w:ascii="arial" w:eastAsia="arial" w:hAnsi="arial" w:cs="arial"/>
          <w:color w:val="000000"/>
          <w:sz w:val="20"/>
          <w:lang w:val="en-US" w:eastAsia="en-US" w:bidi="ar-SA"/>
        </w:rPr>
        <w:t>  Dr. Lynn Doyle is a vascular surgeon. She investigated the plaintiff's complaints of thoracic outlet syndrome in the fall of 2008. She was referred by Dr. McLachlan for assessment and provided a history of problems with her arms and hands approximately a week following the accident. An MRI apparently showed no evidence of thoracic outlet syndrome.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318</w:t>
      </w:r>
      <w:r>
        <w:rPr>
          <w:rFonts w:ascii="arial" w:eastAsia="arial" w:hAnsi="arial" w:cs="arial"/>
          <w:color w:val="000000"/>
          <w:sz w:val="20"/>
          <w:lang w:val="en-US" w:eastAsia="en-US" w:bidi="ar-SA"/>
        </w:rPr>
        <w:t>  She noted the episodes of tingling pallor, and/or pain present when playing soccer or sporadically with other activities whether her arms were overhead or whether she was sitting quietly.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319</w:t>
      </w:r>
      <w:r>
        <w:rPr>
          <w:rFonts w:ascii="arial" w:eastAsia="arial" w:hAnsi="arial" w:cs="arial"/>
          <w:color w:val="000000"/>
          <w:sz w:val="20"/>
          <w:lang w:val="en-US" w:eastAsia="en-US" w:bidi="ar-SA"/>
        </w:rPr>
        <w:t>  In the initial assessment in the fall of 2006, Dr. Doyle discounted the diagnosis of thoracic outlet syndrome and suggested, instead, that she was having reactive vasospasm. Follow-up vascular testing done in the latter part of 2006 revealed, according to Dr. Doyle, no evidence of thoracic outlet syndrome.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Stanley Hashimoto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320</w:t>
      </w:r>
      <w:r>
        <w:rPr>
          <w:rFonts w:ascii="arial" w:eastAsia="arial" w:hAnsi="arial" w:cs="arial"/>
          <w:color w:val="000000"/>
          <w:sz w:val="20"/>
          <w:lang w:val="en-US" w:eastAsia="en-US" w:bidi="ar-SA"/>
        </w:rPr>
        <w:t>  Dr. Stanley Hashimoto, a neurologist, saw the plaintiff at the behest of the defendant. That portion of Dr. Hashimoto's report that was admitted related only to a document review. Although Dr. Hashimoto saw the plaintiff in late 2010, that portion of his report relating to his physical examination was ruled inadmissible. Dr. Hashimoto's opinion, in the main, amounts to argument concerning the reports of other doctors who attended the plaintiff and I found it of little help in assessing whether or not the diagnosis of thoracic outlet syndrome is indeed the correct diagnosis.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Vance Makin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321</w:t>
      </w:r>
      <w:r>
        <w:rPr>
          <w:rFonts w:ascii="arial" w:eastAsia="arial" w:hAnsi="arial" w:cs="arial"/>
          <w:color w:val="000000"/>
          <w:sz w:val="20"/>
          <w:lang w:val="en-US" w:eastAsia="en-US" w:bidi="ar-SA"/>
        </w:rPr>
        <w:t>  Dr. Vance Makin, a neurologist, examined the plaintiff on behalf of the defendant in May 2009. He conducted a neurological examination and electrodiagnostic studies after taking a history from the plaintiff. He also reviewed a series of medical records common to the majority of practitioners who saw Mrs. Kovac.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322</w:t>
      </w:r>
      <w:r>
        <w:rPr>
          <w:rFonts w:ascii="arial" w:eastAsia="arial" w:hAnsi="arial" w:cs="arial"/>
          <w:color w:val="000000"/>
          <w:sz w:val="20"/>
          <w:lang w:val="en-US" w:eastAsia="en-US" w:bidi="ar-SA"/>
        </w:rPr>
        <w:t>  In preparing his opinion, he "initially assumed as fact all of the symptoms and past medical history described to me by Mrs. Kovac, as well as her description of the circumstances of the motor vehicle accident." He later contrasted that history with the medical records reviewed by him including those of the plaintiff's experts.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323</w:t>
      </w:r>
      <w:r>
        <w:rPr>
          <w:rFonts w:ascii="arial" w:eastAsia="arial" w:hAnsi="arial" w:cs="arial"/>
          <w:color w:val="000000"/>
          <w:sz w:val="20"/>
          <w:lang w:val="en-US" w:eastAsia="en-US" w:bidi="ar-SA"/>
        </w:rPr>
        <w:t>  The plaintiff described to Dr. Makin a "massive" pain in her head following the accident. She also had pain in her neck, shoulders and low back. She attributed the following injuries to the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pain and stiffness in the neck, entire length of the spine and shoulders;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headaches;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arm pain;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finger symptoms; and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ringing in the 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324</w:t>
      </w:r>
      <w:r>
        <w:rPr>
          <w:rFonts w:ascii="arial" w:eastAsia="arial" w:hAnsi="arial" w:cs="arial"/>
          <w:color w:val="000000"/>
          <w:sz w:val="20"/>
          <w:lang w:val="en-US" w:eastAsia="en-US" w:bidi="ar-SA"/>
        </w:rPr>
        <w:t>  She reported that the finger symptoms began approximately three weeks following the accident. They would change colours and her fingers would lock in a claw formation such that she could not voluntarily move them in any direction. This was more frequent on the right hand, although it occurred in both hands. She reported that "for the first two years this sequence occurred daily". After her fall and cessation of working, the symptoms tended to be less frequent. She reported that the sequence of events prior to the fall was that the symptoms in her hands were usually induced when writing on a blackboard or holding a book or reading to her class. On some occasions it occurred when running.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325</w:t>
      </w:r>
      <w:r>
        <w:rPr>
          <w:rFonts w:ascii="arial" w:eastAsia="arial" w:hAnsi="arial" w:cs="arial"/>
          <w:color w:val="000000"/>
          <w:sz w:val="20"/>
          <w:lang w:val="en-US" w:eastAsia="en-US" w:bidi="ar-SA"/>
        </w:rPr>
        <w:t>  Episodes would occur about three times weekly and last 15 to 30 minutes. She would rub and shake her hands gently so as to force the fingers into an extension by massaging with the other hand. Three times weekly she would wake from her sleep with these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326</w:t>
      </w:r>
      <w:r>
        <w:rPr>
          <w:rFonts w:ascii="arial" w:eastAsia="arial" w:hAnsi="arial" w:cs="arial"/>
          <w:color w:val="000000"/>
          <w:sz w:val="20"/>
          <w:lang w:val="en-US" w:eastAsia="en-US" w:bidi="ar-SA"/>
        </w:rPr>
        <w:t>  The plaintiff reported to Dr. Makin that she told her family physician she could not tolerate the symptoms any longer in 2005 and was referred to Dr. Mezei, a neurologist. That visit did not occur until two days after the fall when her most prominent symptoms were in her back and legs.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327</w:t>
      </w:r>
      <w:r>
        <w:rPr>
          <w:rFonts w:ascii="arial" w:eastAsia="arial" w:hAnsi="arial" w:cs="arial"/>
          <w:color w:val="000000"/>
          <w:sz w:val="20"/>
          <w:lang w:val="en-US" w:eastAsia="en-US" w:bidi="ar-SA"/>
        </w:rPr>
        <w:t>  As to neck pain and headaches, she told Dr. Makin these began the same day as the accident. The plaintiff reported it prevented her from shoulder checking such that she could not drive for one month following the accident. Once she regained her ability to shoulder check she was asked whether she had begun to drive again and she reported that she had. However, she also reported that her neck sometimes becomes "locked" and she cannot move it. She would then go to the physiotherapist and stop driving again until she was once again able to shoulder check.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328</w:t>
      </w:r>
      <w:r>
        <w:rPr>
          <w:rFonts w:ascii="arial" w:eastAsia="arial" w:hAnsi="arial" w:cs="arial"/>
          <w:color w:val="000000"/>
          <w:sz w:val="20"/>
          <w:lang w:val="en-US" w:eastAsia="en-US" w:bidi="ar-SA"/>
        </w:rPr>
        <w:t>  The headaches commenced at the back of the neck and went up both sides, worse on the right than on the left. Severe headaches would extend to right behind her eyes. She denied any type of headache, ever, prior to the accident, including "normal headaches" or "regular headaches". Since the motor vehicle accident she has had continuous headache.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329</w:t>
      </w:r>
      <w:r>
        <w:rPr>
          <w:rFonts w:ascii="arial" w:eastAsia="arial" w:hAnsi="arial" w:cs="arial"/>
          <w:color w:val="000000"/>
          <w:sz w:val="20"/>
          <w:lang w:val="en-US" w:eastAsia="en-US" w:bidi="ar-SA"/>
        </w:rPr>
        <w:t>  Occasionally her headaches were such that she felt nauseated or became sensitive to light or noise. She recalls this happening during at least one of her episodes of graduated return to work. Her headaches are worse with physical exertion. Further, she states that "my neck doesn't have the strength to hold my 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330</w:t>
      </w:r>
      <w:r>
        <w:rPr>
          <w:rFonts w:ascii="arial" w:eastAsia="arial" w:hAnsi="arial" w:cs="arial"/>
          <w:color w:val="000000"/>
          <w:sz w:val="20"/>
          <w:lang w:val="en-US" w:eastAsia="en-US" w:bidi="ar-SA"/>
        </w:rPr>
        <w:t>  According to the plaintiff, her family physician told her the most severe headaches were migraines and she was "given a medication for migraine" but cannot recall what it was.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331</w:t>
      </w:r>
      <w:r>
        <w:rPr>
          <w:rFonts w:ascii="arial" w:eastAsia="arial" w:hAnsi="arial" w:cs="arial"/>
          <w:color w:val="000000"/>
          <w:sz w:val="20"/>
          <w:lang w:val="en-US" w:eastAsia="en-US" w:bidi="ar-SA"/>
        </w:rPr>
        <w:t>  Given that history, coupled with his physical examination, Dr. Makin opined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difficult to determine if her neck or back pain was caused by the MVA for various reasons, including the prominent non-organic signs on examination. The back pain is clearly not due to a neurological lesion. The neck pain is not for neurological reasons unless MRI demonstrates a definite C8 nerve root compression [citation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332</w:t>
      </w:r>
      <w:r>
        <w:rPr>
          <w:rFonts w:ascii="arial" w:eastAsia="arial" w:hAnsi="arial" w:cs="arial"/>
          <w:color w:val="000000"/>
          <w:sz w:val="20"/>
          <w:lang w:val="en-US" w:eastAsia="en-US" w:bidi="ar-SA"/>
        </w:rPr>
        <w:t>  The plaintiff complained of ringing in the ears, a constant noise in both ears sounding like static on a radio between stations. At times it is a high pitch ringing. The plaintiff related this to the accident, although it does not appear to have been recorded in the pre-fall records of her family physician. Dr. Makin expressed the opinion it was outside his area of expertise as a neurologist and he could not determine its origins.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333</w:t>
      </w:r>
      <w:r>
        <w:rPr>
          <w:rFonts w:ascii="arial" w:eastAsia="arial" w:hAnsi="arial" w:cs="arial"/>
          <w:color w:val="000000"/>
          <w:sz w:val="20"/>
          <w:lang w:val="en-US" w:eastAsia="en-US" w:bidi="ar-SA"/>
        </w:rPr>
        <w:t>  She reported to Dr. Makin that she did not take any time off work following the accident but continued to work full time until the workplace fall. She then stopped working but tried to return on a gradual basis without success. Her lack of success was due to "a combination of factors" including neck pain, back pain, leg pain and headaches. The most "disabling" symptom was actually neck pain that would occur while sitting beside her student looking down at his or her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334</w:t>
      </w:r>
      <w:r>
        <w:rPr>
          <w:rFonts w:ascii="arial" w:eastAsia="arial" w:hAnsi="arial" w:cs="arial"/>
          <w:color w:val="000000"/>
          <w:sz w:val="20"/>
          <w:lang w:val="en-US" w:eastAsia="en-US" w:bidi="ar-SA"/>
        </w:rPr>
        <w:t>  After the workplace fall the plaintiff admitted to all of her symptoms becoming "much worse". She also began to have sensory symptoms in her feet including numbness and tingling made worse when she is short of breath.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335</w:t>
      </w:r>
      <w:r>
        <w:rPr>
          <w:rFonts w:ascii="arial" w:eastAsia="arial" w:hAnsi="arial" w:cs="arial"/>
          <w:color w:val="000000"/>
          <w:sz w:val="20"/>
          <w:lang w:val="en-US" w:eastAsia="en-US" w:bidi="ar-SA"/>
        </w:rPr>
        <w:t>  Neurological testing revealed "questionable Tinel's sign over the right median nerve at the wrist with parathesias radiating to the medial two digits of the hand. There was no Tinel's sign over the left median nerve or either ulnar nerve at the elbow." Tinel's signs are elicited by percussion over the affected area to determine if there is nerve irritation.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336</w:t>
      </w:r>
      <w:r>
        <w:rPr>
          <w:rFonts w:ascii="arial" w:eastAsia="arial" w:hAnsi="arial" w:cs="arial"/>
          <w:color w:val="000000"/>
          <w:sz w:val="20"/>
          <w:lang w:val="en-US" w:eastAsia="en-US" w:bidi="ar-SA"/>
        </w:rPr>
        <w:t>  Muscle power through all the representative muscle groups of the upper limbs was found to be normal, including muscles supplied by the ulnar nerve, the C8 nerve root, and the inferior brachial plexus. Muscle tone was normal throughout as were fine finger movements. According to Dr. Makin the "thoracic outlet maneuvers" of Rouse, Adson and Halstead, together with a hyper abduction test were also carried out. In each case, after 1 to 15 seconds, the plaintiff reported numbness and tingling in the medial two digits of each hand. Examination to light touch resulted in the same observations.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337</w:t>
      </w:r>
      <w:r>
        <w:rPr>
          <w:rFonts w:ascii="arial" w:eastAsia="arial" w:hAnsi="arial" w:cs="arial"/>
          <w:color w:val="000000"/>
          <w:sz w:val="20"/>
          <w:lang w:val="en-US" w:eastAsia="en-US" w:bidi="ar-SA"/>
        </w:rPr>
        <w:t>  As a control, Dr. Makin asked her to abduct her shoulders until her head was directly facing forward and flex her neck by about 30 degrees. After five to ten seconds she reported numbness and tingling identical to that reported in the other positions and with the same findings as when testing light touch. According to Dr. Makin, the maneuver he asked her to perform was not a thoracic outlet maneuver position and, as such, was indicative, in his mind, of non-organic symptom.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338</w:t>
      </w:r>
      <w:r>
        <w:rPr>
          <w:rFonts w:ascii="arial" w:eastAsia="arial" w:hAnsi="arial" w:cs="arial"/>
          <w:color w:val="000000"/>
          <w:sz w:val="20"/>
          <w:lang w:val="en-US" w:eastAsia="en-US" w:bidi="ar-SA"/>
        </w:rPr>
        <w:t>  In the opinion of Dr. Makin, neurogenic TOS is a rare condition. The examination of the plaintiff revealed nothing to suggest TOS with the "possible exception of the examination techniques generally referred to as 'thoracic outlet maneuvers'." Those tests were all seemingly indicative of TOS on the day of the examination "as they have been for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339</w:t>
      </w:r>
      <w:r>
        <w:rPr>
          <w:rFonts w:ascii="arial" w:eastAsia="arial" w:hAnsi="arial" w:cs="arial"/>
          <w:color w:val="000000"/>
          <w:sz w:val="20"/>
          <w:lang w:val="en-US" w:eastAsia="en-US" w:bidi="ar-SA"/>
        </w:rPr>
        <w:t>  Electrodiagnostic studies provided no further clarification. There was no evidence of either ulnar nerve compression of the elbow or neurogenic TOS. Dr. Makin conceded electrodiagnostic studies can occasionally be normal in both conditions. In his opinion, the single most likely diagnosis for the plaintiff's symptoms is either current or past low grade ulnar nerve compression at the elbow. Treatment would consist of ensuring the plaintiff doesn't lean on her elbows and to provide elbow pads to protect the nerves while asleep at night.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340</w:t>
      </w:r>
      <w:r>
        <w:rPr>
          <w:rFonts w:ascii="arial" w:eastAsia="arial" w:hAnsi="arial" w:cs="arial"/>
          <w:color w:val="000000"/>
          <w:sz w:val="20"/>
          <w:lang w:val="en-US" w:eastAsia="en-US" w:bidi="ar-SA"/>
        </w:rPr>
        <w:t>  As to the aetiology of the diagnosed ulnar neuropathy, Dr. Makin says that it cannot be attributed to the motor vehicle accident as there was no trauma to the elbow region or anywhere in the arms.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341</w:t>
      </w:r>
      <w:r>
        <w:rPr>
          <w:rFonts w:ascii="arial" w:eastAsia="arial" w:hAnsi="arial" w:cs="arial"/>
          <w:color w:val="000000"/>
          <w:sz w:val="20"/>
          <w:lang w:val="en-US" w:eastAsia="en-US" w:bidi="ar-SA"/>
        </w:rPr>
        <w:t>  As to the symptoms of headache and stiffness in the neck, back and shoulders associated with headache, Dr. Makin is of the view these areas are heavily dependent on self-report and cannot be estimated objectively.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342</w:t>
      </w:r>
      <w:r>
        <w:rPr>
          <w:rFonts w:ascii="arial" w:eastAsia="arial" w:hAnsi="arial" w:cs="arial"/>
          <w:color w:val="000000"/>
          <w:sz w:val="20"/>
          <w:lang w:val="en-US" w:eastAsia="en-US" w:bidi="ar-SA"/>
        </w:rPr>
        <w:t>  The ringing in her ears does not lend itself to a neurological explanation.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John Watterson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343</w:t>
      </w:r>
      <w:r>
        <w:rPr>
          <w:rFonts w:ascii="arial" w:eastAsia="arial" w:hAnsi="arial" w:cs="arial"/>
          <w:color w:val="000000"/>
          <w:sz w:val="20"/>
          <w:lang w:val="en-US" w:eastAsia="en-US" w:bidi="ar-SA"/>
        </w:rPr>
        <w:t>  Dr. John Watterson is a rheumatologist who assessed the plaintiff on behalf of the defendant in February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344</w:t>
      </w:r>
      <w:r>
        <w:rPr>
          <w:rFonts w:ascii="arial" w:eastAsia="arial" w:hAnsi="arial" w:cs="arial"/>
          <w:color w:val="000000"/>
          <w:sz w:val="20"/>
          <w:lang w:val="en-US" w:eastAsia="en-US" w:bidi="ar-SA"/>
        </w:rPr>
        <w:t>  She reported to him circumstances of the accident and the onset of neck and shoulder pain coupled with headache.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345</w:t>
      </w:r>
      <w:r>
        <w:rPr>
          <w:rFonts w:ascii="arial" w:eastAsia="arial" w:hAnsi="arial" w:cs="arial"/>
          <w:color w:val="000000"/>
          <w:sz w:val="20"/>
          <w:lang w:val="en-US" w:eastAsia="en-US" w:bidi="ar-SA"/>
        </w:rPr>
        <w:t>  Weeks following the accident she reported the intermittent blanching of the middle, ring and small fingers associated with dysesthesias in both hands. This was aggravated by use of her hands above her shoulders or running. She was assessed for vascular thoracic outlet syndrome with negative results. Imaging studies looking for impingement of the right brachial plexus and surrounding areas has been negative. Dr. Watterson noted the continuation of the plaintiff's employment until the January 2006 fall and continuation of avocational activities; albeit not at the levels they had been prior to the 2004 accident. The fall, in his opinion, resulted in her inability to continue full-time work and the onset of chronic pain disorder. Upon examination she fulfilled the classification criteria for fibromyalgia symptom including chronic pain in several quadrants of the body. This was evidenced by the presence of 11 out of 18 soft tissue tender points.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346</w:t>
      </w:r>
      <w:r>
        <w:rPr>
          <w:rFonts w:ascii="arial" w:eastAsia="arial" w:hAnsi="arial" w:cs="arial"/>
          <w:color w:val="000000"/>
          <w:sz w:val="20"/>
          <w:lang w:val="en-US" w:eastAsia="en-US" w:bidi="ar-SA"/>
        </w:rPr>
        <w:t>  X-rays displayed mild early degenerative disc disease and it is not, in the opinion of Dr. Watterson, the source of her current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347</w:t>
      </w:r>
      <w:r>
        <w:rPr>
          <w:rFonts w:ascii="arial" w:eastAsia="arial" w:hAnsi="arial" w:cs="arial"/>
          <w:color w:val="000000"/>
          <w:sz w:val="20"/>
          <w:lang w:val="en-US" w:eastAsia="en-US" w:bidi="ar-SA"/>
        </w:rPr>
        <w:t>  Her complaints of dysesthesias in the hands and feet are not as a result of any neurologic deficits which Dr. Watterson could determine.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348</w:t>
      </w:r>
      <w:r>
        <w:rPr>
          <w:rFonts w:ascii="arial" w:eastAsia="arial" w:hAnsi="arial" w:cs="arial"/>
          <w:color w:val="000000"/>
          <w:sz w:val="20"/>
          <w:lang w:val="en-US" w:eastAsia="en-US" w:bidi="ar-SA"/>
        </w:rPr>
        <w:t>  As to the issue of causation, Dr. Watterson opined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Kovac had sustained soft tissue injuries to the neck and back in the motor vehicle accident [of] February 10, 2004. These did not have [an] impact on vocational activities. They had some impact on avocational activities. Her symptoms were persistent two years following the motor vehicle accident. In my opinion, there would have been probably persistent symptoms not causing impairment. In my opinion, her symptoms would probably improve slowly with time although full resolution may not occur.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has symptoms of dysesthesias in the hands associated with vaso motor changes. Symptom onset was temporarily related to [the] motor vehicle accident [of] February 10, 2004. Etiology for this complaint is not clear.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soft tissue injuries sustained in the motor vehicle accident [of] February 10, 2004 would not be expected, in my opinion, to cause future employment loss. There was an impact on non-vocational activities which I have outlined in depth above.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Unfortunately, Ms. Kovac sustained further injury [on] January 16, 2006. The focus of injury was lower back with some aggravation of previous neck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349</w:t>
      </w:r>
      <w:r>
        <w:rPr>
          <w:rFonts w:ascii="arial" w:eastAsia="arial" w:hAnsi="arial" w:cs="arial"/>
          <w:color w:val="000000"/>
          <w:sz w:val="20"/>
          <w:lang w:val="en-US" w:eastAsia="en-US" w:bidi="ar-SA"/>
        </w:rPr>
        <w:t>  In the opinion of Dr. Watterson the development of her symptoms of chronic pain and the result of functional impairment are "more related to a workplace injury sustained January 16, 2006".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Elisabeth Zoffmann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350</w:t>
      </w:r>
      <w:r>
        <w:rPr>
          <w:rFonts w:ascii="arial" w:eastAsia="arial" w:hAnsi="arial" w:cs="arial"/>
          <w:color w:val="000000"/>
          <w:sz w:val="20"/>
          <w:lang w:val="en-US" w:eastAsia="en-US" w:bidi="ar-SA"/>
        </w:rPr>
        <w:t>  Dr. Elisabeth Zoffmann is a psychiatrist. She examined the plaintiff at the behest of the defendant in September 2009 to both provide an assessment and commentary on the report of Dr. Holly Stepaniuk.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351</w:t>
      </w:r>
      <w:r>
        <w:rPr>
          <w:rFonts w:ascii="arial" w:eastAsia="arial" w:hAnsi="arial" w:cs="arial"/>
          <w:color w:val="000000"/>
          <w:sz w:val="20"/>
          <w:lang w:val="en-US" w:eastAsia="en-US" w:bidi="ar-SA"/>
        </w:rPr>
        <w:t>  The salient features of Dr. Zoffmann's opinion are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Stepaniuk does not describe eliciting the relevant criterion necessary for diagnosing PTSD in the body of her report but seems to rely on the symptom-checklist endorsed by Ms. Kovac. In direct interview I could not elicit complaints of intrusions, recurrent dreams or unpleasant memories related to the MVA. Ms. Kovac described nervousness and vigilance when driving or being a passenger but did not describe avoiding driving. The Feb '04 MVA was described without difficulty. Ms. Kovac did not fear being hurt or killed at the time though she was shocked and upset and had typical whip-lash type symptoms for some months after the accident. She remembers being happy about her wedding(s). These descriptions and the intact functioning after the MVA negate a diagnosis of Acute Traumatic stress or PTSD.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352</w:t>
      </w:r>
      <w:r>
        <w:rPr>
          <w:rFonts w:ascii="arial" w:eastAsia="arial" w:hAnsi="arial" w:cs="arial"/>
          <w:color w:val="000000"/>
          <w:sz w:val="20"/>
          <w:lang w:val="en-US" w:eastAsia="en-US" w:bidi="ar-SA"/>
        </w:rPr>
        <w:t xml:space="preserve">  Dr. Zoffmann also noted that other stressors had been ignored including the failed attempts to conceive a child, attempted and failed </w:t>
      </w:r>
      <w:r>
        <w:rPr>
          <w:rFonts w:ascii="arial" w:eastAsia="arial" w:hAnsi="arial" w:cs="arial"/>
          <w:i/>
          <w:color w:val="000000"/>
          <w:sz w:val="20"/>
          <w:lang w:val="en-US" w:eastAsia="en-US" w:bidi="ar-SA"/>
        </w:rPr>
        <w:t>in vitro</w:t>
      </w:r>
      <w:r>
        <w:rPr>
          <w:rFonts w:ascii="arial" w:eastAsia="arial" w:hAnsi="arial" w:cs="arial"/>
          <w:color w:val="000000"/>
          <w:sz w:val="20"/>
          <w:lang w:val="en-US" w:eastAsia="en-US" w:bidi="ar-SA"/>
        </w:rPr>
        <w:t xml:space="preserve"> fertilization (now three times) and ongoing stress between Mrs. Kovac and her husband over her continuing symptoms. At the time of the assessment, the plaintiff was working through the appeals process against decisions made by WorkSafeBC about her disability.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353</w:t>
      </w:r>
      <w:r>
        <w:rPr>
          <w:rFonts w:ascii="arial" w:eastAsia="arial" w:hAnsi="arial" w:cs="arial"/>
          <w:color w:val="000000"/>
          <w:sz w:val="20"/>
          <w:lang w:val="en-US" w:eastAsia="en-US" w:bidi="ar-SA"/>
        </w:rPr>
        <w:t>  Dr. Zoffmann agreed that the plaintiff was suffering all of the signs of moderate to severe depression and anxiety but noted the period of intact functioning prior to the fall does not support the conclusion of a clear connection between the February accident and her current level of psychiatric illness. In the opinion of Dr. Zoffmann, the severe pain and subsequent loss of function coupled with increasing complaints of pain, insomnia and distress following the work-related accident are the more likely cause of the plaintiff's current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354</w:t>
      </w:r>
      <w:r>
        <w:rPr>
          <w:rFonts w:ascii="arial" w:eastAsia="arial" w:hAnsi="arial" w:cs="arial"/>
          <w:color w:val="000000"/>
          <w:sz w:val="20"/>
          <w:lang w:val="en-US" w:eastAsia="en-US" w:bidi="ar-SA"/>
        </w:rPr>
        <w:t>  Further, Dr. Zoffmann's review of the clinical records indicate to her that the depression symptoms and treatment did not start until after the first trial of Clomiphene, well after the fall, and in the context of the ongoing conflict with WorkSafeBC and the pain and dysfunction of the injuries she sustained in the fall.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Non-Medical Experts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355</w:t>
      </w:r>
      <w:r>
        <w:rPr>
          <w:rFonts w:ascii="arial" w:eastAsia="arial" w:hAnsi="arial" w:cs="arial"/>
          <w:color w:val="000000"/>
          <w:sz w:val="20"/>
          <w:lang w:val="en-US" w:eastAsia="en-US" w:bidi="ar-SA"/>
        </w:rPr>
        <w:t>  In addition to the medical experts I have referenced, the plaintiff tendered reports from Diana Robertson, an occupational therapist, and from Derek Nordin, a vocational consultant, together with Darren Benning, an economist.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356</w:t>
      </w:r>
      <w:r>
        <w:rPr>
          <w:rFonts w:ascii="arial" w:eastAsia="arial" w:hAnsi="arial" w:cs="arial"/>
          <w:color w:val="000000"/>
          <w:sz w:val="20"/>
          <w:lang w:val="en-US" w:eastAsia="en-US" w:bidi="ar-SA"/>
        </w:rPr>
        <w:t>  Ms. Robertson detailed the various modalities of future treatment required to optimize the plaintiff's vocational performance and enjoyment of social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357</w:t>
      </w:r>
      <w:r>
        <w:rPr>
          <w:rFonts w:ascii="arial" w:eastAsia="arial" w:hAnsi="arial" w:cs="arial"/>
          <w:color w:val="000000"/>
          <w:sz w:val="20"/>
          <w:lang w:val="en-US" w:eastAsia="en-US" w:bidi="ar-SA"/>
        </w:rPr>
        <w:t>  The views of Mr. Nordin and Mr. Benning, as to the vocational choices and economic impact of the plaintiff's current situation, were not put in issue by the defendant and I need not comment on them other than to state that the defendant's position is not that the plaintiff is capable of returning to work but that her current situation is unrelated to the defendant's conduct and, as such, is not compensable.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Position of the Parties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358</w:t>
      </w:r>
      <w:r>
        <w:rPr>
          <w:rFonts w:ascii="arial" w:eastAsia="arial" w:hAnsi="arial" w:cs="arial"/>
          <w:color w:val="000000"/>
          <w:sz w:val="20"/>
          <w:lang w:val="en-US" w:eastAsia="en-US" w:bidi="ar-SA"/>
        </w:rPr>
        <w:t>  The plaintiff suggests the fall was caused as a result of the symptoms associated with the accident, specifically the TOS, and says the causal chain between the accident of 2004 and the plaintiff's current symptoms is made out. Thus, the defendant is liable for the consequent damages from the accident and the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359</w:t>
      </w:r>
      <w:r>
        <w:rPr>
          <w:rFonts w:ascii="arial" w:eastAsia="arial" w:hAnsi="arial" w:cs="arial"/>
          <w:color w:val="000000"/>
          <w:sz w:val="20"/>
          <w:lang w:val="en-US" w:eastAsia="en-US" w:bidi="ar-SA"/>
        </w:rPr>
        <w:t>  Failing that, the plaintiff contends that the fall was "simply more of the same". That is to say the accident and the fall combined to form one indivisible overriding template of symptoms which have caused the plaintiff to suffer chronic pain and depression overlaid upon TOS and PTSD rendering her unemployable on a full-time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360</w:t>
      </w:r>
      <w:r>
        <w:rPr>
          <w:rFonts w:ascii="arial" w:eastAsia="arial" w:hAnsi="arial" w:cs="arial"/>
          <w:color w:val="000000"/>
          <w:sz w:val="20"/>
          <w:lang w:val="en-US" w:eastAsia="en-US" w:bidi="ar-SA"/>
        </w:rPr>
        <w:t>  The result, she says, is an award of non-pecuniary damages in the range of $140,000; past net wage loss of approximately $188,000; loss or impairment of future earning capacity of $1,450,000; loss of pension benefits of approximately $217,000; future care cost of $825,000 and special damages of $29,000. To those figures must be added an income tax gross up of $189,000 to $288,000 together with management fees of $50,000.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361</w:t>
      </w:r>
      <w:r>
        <w:rPr>
          <w:rFonts w:ascii="arial" w:eastAsia="arial" w:hAnsi="arial" w:cs="arial"/>
          <w:color w:val="000000"/>
          <w:sz w:val="20"/>
          <w:lang w:val="en-US" w:eastAsia="en-US" w:bidi="ar-SA"/>
        </w:rPr>
        <w:t>  Lastly, an in trust claim of $15,000 is suggested in respect of services provided by Mike Kovac as compensation for tasks assumed by him for the benefit of the plaintiff. All arise out of services provided post-fall.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362</w:t>
      </w:r>
      <w:r>
        <w:rPr>
          <w:rFonts w:ascii="arial" w:eastAsia="arial" w:hAnsi="arial" w:cs="arial"/>
          <w:color w:val="000000"/>
          <w:sz w:val="20"/>
          <w:lang w:val="en-US" w:eastAsia="en-US" w:bidi="ar-SA"/>
        </w:rPr>
        <w:t>  The defendant does not take issue with the plaintiff's calculation of the various heads of damages as being fair compensation for the plaintiff's current medical complaints. No contrary theory regarding the assessment of damages was advanced nor was the economic evidence challenged. It is acknowledged by the defendant that the plaintiff suffers from a permanent partial disability and will experience ongoing symptoms for the foreseeable future and likely forever.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363</w:t>
      </w:r>
      <w:r>
        <w:rPr>
          <w:rFonts w:ascii="arial" w:eastAsia="arial" w:hAnsi="arial" w:cs="arial"/>
          <w:color w:val="000000"/>
          <w:sz w:val="20"/>
          <w:lang w:val="en-US" w:eastAsia="en-US" w:bidi="ar-SA"/>
        </w:rPr>
        <w:t>  The defendant says the plaintiff has not established the necessary causal link between the harm caused by the defendant and the plaintiff's current condition. He suggests scepticism when it comes to assessing the plaintiff's evidence concerning her medical state prior to the fall and points to what he characterizes as inconsistencies between her reported condition and her reports to the GP, from time to time, following the motor vehicle accident together with her submissions to WorkSafeBC. The defendant says her evidence regarding her pre-fall condition is entirely inconsistent with Exhibit 15, the claim for WCB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364</w:t>
      </w:r>
      <w:r>
        <w:rPr>
          <w:rFonts w:ascii="arial" w:eastAsia="arial" w:hAnsi="arial" w:cs="arial"/>
          <w:color w:val="000000"/>
          <w:sz w:val="20"/>
          <w:lang w:val="en-US" w:eastAsia="en-US" w:bidi="ar-SA"/>
        </w:rPr>
        <w:t>  The defendant says that the origins of the plaintiff's current medical situation cannot be traced to the accident for which he admits responsibility but rather was caused wholly by the workplace fall. He contends that the plaintiff and her family and friends have misstated or exaggerated the extent of her injuries from the accident and that the plaintiff's experts have accepted, at face value, reports of underlying symptomology from the accident which have influenced their views as to the role of the accident in the plaintiff's current level of disability.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365</w:t>
      </w:r>
      <w:r>
        <w:rPr>
          <w:rFonts w:ascii="arial" w:eastAsia="arial" w:hAnsi="arial" w:cs="arial"/>
          <w:color w:val="000000"/>
          <w:sz w:val="20"/>
          <w:lang w:val="en-US" w:eastAsia="en-US" w:bidi="ar-SA"/>
        </w:rPr>
        <w:t>  The defendant is responsible, according to his counsel, for an award of damages representing a moderate soft tissue injury of $20,000 to $50,000 depending upon whether or not the court concludes the plaintiff's hand and arm symptoms are related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366</w:t>
      </w:r>
      <w:r>
        <w:rPr>
          <w:rFonts w:ascii="arial" w:eastAsia="arial" w:hAnsi="arial" w:cs="arial"/>
          <w:color w:val="000000"/>
          <w:sz w:val="20"/>
          <w:lang w:val="en-US" w:eastAsia="en-US" w:bidi="ar-SA"/>
        </w:rPr>
        <w:t>  Even accepting the diagnosis of TOS is correct and was a direct result of the accident, the defendant says that TOS is not disabling and none of the heads of damage relating to income loss, cost of future care or special damages can be visited upon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367</w:t>
      </w:r>
      <w:r>
        <w:rPr>
          <w:rFonts w:ascii="arial" w:eastAsia="arial" w:hAnsi="arial" w:cs="arial"/>
          <w:color w:val="000000"/>
          <w:sz w:val="20"/>
          <w:lang w:val="en-US" w:eastAsia="en-US" w:bidi="ar-SA"/>
        </w:rPr>
        <w:t>  In assessing the plaintiff's pre-fall medical condition, the defendant says an adverse inference should be drawn against the plaintiff for her failure to put certain evidence before the Court.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Adverse Inferences for Failing to Call a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368</w:t>
      </w:r>
      <w:r>
        <w:rPr>
          <w:rFonts w:ascii="arial" w:eastAsia="arial" w:hAnsi="arial" w:cs="arial"/>
          <w:color w:val="000000"/>
          <w:sz w:val="20"/>
          <w:lang w:val="en-US" w:eastAsia="en-US" w:bidi="ar-SA"/>
        </w:rPr>
        <w:t>  The defendant seeks an adverse inference against the plaintiff for failure to call her father, the teaching assistant Mike Baldeen, the parents of the student Jessica Lando and several teaching assistants whom worked with her between the accident and the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369</w:t>
      </w:r>
      <w:r>
        <w:rPr>
          <w:rFonts w:ascii="arial" w:eastAsia="arial" w:hAnsi="arial" w:cs="arial"/>
          <w:color w:val="000000"/>
          <w:sz w:val="20"/>
          <w:lang w:val="en-US" w:eastAsia="en-US" w:bidi="ar-SA"/>
        </w:rPr>
        <w:t>  According to the defendant, it was incumbent on the plaintiff to call those witnesses to corroborate her evidence concerning her leaving St. Helen's during lunch, the role she assumed in coaching after the accident, the occurrence of the "Jessica Lando" incident and modifications said to have occurred in her teaching methods as a result of her accident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370</w:t>
      </w:r>
      <w:r>
        <w:rPr>
          <w:rFonts w:ascii="arial" w:eastAsia="arial" w:hAnsi="arial" w:cs="arial"/>
          <w:color w:val="000000"/>
          <w:sz w:val="20"/>
          <w:lang w:val="en-US" w:eastAsia="en-US" w:bidi="ar-SA"/>
        </w:rPr>
        <w:t>  Mike Baldeen was the teacher's assistant said to have undertaken the more physical components of the plaintiff's coaching duties post-accident. Her father is said to have driven her to work following the accident, presumably because of her anxiety surrounding driving coupled with symptoms from the accident which made driving uncomfortable.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371</w:t>
      </w:r>
      <w:r>
        <w:rPr>
          <w:rFonts w:ascii="arial" w:eastAsia="arial" w:hAnsi="arial" w:cs="arial"/>
          <w:color w:val="000000"/>
          <w:sz w:val="20"/>
          <w:lang w:val="en-US" w:eastAsia="en-US" w:bidi="ar-SA"/>
        </w:rPr>
        <w:t>  Teaching assistants Rosa Bosa and Tina Parasallo worked with the plaintiff in her classroom in the two years following the accident. Each, says the defendant, would have been in a position to corroborate the plaintiff's evidence of limitations in the classroom in the two years preceding the fall. Neither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372</w:t>
      </w:r>
      <w:r>
        <w:rPr>
          <w:rFonts w:ascii="arial" w:eastAsia="arial" w:hAnsi="arial" w:cs="arial"/>
          <w:color w:val="000000"/>
          <w:sz w:val="20"/>
          <w:lang w:val="en-US" w:eastAsia="en-US" w:bidi="ar-SA"/>
        </w:rPr>
        <w:t>  In the face of Waldemar Sambor's evidence concerning Jessica Lando, the defendant says it was incumbent on the plaintiff to call one of her parents to corroborate her evidence as to the events leading to Jessica's withdrawal from the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McIlvenna v. Viebig,</w:t>
      </w:r>
      <w:r>
        <w:rPr>
          <w:rFonts w:ascii="arial" w:eastAsia="arial" w:hAnsi="arial" w:cs="arial"/>
          <w:color w:val="000000"/>
          <w:sz w:val="20"/>
          <w:lang w:val="en-US" w:eastAsia="en-US" w:bidi="ar-SA"/>
        </w:rPr>
        <w:t xml:space="preserve"> </w:t>
      </w:r>
      <w:hyperlink r:id="rId345" w:history="1">
        <w:r>
          <w:rPr>
            <w:rFonts w:ascii="arial" w:eastAsia="arial" w:hAnsi="arial" w:cs="arial"/>
            <w:i/>
            <w:color w:val="0077CC"/>
            <w:sz w:val="20"/>
            <w:u w:val="single"/>
            <w:shd w:val="clear" w:color="auto" w:fill="FFFFFF"/>
            <w:lang w:val="en-US" w:eastAsia="en-US" w:bidi="ar-SA"/>
          </w:rPr>
          <w:t>2012 BCSC 218</w:t>
        </w:r>
      </w:hyperlink>
      <w:r>
        <w:rPr>
          <w:rFonts w:ascii="arial" w:eastAsia="arial" w:hAnsi="arial" w:cs="arial"/>
          <w:color w:val="000000"/>
          <w:sz w:val="20"/>
          <w:lang w:val="en-US" w:eastAsia="en-US" w:bidi="ar-SA"/>
        </w:rPr>
        <w:t>, Mr. Justice Sigurdson considered a similar submission involving the plaintiff's failure to call her father with respect to vehicle positioning after the accident in which she was involved; a matter said to be germane to the issue of liability given the plaintiff's limited recollection of the circumstances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374</w:t>
      </w:r>
      <w:r>
        <w:rPr>
          <w:rFonts w:ascii="arial" w:eastAsia="arial" w:hAnsi="arial" w:cs="arial"/>
          <w:color w:val="000000"/>
          <w:sz w:val="20"/>
          <w:lang w:val="en-US" w:eastAsia="en-US" w:bidi="ar-SA"/>
        </w:rPr>
        <w:t>  In declining to draw such an inference, he summarized the doctrine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[70] The law with respect to adverse inferences in civil cases when witnesses are not called is summarized in </w:t>
      </w:r>
      <w:r>
        <w:rPr>
          <w:rFonts w:ascii="arial" w:eastAsia="arial" w:hAnsi="arial" w:cs="arial"/>
          <w:i/>
          <w:color w:val="000000"/>
          <w:sz w:val="20"/>
          <w:lang w:val="en-US" w:eastAsia="en-US" w:bidi="ar-SA"/>
        </w:rPr>
        <w:t>Halsbury's Laws of Canada</w:t>
      </w:r>
      <w:r>
        <w:rPr>
          <w:rFonts w:ascii="arial" w:eastAsia="arial" w:hAnsi="arial" w:cs="arial"/>
          <w:color w:val="000000"/>
          <w:sz w:val="20"/>
          <w:lang w:val="en-US" w:eastAsia="en-US" w:bidi="ar-SA"/>
        </w:rPr>
        <w:t xml:space="preserve"> [Civil Procedure II, 1st ed (Markham: LexisNexis, 2008) at para 228; Evidence, 1st ed (Markham: LexisNexis 2010), at para 14] under both </w:t>
      </w:r>
      <w:r>
        <w:rPr>
          <w:rFonts w:ascii="arial" w:eastAsia="arial" w:hAnsi="arial" w:cs="arial"/>
          <w:i/>
          <w:color w:val="000000"/>
          <w:sz w:val="20"/>
          <w:lang w:val="en-US" w:eastAsia="en-US" w:bidi="ar-SA"/>
        </w:rPr>
        <w:t>Civil Procedure</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Evidence</w:t>
      </w:r>
      <w:r>
        <w:rPr>
          <w:rFonts w:ascii="arial" w:eastAsia="arial" w:hAnsi="arial" w:cs="arial"/>
          <w:color w:val="000000"/>
          <w:sz w:val="20"/>
          <w:lang w:val="en-US" w:eastAsia="en-US" w:bidi="ar-SA"/>
        </w:rPr>
        <w:t xml:space="preserve"> headings, respectively,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highly unusual for a party not to testify in a civil trial. The court may draw an adverse inference from the fact that a party fails to testify, provided that it is reasonable in the circumstances to do so. In order for an adverse inference to be drawn, there must be a dispute as to those facts concerning which the party would be competent to testify. Furthermore, if the plaintiff has failed to establish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against the defendant, no adverse inference will be drawn should the defendant not testify. Nor is a party required to testify to rebut allegations that are plainly absurd. More generally, an adverse inference will not be drawn where the effect of drawing such an inference is to reverse the onus of proof.</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There is no obligation on any party to call any particular witnesses. However, the trier of fact may draw an adverse inference from a party's failure to call a witness whose testimony would be expected to assist the party's case.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[71] Similarly, the Canadian Encyclopedic Digest, CED (West. 4th), vol 26, title 61, describes when an adverse inference should be drawn, and in particular, what exactly the inference is that is drawn (at ss. 199-200):</w:t>
      </w:r>
    </w:p>
    <w:p>
      <w:pPr>
        <w:numPr>
          <w:numId w:val="6"/>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199 While the parties to a civil action have complete discretion regarding which witnesses to call, there are dangers in not advancing certain testimony. Where the plaintiff chooses not to tender important witnesses, it may result in a failure to meet the burden of proof. </w:t>
      </w:r>
      <w:r>
        <w:rPr>
          <w:rFonts w:ascii="arial" w:eastAsia="arial" w:hAnsi="arial" w:cs="arial"/>
          <w:color w:val="000000"/>
          <w:sz w:val="20"/>
          <w:u w:val="single"/>
          <w:lang w:val="en-US" w:eastAsia="en-US" w:bidi="ar-SA"/>
        </w:rPr>
        <w:t>In a significant early decision, the Supreme Court indicated that the failure to call a witness with potentially important evidence to a party's case was grounds for the trier of fact to presume that the evidence would have been adverse in nature. For a time, it was generally accepted that this judgment mandated an adverse inference to be drawn in any case where a party failed to call a particular witness who might have had facts bearing on the case</w:t>
      </w: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200 More recently, the courts have qualified this approach, recognizing that an adverse inference should not arise in every case where a party failed to call a witness with evidence material to its case. Advances in disclosure and exchange of documents between parties mean that both sides now have equal access to information, and can call witnesses who might assist them. </w:t>
      </w:r>
      <w:r>
        <w:rPr>
          <w:rFonts w:ascii="arial" w:eastAsia="arial" w:hAnsi="arial" w:cs="arial"/>
          <w:color w:val="000000"/>
          <w:sz w:val="20"/>
          <w:u w:val="single"/>
          <w:lang w:val="en-US" w:eastAsia="en-US" w:bidi="ar-SA"/>
        </w:rPr>
        <w:t>Today, the adverse inference is discretionary, and should not be drawn unless it is warranted in all the circumstances. In particular, the judge should consider whether: there is a legitimate explanation for failing to call the witness; the witness is within the exclusive control of the party or is equally available to both parties; and the witness has key evidence to provide or is the best person to provide the evidence in question.</w:t>
      </w:r>
      <w:r>
        <w:rPr>
          <w:rFonts w:ascii="arial" w:eastAsia="arial" w:hAnsi="arial" w:cs="arial"/>
          <w:color w:val="000000"/>
          <w:sz w:val="20"/>
          <w:lang w:val="en-US" w:eastAsia="en-US" w:bidi="ar-SA"/>
        </w:rPr>
        <w:t xml:space="preserve"> In a case before a jury, the trial judge should charge the jury that it is appropriate to infer that a failure to call material evidence uniquely available to a party was an indication that such evidence would not have been favourable to that party, but that jurors are not obliged to draw such an inference.</w:t>
      </w:r>
    </w:p>
    <w:p>
      <w:pPr>
        <w:spacing w:before="120" w:line="260" w:lineRule="atLeast"/>
        <w:ind w:left="1800"/>
        <w:rPr>
          <w:rFonts w:ascii="arial" w:eastAsia="arial" w:hAnsi="arial" w:cs="arial"/>
          <w:sz w:val="20"/>
          <w:lang w:val="en-US" w:eastAsia="en-US" w:bidi="ar-SA"/>
        </w:rPr>
      </w:pPr>
      <w:r>
        <w:rPr>
          <w:rFonts w:ascii="arial" w:eastAsia="arial" w:hAnsi="arial" w:cs="arial"/>
          <w:color w:val="000000"/>
          <w:sz w:val="20"/>
          <w:lang w:val="en-US" w:eastAsia="en-US" w:bidi="ar-SA"/>
        </w:rPr>
        <w:t xml:space="preserve">[Emphasis added in </w:t>
      </w:r>
      <w:r>
        <w:rPr>
          <w:rFonts w:ascii="arial" w:eastAsia="arial" w:hAnsi="arial" w:cs="arial"/>
          <w:i/>
          <w:color w:val="000000"/>
          <w:sz w:val="20"/>
          <w:lang w:val="en-US" w:eastAsia="en-US" w:bidi="ar-SA"/>
        </w:rPr>
        <w:t>McIlvenna.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375</w:t>
      </w:r>
      <w:r>
        <w:rPr>
          <w:rFonts w:ascii="arial" w:eastAsia="arial" w:hAnsi="arial" w:cs="arial"/>
          <w:color w:val="000000"/>
          <w:sz w:val="20"/>
          <w:lang w:val="en-US" w:eastAsia="en-US" w:bidi="ar-SA"/>
        </w:rPr>
        <w:t>  No explanation of was advanced by the plaintiff for failure to call either as a witness. However, with respect to Mr. Baldeen, there is no suggestion that he was unavailable, via subpoena, to testify on behalf of the defendant. Other St. Helen's employees, notably Mr. Sambor, Ms. Collins and Ms. Dlje, all testified in response to a subpoena issued to them to compel their attendance at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376</w:t>
      </w:r>
      <w:r>
        <w:rPr>
          <w:rFonts w:ascii="arial" w:eastAsia="arial" w:hAnsi="arial" w:cs="arial"/>
          <w:color w:val="000000"/>
          <w:sz w:val="20"/>
          <w:lang w:val="en-US" w:eastAsia="en-US" w:bidi="ar-SA"/>
        </w:rPr>
        <w:t>  As to the plaintiff's father, the evidence he could proffer as to the plaintiff's anxiety while driving or pain symptoms would have, in my view, been in large measure repetition of that which I heard from a number of collateral witnesses close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377</w:t>
      </w:r>
      <w:r>
        <w:rPr>
          <w:rFonts w:ascii="arial" w:eastAsia="arial" w:hAnsi="arial" w:cs="arial"/>
          <w:color w:val="000000"/>
          <w:sz w:val="20"/>
          <w:lang w:val="en-US" w:eastAsia="en-US" w:bidi="ar-SA"/>
        </w:rPr>
        <w:t>  In the circumstances, I decline to make the inference sought.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 and Findings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Analysis and 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378</w:t>
      </w:r>
      <w:r>
        <w:rPr>
          <w:rFonts w:ascii="arial" w:eastAsia="arial" w:hAnsi="arial" w:cs="arial"/>
          <w:color w:val="000000"/>
          <w:sz w:val="20"/>
          <w:lang w:val="en-US" w:eastAsia="en-US" w:bidi="ar-SA"/>
        </w:rPr>
        <w:t>  Causation is a question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379</w:t>
      </w:r>
      <w:r>
        <w:rPr>
          <w:rFonts w:ascii="arial" w:eastAsia="arial" w:hAnsi="arial" w:cs="arial"/>
          <w:color w:val="000000"/>
          <w:sz w:val="20"/>
          <w:lang w:val="en-US" w:eastAsia="en-US" w:bidi="ar-SA"/>
        </w:rPr>
        <w:t xml:space="preserve">  The leading decision on causation remains the 1996 Supreme Court of Canada decision of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65"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Mr. Justice Major, writing for the majority, outlined the general principles with respect to causation at paras. 13-16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13 Causation is established where the plaintiff proves to the civil standard on a balance of probabilities that the defendant caused or contributed to the injury: </w:t>
      </w:r>
      <w:r>
        <w:rPr>
          <w:rFonts w:ascii="arial" w:eastAsia="arial" w:hAnsi="arial" w:cs="arial"/>
          <w:i/>
          <w:color w:val="000000"/>
          <w:sz w:val="20"/>
          <w:lang w:val="en-US" w:eastAsia="en-US" w:bidi="ar-SA"/>
        </w:rPr>
        <w:t>Snell v. Farrell</w:t>
      </w:r>
      <w:r>
        <w:rPr>
          <w:rFonts w:ascii="arial" w:eastAsia="arial" w:hAnsi="arial" w:cs="arial"/>
          <w:color w:val="000000"/>
          <w:sz w:val="20"/>
          <w:lang w:val="en-US" w:eastAsia="en-US" w:bidi="ar-SA"/>
        </w:rPr>
        <w:t xml:space="preserve">, </w:t>
      </w:r>
      <w:hyperlink r:id="rId346" w:history="1">
        <w:r>
          <w:rPr>
            <w:rFonts w:ascii="arial" w:eastAsia="arial" w:hAnsi="arial" w:cs="arial"/>
            <w:i/>
            <w:color w:val="0077CC"/>
            <w:sz w:val="20"/>
            <w:u w:val="single"/>
            <w:shd w:val="clear" w:color="auto" w:fill="FFFFFF"/>
            <w:lang w:val="en-US" w:eastAsia="en-US" w:bidi="ar-SA"/>
          </w:rPr>
          <w:t>[1990] 2 S.C.R. 311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McGhee v. National Coal Board</w:t>
      </w:r>
      <w:r>
        <w:rPr>
          <w:rFonts w:ascii="arial" w:eastAsia="arial" w:hAnsi="arial" w:cs="arial"/>
          <w:color w:val="000000"/>
          <w:sz w:val="20"/>
          <w:lang w:val="en-US" w:eastAsia="en-US" w:bidi="ar-SA"/>
        </w:rPr>
        <w:t>, [1972] 3 All E.R. 1008 (H.L.).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14 The general, but not conclusive, test for causation is the "but for" test, which requires the plaintiff to show that the injury would not have occurred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w:t>
      </w:r>
      <w:r>
        <w:rPr>
          <w:rFonts w:ascii="arial" w:eastAsia="arial" w:hAnsi="arial" w:cs="arial"/>
          <w:i/>
          <w:color w:val="000000"/>
          <w:sz w:val="20"/>
          <w:lang w:val="en-US" w:eastAsia="en-US" w:bidi="ar-SA"/>
        </w:rPr>
        <w:t>Horsley v. MacLaren</w:t>
      </w:r>
      <w:r>
        <w:rPr>
          <w:rFonts w:ascii="arial" w:eastAsia="arial" w:hAnsi="arial" w:cs="arial"/>
          <w:color w:val="000000"/>
          <w:sz w:val="20"/>
          <w:lang w:val="en-US" w:eastAsia="en-US" w:bidi="ar-SA"/>
        </w:rPr>
        <w:t xml:space="preserve">, </w:t>
      </w:r>
      <w:hyperlink r:id="rId347" w:history="1">
        <w:r>
          <w:rPr>
            <w:rFonts w:ascii="arial" w:eastAsia="arial" w:hAnsi="arial" w:cs="arial"/>
            <w:i/>
            <w:color w:val="0077CC"/>
            <w:sz w:val="20"/>
            <w:u w:val="single"/>
            <w:shd w:val="clear" w:color="auto" w:fill="FFFFFF"/>
            <w:lang w:val="en-US" w:eastAsia="en-US" w:bidi="ar-SA"/>
          </w:rPr>
          <w:t>[1972] S.C.R. 441</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 The "but for" test is unworkable in some circumstances, so the courts have recognized that causation is established where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"materially contributed" to the occurrence of the injury: </w:t>
      </w:r>
      <w:r>
        <w:rPr>
          <w:rFonts w:ascii="arial" w:eastAsia="arial" w:hAnsi="arial" w:cs="arial"/>
          <w:i/>
          <w:color w:val="000000"/>
          <w:sz w:val="20"/>
          <w:lang w:val="en-US" w:eastAsia="en-US" w:bidi="ar-SA"/>
        </w:rPr>
        <w:t>Myers v. Peel (County) Board of Education</w:t>
      </w:r>
      <w:r>
        <w:rPr>
          <w:rFonts w:ascii="arial" w:eastAsia="arial" w:hAnsi="arial" w:cs="arial"/>
          <w:color w:val="000000"/>
          <w:sz w:val="20"/>
          <w:lang w:val="en-US" w:eastAsia="en-US" w:bidi="ar-SA"/>
        </w:rPr>
        <w:t xml:space="preserve">, </w:t>
      </w:r>
      <w:hyperlink r:id="rId348" w:history="1">
        <w:r>
          <w:rPr>
            <w:rFonts w:ascii="arial" w:eastAsia="arial" w:hAnsi="arial" w:cs="arial"/>
            <w:i/>
            <w:color w:val="0077CC"/>
            <w:sz w:val="20"/>
            <w:u w:val="single"/>
            <w:shd w:val="clear" w:color="auto" w:fill="FFFFFF"/>
            <w:lang w:val="en-US" w:eastAsia="en-US" w:bidi="ar-SA"/>
          </w:rPr>
          <w:t>[1981] 2 S.C.R. 21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Bonnington Castings, Ltd. v. Wardlaw</w:t>
      </w:r>
      <w:r>
        <w:rPr>
          <w:rFonts w:ascii="arial" w:eastAsia="arial" w:hAnsi="arial" w:cs="arial"/>
          <w:color w:val="000000"/>
          <w:sz w:val="20"/>
          <w:lang w:val="en-US" w:eastAsia="en-US" w:bidi="ar-SA"/>
        </w:rPr>
        <w:t xml:space="preserve">, [1956] 1 All E.R. 615 (H.L.), </w:t>
      </w:r>
      <w:r>
        <w:rPr>
          <w:rFonts w:ascii="arial" w:eastAsia="arial" w:hAnsi="arial" w:cs="arial"/>
          <w:i/>
          <w:color w:val="000000"/>
          <w:sz w:val="20"/>
          <w:lang w:val="en-US" w:eastAsia="en-US" w:bidi="ar-SA"/>
        </w:rPr>
        <w:t>McGhee v. National Coal Board, supra</w:t>
      </w:r>
      <w:r>
        <w:rPr>
          <w:rFonts w:ascii="arial" w:eastAsia="arial" w:hAnsi="arial" w:cs="arial"/>
          <w:color w:val="000000"/>
          <w:sz w:val="20"/>
          <w:lang w:val="en-US" w:eastAsia="en-US" w:bidi="ar-SA"/>
        </w:rPr>
        <w:t xml:space="preserve">. A contributing factor is material if it falls outside the </w:t>
      </w:r>
      <w:r>
        <w:rPr>
          <w:rFonts w:ascii="arial" w:eastAsia="arial" w:hAnsi="arial" w:cs="arial"/>
          <w:i/>
          <w:color w:val="000000"/>
          <w:sz w:val="20"/>
          <w:lang w:val="en-US" w:eastAsia="en-US" w:bidi="ar-SA"/>
        </w:rPr>
        <w:t>de minimis</w:t>
      </w:r>
      <w:r>
        <w:rPr>
          <w:rFonts w:ascii="arial" w:eastAsia="arial" w:hAnsi="arial" w:cs="arial"/>
          <w:color w:val="000000"/>
          <w:sz w:val="20"/>
          <w:lang w:val="en-US" w:eastAsia="en-US" w:bidi="ar-SA"/>
        </w:rPr>
        <w:t xml:space="preserve"> range: </w:t>
      </w:r>
      <w:r>
        <w:rPr>
          <w:rFonts w:ascii="arial" w:eastAsia="arial" w:hAnsi="arial" w:cs="arial"/>
          <w:i/>
          <w:color w:val="000000"/>
          <w:sz w:val="20"/>
          <w:lang w:val="en-US" w:eastAsia="en-US" w:bidi="ar-SA"/>
        </w:rPr>
        <w:t>Bonnington Castings, Ltd. v. Wardlaw, supra</w:t>
      </w:r>
      <w:r>
        <w:rPr>
          <w:rFonts w:ascii="arial" w:eastAsia="arial" w:hAnsi="arial" w:cs="arial"/>
          <w:color w:val="000000"/>
          <w:sz w:val="20"/>
          <w:lang w:val="en-US" w:eastAsia="en-US" w:bidi="ar-SA"/>
        </w:rPr>
        <w:t xml:space="preserve">; see also </w:t>
      </w:r>
      <w:r>
        <w:rPr>
          <w:rFonts w:ascii="arial" w:eastAsia="arial" w:hAnsi="arial" w:cs="arial"/>
          <w:i/>
          <w:color w:val="000000"/>
          <w:sz w:val="20"/>
          <w:lang w:val="en-US" w:eastAsia="en-US" w:bidi="ar-SA"/>
        </w:rPr>
        <w:t>R. v. Pinske</w:t>
      </w:r>
      <w:r>
        <w:rPr>
          <w:rFonts w:ascii="arial" w:eastAsia="arial" w:hAnsi="arial" w:cs="arial"/>
          <w:color w:val="000000"/>
          <w:sz w:val="20"/>
          <w:lang w:val="en-US" w:eastAsia="en-US" w:bidi="ar-SA"/>
        </w:rPr>
        <w:t xml:space="preserve"> </w:t>
      </w:r>
      <w:hyperlink r:id="rId349" w:history="1">
        <w:r>
          <w:rPr>
            <w:rFonts w:ascii="arial" w:eastAsia="arial" w:hAnsi="arial" w:cs="arial"/>
            <w:i/>
            <w:color w:val="0077CC"/>
            <w:sz w:val="20"/>
            <w:u w:val="single"/>
            <w:shd w:val="clear" w:color="auto" w:fill="FFFFFF"/>
            <w:lang w:val="en-US" w:eastAsia="en-US" w:bidi="ar-SA"/>
          </w:rPr>
          <w:t>(1988), 30 B.C.L.R. (2d) 114</w:t>
        </w:r>
      </w:hyperlink>
      <w:r>
        <w:rPr>
          <w:rFonts w:ascii="arial" w:eastAsia="arial" w:hAnsi="arial" w:cs="arial"/>
          <w:color w:val="000000"/>
          <w:sz w:val="20"/>
          <w:lang w:val="en-US" w:eastAsia="en-US" w:bidi="ar-SA"/>
        </w:rPr>
        <w:t xml:space="preserve"> (B.C.C.A.), aff'd </w:t>
      </w:r>
      <w:hyperlink r:id="rId350" w:history="1">
        <w:r>
          <w:rPr>
            <w:rFonts w:ascii="arial" w:eastAsia="arial" w:hAnsi="arial" w:cs="arial"/>
            <w:i/>
            <w:color w:val="0077CC"/>
            <w:sz w:val="20"/>
            <w:u w:val="single"/>
            <w:shd w:val="clear" w:color="auto" w:fill="FFFFFF"/>
            <w:lang w:val="en-US" w:eastAsia="en-US" w:bidi="ar-SA"/>
          </w:rPr>
          <w:t>[1989] 2 S.C.R. 979</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16 In </w:t>
      </w:r>
      <w:r>
        <w:rPr>
          <w:rFonts w:ascii="arial" w:eastAsia="arial" w:hAnsi="arial" w:cs="arial"/>
          <w:i/>
          <w:color w:val="000000"/>
          <w:sz w:val="20"/>
          <w:lang w:val="en-US" w:eastAsia="en-US" w:bidi="ar-SA"/>
        </w:rPr>
        <w:t>Snell v. Farell, supra</w:t>
      </w:r>
      <w:r>
        <w:rPr>
          <w:rFonts w:ascii="arial" w:eastAsia="arial" w:hAnsi="arial" w:cs="arial"/>
          <w:color w:val="000000"/>
          <w:sz w:val="20"/>
          <w:lang w:val="en-US" w:eastAsia="en-US" w:bidi="ar-SA"/>
        </w:rPr>
        <w:t>, this Court recently confirmed that the plaintiff must prove that the defendant's tortious conduct caused or contributed to the plaintiff's injury. The causation test is not to be applied too rigidly. Causation need not be determined by scientific precision; as Lord Salmon stated in Alphacell Ltd. v. Woodward, [1972] 2 All E.R. 475, at p. 490 (H.L.), and as was quoted by Sopinka J. at p. 328, it is "essentially a practical question of fact which can best be answered by ordinary common sense". Although the burden of proof remains with the plaintiff, in some circumstances an inference of causation may be drawn from the evidence without positive scientific proof.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381</w:t>
      </w:r>
      <w:r>
        <w:rPr>
          <w:rFonts w:ascii="arial" w:eastAsia="arial" w:hAnsi="arial" w:cs="arial"/>
          <w:color w:val="000000"/>
          <w:sz w:val="20"/>
          <w:lang w:val="en-US" w:eastAsia="en-US" w:bidi="ar-SA"/>
        </w:rPr>
        <w:t xml:space="preserve">  The law does not exclude the defendant from liability merely because other causal factors for which he or she is not responsible also contributed to the result. It is sufficient if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a cause of the harm as is evident from the reasons in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382</w:t>
      </w:r>
      <w:r>
        <w:rPr>
          <w:rFonts w:ascii="arial" w:eastAsia="arial" w:hAnsi="arial" w:cs="arial"/>
          <w:color w:val="000000"/>
          <w:sz w:val="20"/>
          <w:lang w:val="en-US" w:eastAsia="en-US" w:bidi="ar-SA"/>
        </w:rPr>
        <w:t>  To determine the causal relationship between the accident and the plaintiff's current medical status I need determine (1) if the plaintiff's injuries from the accident result in a medical status, specifically TOS, which precipitated the fall, or, alternatively, (2) if the plaintiff's current medical status is a combination of indivisible symptoms arising from the totality of the effects of the two incidents.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383</w:t>
      </w:r>
      <w:r>
        <w:rPr>
          <w:rFonts w:ascii="arial" w:eastAsia="arial" w:hAnsi="arial" w:cs="arial"/>
          <w:color w:val="000000"/>
          <w:sz w:val="20"/>
          <w:lang w:val="en-US" w:eastAsia="en-US" w:bidi="ar-SA"/>
        </w:rPr>
        <w:t xml:space="preserve">  If the first question is answered in the affirmative, the plaintiff has proven the causal link between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her current limitations. If not, she must establish that the injuries from the accident, together with those from the fall, form an indivisible injury: </w:t>
      </w:r>
      <w:r>
        <w:rPr>
          <w:rFonts w:ascii="arial" w:eastAsia="arial" w:hAnsi="arial" w:cs="arial"/>
          <w:i/>
          <w:color w:val="000000"/>
          <w:sz w:val="20"/>
          <w:lang w:val="en-US" w:eastAsia="en-US" w:bidi="ar-SA"/>
        </w:rPr>
        <w:t>Bradley v. Groves,</w:t>
      </w:r>
      <w:r>
        <w:rPr>
          <w:rFonts w:ascii="arial" w:eastAsia="arial" w:hAnsi="arial" w:cs="arial"/>
          <w:color w:val="000000"/>
          <w:sz w:val="20"/>
          <w:lang w:val="en-US" w:eastAsia="en-US" w:bidi="ar-SA"/>
        </w:rPr>
        <w:t xml:space="preserve"> </w:t>
      </w:r>
      <w:hyperlink r:id="rId351" w:history="1">
        <w:r>
          <w:rPr>
            <w:rFonts w:ascii="arial" w:eastAsia="arial" w:hAnsi="arial" w:cs="arial"/>
            <w:i/>
            <w:color w:val="0077CC"/>
            <w:sz w:val="20"/>
            <w:u w:val="single"/>
            <w:shd w:val="clear" w:color="auto" w:fill="FFFFFF"/>
            <w:lang w:val="en-US" w:eastAsia="en-US" w:bidi="ar-SA"/>
          </w:rPr>
          <w:t>2010 BCCA 361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Bradley</w:t>
      </w:r>
      <w:r>
        <w:rPr>
          <w:rFonts w:ascii="arial" w:eastAsia="arial" w:hAnsi="arial" w:cs="arial"/>
          <w:color w:val="000000"/>
          <w:sz w:val="20"/>
          <w:lang w:val="en-US" w:eastAsia="en-US" w:bidi="ar-SA"/>
        </w:rPr>
        <w:t>, the Court of Appeal held as follows at para. 37: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[37] We are also unable to accept the appellant's submission that "aggravation" and "indivisibility" are qualitatively different, and require different legal approaches. If a trial judge finds on the facts of a particular case that subsequent tortious action has merged with prior tortious action to create an injury that is not attributable to one particular tortfeasor, then a finding of indivisibility is inevitable. That one tort made worse what another tort created does not automatically implicate a thin or crumbling skull approach (as in </w:t>
      </w:r>
      <w:r>
        <w:rPr>
          <w:rFonts w:ascii="arial" w:eastAsia="arial" w:hAnsi="arial" w:cs="arial"/>
          <w:i/>
          <w:color w:val="000000"/>
          <w:sz w:val="20"/>
          <w:lang w:val="en-US" w:eastAsia="en-US" w:bidi="ar-SA"/>
        </w:rPr>
        <w:t>Blackwater</w:t>
      </w:r>
      <w:r>
        <w:rPr>
          <w:rFonts w:ascii="arial" w:eastAsia="arial" w:hAnsi="arial" w:cs="arial"/>
          <w:color w:val="000000"/>
          <w:sz w:val="20"/>
          <w:lang w:val="en-US" w:eastAsia="en-US" w:bidi="ar-SA"/>
        </w:rPr>
        <w:t xml:space="preserve">, </w:t>
      </w:r>
      <w:hyperlink r:id="rId352" w:history="1">
        <w:r>
          <w:rPr>
            <w:rFonts w:ascii="arial" w:eastAsia="arial" w:hAnsi="arial" w:cs="arial"/>
            <w:i/>
            <w:color w:val="0077CC"/>
            <w:sz w:val="20"/>
            <w:u w:val="single"/>
            <w:shd w:val="clear" w:color="auto" w:fill="FFFFFF"/>
            <w:lang w:val="en-US" w:eastAsia="en-US" w:bidi="ar-SA"/>
          </w:rPr>
          <w:t>[2005] 3 S.C.R. 3</w:t>
        </w:r>
      </w:hyperlink>
      <w:r>
        <w:rPr>
          <w:rFonts w:ascii="arial" w:eastAsia="arial" w:hAnsi="arial" w:cs="arial"/>
          <w:color w:val="000000"/>
          <w:sz w:val="20"/>
          <w:lang w:val="en-US" w:eastAsia="en-US" w:bidi="ar-SA"/>
        </w:rPr>
        <w:t xml:space="preserve">), if the injuries cannot be distinguished from one another on the facts. Those doctrines deal with finding the plaintiff's original position, not with apportioning liability. The first accident remains a cause of the entire indivisible injury suffered by the plaintiff under the "but for" approach to causation endorsed by the Supreme Court of Canada in </w:t>
      </w:r>
      <w:r>
        <w:rPr>
          <w:rFonts w:ascii="arial" w:eastAsia="arial" w:hAnsi="arial" w:cs="arial"/>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353"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 xml:space="preserve">, </w:t>
      </w:r>
      <w:hyperlink r:id="rId353" w:history="1">
        <w:r>
          <w:rPr>
            <w:rFonts w:ascii="arial" w:eastAsia="arial" w:hAnsi="arial" w:cs="arial"/>
            <w:i/>
            <w:color w:val="0077CC"/>
            <w:sz w:val="20"/>
            <w:u w:val="single"/>
            <w:shd w:val="clear" w:color="auto" w:fill="FFFFFF"/>
            <w:lang w:val="en-US" w:eastAsia="en-US" w:bidi="ar-SA"/>
          </w:rPr>
          <w:t>[2007] 1 S.C.R. 333</w:t>
        </w:r>
      </w:hyperlink>
      <w:r>
        <w:rPr>
          <w:rFonts w:ascii="arial" w:eastAsia="arial" w:hAnsi="arial" w:cs="arial"/>
          <w:color w:val="000000"/>
          <w:sz w:val="20"/>
          <w:lang w:val="en-US" w:eastAsia="en-US" w:bidi="ar-SA"/>
        </w:rPr>
        <w:t xml:space="preserve">. As noted by McLachlin C.J.C. in that case, showing that there are multiple causes for an injury will not excuse any particular tortfeasor found to have caused an injury on a "but-for" test, as "there is more than one potential cause in virtually all litigated cases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(at para. 19). It may be that in some cases, earlier injury and later injury to the same region of the body are divisible. While it will lie for the trial judge to decide in the circumstances of each case, it is difficult to see how the worsening of a single injury could be divided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385</w:t>
      </w:r>
      <w:r>
        <w:rPr>
          <w:rFonts w:ascii="arial" w:eastAsia="arial" w:hAnsi="arial" w:cs="arial"/>
          <w:color w:val="000000"/>
          <w:sz w:val="20"/>
          <w:lang w:val="en-US" w:eastAsia="en-US" w:bidi="ar-SA"/>
        </w:rPr>
        <w:t>  I have concluded, for reasons to follow, that the plaintiff's arm and hand symptoms, whether TOS or a variant thereof, resulted from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386</w:t>
      </w:r>
      <w:r>
        <w:rPr>
          <w:rFonts w:ascii="arial" w:eastAsia="arial" w:hAnsi="arial" w:cs="arial"/>
          <w:color w:val="000000"/>
          <w:sz w:val="20"/>
          <w:lang w:val="en-US" w:eastAsia="en-US" w:bidi="ar-SA"/>
        </w:rPr>
        <w:t>  The first issue, then, is whether the plaintiff's injuries from the accident caused the workplace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387</w:t>
      </w:r>
      <w:r>
        <w:rPr>
          <w:rFonts w:ascii="arial" w:eastAsia="arial" w:hAnsi="arial" w:cs="arial"/>
          <w:color w:val="000000"/>
          <w:sz w:val="20"/>
          <w:lang w:val="en-US" w:eastAsia="en-US" w:bidi="ar-SA"/>
        </w:rPr>
        <w:t>  The only support for the contention that the plaintiff's accident-related injuries led to the fall is found in the medical report of Dr. Salvian wherein he opined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my opinion that it is entirely possible that when Miss Kovac stood on the table at school and lifted both arms over her head for a period of time gluing "fish" to the ceiling that she may well have developed dizziness and unsteadiness that led to the fall of the table.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seems unlikely that this very fit and athletic individual would have been likely to have fallen off the table doing this activity prior to the motor vehicle accident. It seems more likely that she had some physiological alteration related to the elevation of her arms that caused her to be dizzy and unstable and resulted in the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388</w:t>
      </w:r>
      <w:r>
        <w:rPr>
          <w:rFonts w:ascii="arial" w:eastAsia="arial" w:hAnsi="arial" w:cs="arial"/>
          <w:color w:val="000000"/>
          <w:sz w:val="20"/>
          <w:lang w:val="en-US" w:eastAsia="en-US" w:bidi="ar-SA"/>
        </w:rPr>
        <w:t>  With the exception of Dr. Prout, the plaintiff told the majority of the medical experts she had no explanation for the fall. She specifically denied dizziness preceding the fall to Dr. Robinson. Her signed statement provided to WorkSafeBC contained no suggestion that her fall was preceded by arm or hand symptoms, let alone dizziness. Her evidence at trial was that she did not know what happened. There is no recorded of complaints of dizziness or other "physiological alteration" associated with the tingling sensation she complained of when, amongst other things, her arms were raised over her 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389</w:t>
      </w:r>
      <w:r>
        <w:rPr>
          <w:rFonts w:ascii="arial" w:eastAsia="arial" w:hAnsi="arial" w:cs="arial"/>
          <w:color w:val="000000"/>
          <w:sz w:val="20"/>
          <w:lang w:val="en-US" w:eastAsia="en-US" w:bidi="ar-SA"/>
        </w:rPr>
        <w:t>  Dr. Salvian's opinion, contained in his third report, is not borne out by the evidence. His opinion as to the reasons underlying the plaintiff's fall is wholly speculative. He seemingly formed his view of the probable cause of the fall without reference to the plaintiff's self report of the event as contained in the WorkSafeBC application. There, she clearly denied the presence of any physiological reason for her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390</w:t>
      </w:r>
      <w:r>
        <w:rPr>
          <w:rFonts w:ascii="arial" w:eastAsia="arial" w:hAnsi="arial" w:cs="arial"/>
          <w:color w:val="000000"/>
          <w:sz w:val="20"/>
          <w:lang w:val="en-US" w:eastAsia="en-US" w:bidi="ar-SA"/>
        </w:rPr>
        <w:t>  Absent such evidence, the plaintiff has not shown, on the balance of probabilities, any connection between the occurrence of the fall and ongoing symptoms from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391</w:t>
      </w:r>
      <w:r>
        <w:rPr>
          <w:rFonts w:ascii="arial" w:eastAsia="arial" w:hAnsi="arial" w:cs="arial"/>
          <w:color w:val="000000"/>
          <w:sz w:val="20"/>
          <w:lang w:val="en-US" w:eastAsia="en-US" w:bidi="ar-SA"/>
        </w:rPr>
        <w:t>  The plaintiff's alternate theory of causation is founded on the doctrine of indivisible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392</w:t>
      </w:r>
      <w:r>
        <w:rPr>
          <w:rFonts w:ascii="arial" w:eastAsia="arial" w:hAnsi="arial" w:cs="arial"/>
          <w:color w:val="000000"/>
          <w:sz w:val="20"/>
          <w:lang w:val="en-US" w:eastAsia="en-US" w:bidi="ar-SA"/>
        </w:rPr>
        <w:t>  Here the plaintiff says that but for the accident, the plaintiff would not be suffering from her current injuries and that the injuries later sustained in the fall are not the sole cause of the current symptoms and limitations.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393</w:t>
      </w:r>
      <w:r>
        <w:rPr>
          <w:rFonts w:ascii="arial" w:eastAsia="arial" w:hAnsi="arial" w:cs="arial"/>
          <w:color w:val="000000"/>
          <w:sz w:val="20"/>
          <w:lang w:val="en-US" w:eastAsia="en-US" w:bidi="ar-SA"/>
        </w:rPr>
        <w:t>  In reliance for this proposition, the plaintiff refers to her own evidence and the evidence of her family and friends, as supportive of the fact she was highly symptomatic from her accident injuries at the time of the January 2006 fall. Counsel described the plaintiff's condition as a "two-year history of unrelenting pain and limitation". The fall was "more of the same". The plaintiff says it's significant that only a month before the fall, a specialist referral to a neurologist (Dr. Mezei) was made to investigate ongoing complaints believed to be related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394</w:t>
      </w:r>
      <w:r>
        <w:rPr>
          <w:rFonts w:ascii="arial" w:eastAsia="arial" w:hAnsi="arial" w:cs="arial"/>
          <w:color w:val="000000"/>
          <w:sz w:val="20"/>
          <w:lang w:val="en-US" w:eastAsia="en-US" w:bidi="ar-SA"/>
        </w:rPr>
        <w:t>  Counsel for the plaintiff, while acknowledging the contribution of the fall to the plaintiff's symptomology, says the result is an "indivisible injury" making it impossible to make a retrospective determination of the plaintiff's pre-fall status. In short, the plaintiff says the fall is not the sole cause of her disability.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395</w:t>
      </w:r>
      <w:r>
        <w:rPr>
          <w:rFonts w:ascii="arial" w:eastAsia="arial" w:hAnsi="arial" w:cs="arial"/>
          <w:color w:val="000000"/>
          <w:sz w:val="20"/>
          <w:lang w:val="en-US" w:eastAsia="en-US" w:bidi="ar-SA"/>
        </w:rPr>
        <w:t>  As against that, the defendant says that the plaintiff has falsely, or at the very least, inaccurately, portrayed herself as the victim of disabling injuries caused by the defendant arising from the accident. He says the fall was a catastrophic event which is the sole causal factor underlying the plaintiff's pecuniary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396</w:t>
      </w:r>
      <w:r>
        <w:rPr>
          <w:rFonts w:ascii="arial" w:eastAsia="arial" w:hAnsi="arial" w:cs="arial"/>
          <w:color w:val="000000"/>
          <w:sz w:val="20"/>
          <w:lang w:val="en-US" w:eastAsia="en-US" w:bidi="ar-SA"/>
        </w:rPr>
        <w:t>  To determine whether the non-tortious fall has "merged" with the accident to create an injury which is not attributable to one or the other incident, resulting in a finding of indivisibility, I need ascertain the plaintiff's pre-fall status. That involves an assessment of the credibility and/or reliability of her and the non-medical witnesses who testified on her behalf. It also involves an assessment of the reliability of the evidence of Dr. McLachlan, the sole medical practitioner to treat the plaintiff both before and after the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397</w:t>
      </w:r>
      <w:r>
        <w:rPr>
          <w:rFonts w:ascii="arial" w:eastAsia="arial" w:hAnsi="arial" w:cs="arial"/>
          <w:color w:val="000000"/>
          <w:sz w:val="20"/>
          <w:lang w:val="en-US" w:eastAsia="en-US" w:bidi="ar-SA"/>
        </w:rPr>
        <w:t>  The medical opinions of both treating and assessing experts are no more compelling than the facts upon which they are built. All of the experts acknowledged they relied on the accuracy of the plaintiff's history in forming their opinions as to the aetiology of her present symptoms and the impact of both the accident and the fall.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Findings on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398</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Faryna v. Chorny</w:t>
      </w:r>
      <w:r>
        <w:rPr>
          <w:rFonts w:ascii="arial" w:eastAsia="arial" w:hAnsi="arial" w:cs="arial"/>
          <w:color w:val="000000"/>
          <w:sz w:val="20"/>
          <w:lang w:val="en-US" w:eastAsia="en-US" w:bidi="ar-SA"/>
        </w:rPr>
        <w:t xml:space="preserve">, </w:t>
      </w:r>
      <w:hyperlink r:id="rId184" w:history="1">
        <w:r>
          <w:rPr>
            <w:rFonts w:ascii="arial" w:eastAsia="arial" w:hAnsi="arial" w:cs="arial"/>
            <w:i/>
            <w:color w:val="0077CC"/>
            <w:sz w:val="20"/>
            <w:u w:val="single"/>
            <w:shd w:val="clear" w:color="auto" w:fill="FFFFFF"/>
            <w:lang w:val="en-US" w:eastAsia="en-US" w:bidi="ar-SA"/>
          </w:rPr>
          <w:t>[1951] B.C.J. No. 152</w:t>
        </w:r>
      </w:hyperlink>
      <w:r>
        <w:rPr>
          <w:rFonts w:ascii="arial" w:eastAsia="arial" w:hAnsi="arial" w:cs="arial"/>
          <w:color w:val="000000"/>
          <w:sz w:val="20"/>
          <w:lang w:val="en-US" w:eastAsia="en-US" w:bidi="ar-SA"/>
        </w:rPr>
        <w:t xml:space="preserve"> (C.A.) provides useful guidelines for analyzing whether a witness's testimony is in "harmony with the preponderance of the probabilities which a practical and informed person would readily recognize as reasonable in that place and in those conditions": See </w:t>
      </w:r>
      <w:r>
        <w:rPr>
          <w:rFonts w:ascii="arial" w:eastAsia="arial" w:hAnsi="arial" w:cs="arial"/>
          <w:i/>
          <w:color w:val="000000"/>
          <w:sz w:val="20"/>
          <w:lang w:val="en-US" w:eastAsia="en-US" w:bidi="ar-SA"/>
        </w:rPr>
        <w:t>Faryna</w:t>
      </w:r>
      <w:r>
        <w:rPr>
          <w:rFonts w:ascii="arial" w:eastAsia="arial" w:hAnsi="arial" w:cs="arial"/>
          <w:color w:val="000000"/>
          <w:sz w:val="20"/>
          <w:lang w:val="en-US" w:eastAsia="en-US" w:bidi="ar-SA"/>
        </w:rPr>
        <w:t xml:space="preserve"> at para. 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Bradshaw v. Stenner</w:t>
      </w:r>
      <w:r>
        <w:rPr>
          <w:rFonts w:ascii="arial" w:eastAsia="arial" w:hAnsi="arial" w:cs="arial"/>
          <w:color w:val="000000"/>
          <w:sz w:val="20"/>
          <w:lang w:val="en-US" w:eastAsia="en-US" w:bidi="ar-SA"/>
        </w:rPr>
        <w:t xml:space="preserve">, </w:t>
      </w:r>
      <w:hyperlink r:id="rId354" w:history="1">
        <w:r>
          <w:rPr>
            <w:rFonts w:ascii="arial" w:eastAsia="arial" w:hAnsi="arial" w:cs="arial"/>
            <w:i/>
            <w:color w:val="0077CC"/>
            <w:sz w:val="20"/>
            <w:u w:val="single"/>
            <w:shd w:val="clear" w:color="auto" w:fill="FFFFFF"/>
            <w:lang w:val="en-US" w:eastAsia="en-US" w:bidi="ar-SA"/>
          </w:rPr>
          <w:t>2010 BCSC 1398</w:t>
        </w:r>
      </w:hyperlink>
      <w:r>
        <w:rPr>
          <w:rFonts w:ascii="arial" w:eastAsia="arial" w:hAnsi="arial" w:cs="arial"/>
          <w:color w:val="000000"/>
          <w:sz w:val="20"/>
          <w:lang w:val="en-US" w:eastAsia="en-US" w:bidi="ar-SA"/>
        </w:rPr>
        <w:t>, Madam Justice Dillon provides further guidance in terms of evaluating the credibility of witnesses: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[186] Credibility involves an assessment of the trustworthiness of a witness' testimony based upon the veracity or sincerity of a witness and the accuracy of the evidence that the witness provides (</w:t>
      </w:r>
      <w:r>
        <w:rPr>
          <w:rFonts w:ascii="arial" w:eastAsia="arial" w:hAnsi="arial" w:cs="arial"/>
          <w:i/>
          <w:color w:val="000000"/>
          <w:sz w:val="20"/>
          <w:lang w:val="en-US" w:eastAsia="en-US" w:bidi="ar-SA"/>
        </w:rPr>
        <w:t>Raymond v. Bosanquet (Township)</w:t>
      </w:r>
      <w:r>
        <w:rPr>
          <w:rFonts w:ascii="arial" w:eastAsia="arial" w:hAnsi="arial" w:cs="arial"/>
          <w:color w:val="000000"/>
          <w:sz w:val="20"/>
          <w:lang w:val="en-US" w:eastAsia="en-US" w:bidi="ar-SA"/>
        </w:rPr>
        <w:t xml:space="preserve"> </w:t>
      </w:r>
      <w:hyperlink r:id="rId355" w:history="1">
        <w:r>
          <w:rPr>
            <w:rFonts w:ascii="arial" w:eastAsia="arial" w:hAnsi="arial" w:cs="arial"/>
            <w:i/>
            <w:color w:val="0077CC"/>
            <w:sz w:val="20"/>
            <w:u w:val="single"/>
            <w:shd w:val="clear" w:color="auto" w:fill="FFFFFF"/>
            <w:lang w:val="en-US" w:eastAsia="en-US" w:bidi="ar-SA"/>
          </w:rPr>
          <w:t>(1919), 59 S.C.R. 452</w:t>
        </w:r>
      </w:hyperlink>
      <w:r>
        <w:rPr>
          <w:rFonts w:ascii="arial" w:eastAsia="arial" w:hAnsi="arial" w:cs="arial"/>
          <w:color w:val="000000"/>
          <w:sz w:val="20"/>
          <w:lang w:val="en-US" w:eastAsia="en-US" w:bidi="ar-SA"/>
        </w:rPr>
        <w:t xml:space="preserve">, </w:t>
      </w:r>
      <w:hyperlink r:id="rId356" w:history="1">
        <w:r>
          <w:rPr>
            <w:rFonts w:ascii="arial" w:eastAsia="arial" w:hAnsi="arial" w:cs="arial"/>
            <w:i/>
            <w:color w:val="0077CC"/>
            <w:sz w:val="20"/>
            <w:u w:val="single"/>
            <w:shd w:val="clear" w:color="auto" w:fill="FFFFFF"/>
            <w:lang w:val="en-US" w:eastAsia="en-US" w:bidi="ar-SA"/>
          </w:rPr>
          <w:t>50 D.L.R. 560</w:t>
        </w:r>
      </w:hyperlink>
      <w:r>
        <w:rPr>
          <w:rFonts w:ascii="arial" w:eastAsia="arial" w:hAnsi="arial" w:cs="arial"/>
          <w:color w:val="000000"/>
          <w:sz w:val="20"/>
          <w:lang w:val="en-US" w:eastAsia="en-US" w:bidi="ar-SA"/>
        </w:rPr>
        <w:t xml:space="preserve"> (S.C.C.)). The art of assessment involves examination of various factors such as the ability and opportunity to observe events, the firmness of his memory, the ability to resist the influence of interest to modify his recollection, whether the witness' evidence harmonizes with independent evidence that has been accepted, whether the witness changes his testimony during direct and cross-examination, whether the witness' testimony seems unreasonable, impossible, or unlikely, whether a witness has a motive to lie, and the demeanour of a witness generally (</w:t>
      </w:r>
      <w:r>
        <w:rPr>
          <w:rFonts w:ascii="arial" w:eastAsia="arial" w:hAnsi="arial" w:cs="arial"/>
          <w:i/>
          <w:color w:val="000000"/>
          <w:sz w:val="20"/>
          <w:lang w:val="en-US" w:eastAsia="en-US" w:bidi="ar-SA"/>
        </w:rPr>
        <w:t>Wallace v. Davis</w:t>
      </w:r>
      <w:r>
        <w:rPr>
          <w:rFonts w:ascii="arial" w:eastAsia="arial" w:hAnsi="arial" w:cs="arial"/>
          <w:color w:val="000000"/>
          <w:sz w:val="20"/>
          <w:lang w:val="en-US" w:eastAsia="en-US" w:bidi="ar-SA"/>
        </w:rPr>
        <w:t xml:space="preserve"> </w:t>
      </w:r>
      <w:hyperlink r:id="rId357" w:history="1">
        <w:r>
          <w:rPr>
            <w:rFonts w:ascii="arial" w:eastAsia="arial" w:hAnsi="arial" w:cs="arial"/>
            <w:i/>
            <w:color w:val="0077CC"/>
            <w:sz w:val="20"/>
            <w:u w:val="single"/>
            <w:shd w:val="clear" w:color="auto" w:fill="FFFFFF"/>
            <w:lang w:val="en-US" w:eastAsia="en-US" w:bidi="ar-SA"/>
          </w:rPr>
          <w:t>(1926), 31 O.W.N. 202</w:t>
        </w:r>
      </w:hyperlink>
      <w:r>
        <w:rPr>
          <w:rFonts w:ascii="arial" w:eastAsia="arial" w:hAnsi="arial" w:cs="arial"/>
          <w:color w:val="000000"/>
          <w:sz w:val="20"/>
          <w:lang w:val="en-US" w:eastAsia="en-US" w:bidi="ar-SA"/>
        </w:rPr>
        <w:t xml:space="preserve"> (Ont.H.C.); </w:t>
      </w:r>
      <w:r>
        <w:rPr>
          <w:rFonts w:ascii="arial" w:eastAsia="arial" w:hAnsi="arial" w:cs="arial"/>
          <w:i/>
          <w:color w:val="000000"/>
          <w:sz w:val="20"/>
          <w:lang w:val="en-US" w:eastAsia="en-US" w:bidi="ar-SA"/>
        </w:rPr>
        <w:t>Farnya v. Chorny</w:t>
      </w:r>
      <w:r>
        <w:rPr>
          <w:rFonts w:ascii="arial" w:eastAsia="arial" w:hAnsi="arial" w:cs="arial"/>
          <w:color w:val="000000"/>
          <w:sz w:val="20"/>
          <w:lang w:val="en-US" w:eastAsia="en-US" w:bidi="ar-SA"/>
        </w:rPr>
        <w:t xml:space="preserve">, </w:t>
      </w:r>
      <w:hyperlink r:id="rId184" w:history="1">
        <w:r>
          <w:rPr>
            <w:rFonts w:ascii="arial" w:eastAsia="arial" w:hAnsi="arial" w:cs="arial"/>
            <w:i/>
            <w:color w:val="0077CC"/>
            <w:sz w:val="20"/>
            <w:u w:val="single"/>
            <w:shd w:val="clear" w:color="auto" w:fill="FFFFFF"/>
            <w:lang w:val="en-US" w:eastAsia="en-US" w:bidi="ar-SA"/>
          </w:rPr>
          <w:t>[1952] 2 D.L.R. 354</w:t>
        </w:r>
      </w:hyperlink>
      <w:r>
        <w:rPr>
          <w:rFonts w:ascii="arial" w:eastAsia="arial" w:hAnsi="arial" w:cs="arial"/>
          <w:color w:val="000000"/>
          <w:sz w:val="20"/>
          <w:lang w:val="en-US" w:eastAsia="en-US" w:bidi="ar-SA"/>
        </w:rPr>
        <w:t xml:space="preserve"> (B.C.C.A.) [</w:t>
      </w:r>
      <w:r>
        <w:rPr>
          <w:rFonts w:ascii="arial" w:eastAsia="arial" w:hAnsi="arial" w:cs="arial"/>
          <w:i/>
          <w:color w:val="000000"/>
          <w:sz w:val="20"/>
          <w:lang w:val="en-US" w:eastAsia="en-US" w:bidi="ar-SA"/>
        </w:rPr>
        <w:t>Faryna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 v. S.(R.D.),</w:t>
      </w:r>
      <w:r>
        <w:rPr>
          <w:rFonts w:ascii="arial" w:eastAsia="arial" w:hAnsi="arial" w:cs="arial"/>
          <w:color w:val="000000"/>
          <w:sz w:val="20"/>
          <w:lang w:val="en-US" w:eastAsia="en-US" w:bidi="ar-SA"/>
        </w:rPr>
        <w:t xml:space="preserve"> </w:t>
      </w:r>
      <w:hyperlink r:id="rId358" w:history="1">
        <w:r>
          <w:rPr>
            <w:rFonts w:ascii="arial" w:eastAsia="arial" w:hAnsi="arial" w:cs="arial"/>
            <w:i/>
            <w:color w:val="0077CC"/>
            <w:sz w:val="20"/>
            <w:u w:val="single"/>
            <w:shd w:val="clear" w:color="auto" w:fill="FFFFFF"/>
            <w:lang w:val="en-US" w:eastAsia="en-US" w:bidi="ar-SA"/>
          </w:rPr>
          <w:t>[1997] 3 S.C.R. 484</w:t>
        </w:r>
      </w:hyperlink>
      <w:r>
        <w:rPr>
          <w:rFonts w:ascii="arial" w:eastAsia="arial" w:hAnsi="arial" w:cs="arial"/>
          <w:color w:val="000000"/>
          <w:sz w:val="20"/>
          <w:lang w:val="en-US" w:eastAsia="en-US" w:bidi="ar-SA"/>
        </w:rPr>
        <w:t xml:space="preserve"> at para. 128 (S.C.C.)). Ultimately, the validity of the evidence depends on whether the evidence is consistent with the probabilities affecting the case as a whole and shown to be in existence at the time (</w:t>
      </w:r>
      <w:r>
        <w:rPr>
          <w:rFonts w:ascii="arial" w:eastAsia="arial" w:hAnsi="arial" w:cs="arial"/>
          <w:i/>
          <w:color w:val="000000"/>
          <w:sz w:val="20"/>
          <w:lang w:val="en-US" w:eastAsia="en-US" w:bidi="ar-SA"/>
        </w:rPr>
        <w:t>Faryna</w:t>
      </w:r>
      <w:r>
        <w:rPr>
          <w:rFonts w:ascii="arial" w:eastAsia="arial" w:hAnsi="arial" w:cs="arial"/>
          <w:color w:val="000000"/>
          <w:sz w:val="20"/>
          <w:lang w:val="en-US" w:eastAsia="en-US" w:bidi="ar-SA"/>
        </w:rPr>
        <w:t xml:space="preserve"> at para. 356).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[187] It has been suggested that a methodology to adopt is to first consider the testimony of a witness on a 'stand alone' basis, followed by an analysis of whether the witness' story is inherently believable. Then, if the witness testimony has survived relatively intact, the testimony should be evaluated based upon the consistency with other witnesses and with documentary evidence. The testimony of non-party, disinterested witnesses may provide a reliable yardstick for comparison. Finally, the court should determine which version of events is the most consistent with the "preponderance of probabilities which a practical and informed person would readily recognize as reasonable in that place and in those conditions" (</w:t>
      </w:r>
      <w:r>
        <w:rPr>
          <w:rFonts w:ascii="arial" w:eastAsia="arial" w:hAnsi="arial" w:cs="arial"/>
          <w:i/>
          <w:color w:val="000000"/>
          <w:sz w:val="20"/>
          <w:lang w:val="en-US" w:eastAsia="en-US" w:bidi="ar-SA"/>
        </w:rPr>
        <w:t>Overseas Investments (1986) Ltd. v. Cornwall Developments Ltd.</w:t>
      </w:r>
      <w:r>
        <w:rPr>
          <w:rFonts w:ascii="arial" w:eastAsia="arial" w:hAnsi="arial" w:cs="arial"/>
          <w:color w:val="000000"/>
          <w:sz w:val="20"/>
          <w:lang w:val="en-US" w:eastAsia="en-US" w:bidi="ar-SA"/>
        </w:rPr>
        <w:t xml:space="preserve"> (1993), </w:t>
      </w:r>
      <w:hyperlink r:id="rId359" w:history="1">
        <w:r>
          <w:rPr>
            <w:rFonts w:ascii="arial" w:eastAsia="arial" w:hAnsi="arial" w:cs="arial"/>
            <w:i/>
            <w:color w:val="0077CC"/>
            <w:sz w:val="20"/>
            <w:u w:val="single"/>
            <w:shd w:val="clear" w:color="auto" w:fill="FFFFFF"/>
            <w:lang w:val="en-US" w:eastAsia="en-US" w:bidi="ar-SA"/>
          </w:rPr>
          <w:t>12 Alta. L.R. (3d) 298</w:t>
        </w:r>
      </w:hyperlink>
      <w:r>
        <w:rPr>
          <w:rFonts w:ascii="arial" w:eastAsia="arial" w:hAnsi="arial" w:cs="arial"/>
          <w:color w:val="000000"/>
          <w:sz w:val="20"/>
          <w:lang w:val="en-US" w:eastAsia="en-US" w:bidi="ar-SA"/>
        </w:rPr>
        <w:t xml:space="preserve"> at para. 13 (Alta. Q.B.)). I have found this approach useful.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400</w:t>
      </w:r>
      <w:r>
        <w:rPr>
          <w:rFonts w:ascii="arial" w:eastAsia="arial" w:hAnsi="arial" w:cs="arial"/>
          <w:color w:val="000000"/>
          <w:sz w:val="20"/>
          <w:lang w:val="en-US" w:eastAsia="en-US" w:bidi="ar-SA"/>
        </w:rPr>
        <w:t>  Here, the defendant says the evidence of the plaintiff, her mother, husband, brother and friends is not "in harmony" with the totality of the evidence and should therefore be rejected. He points to the clinical records of Dr. McLachlan which, he says, belie an injury of the magnitude testified to by the plaintiff. There are significant gaps in the plaintiff's attendance upon her family doctor and the recorded symptoms make no reference to ongoing headaches, sleep loss, mood disorder or anxiety surrounding driving an automobile.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401</w:t>
      </w:r>
      <w:r>
        <w:rPr>
          <w:rFonts w:ascii="arial" w:eastAsia="arial" w:hAnsi="arial" w:cs="arial"/>
          <w:color w:val="000000"/>
          <w:sz w:val="20"/>
          <w:lang w:val="en-US" w:eastAsia="en-US" w:bidi="ar-SA"/>
        </w:rPr>
        <w:t>  The plaintiff's statements to various employees of WorkSafeBC cast further doubt on the veracity, or at least reliability of the plaintiff's contention of "more of the same", says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402</w:t>
      </w:r>
      <w:r>
        <w:rPr>
          <w:rFonts w:ascii="arial" w:eastAsia="arial" w:hAnsi="arial" w:cs="arial"/>
          <w:color w:val="000000"/>
          <w:sz w:val="20"/>
          <w:lang w:val="en-US" w:eastAsia="en-US" w:bidi="ar-SA"/>
        </w:rPr>
        <w:t>  This evidence, coupled with the testimony of the plaintiff's supervisor and workmates from St. Helen's, paint an entirely different picture of the plaintiff's pre-fall health than was provided the medical experts who provided opinions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403</w:t>
      </w:r>
      <w:r>
        <w:rPr>
          <w:rFonts w:ascii="arial" w:eastAsia="arial" w:hAnsi="arial" w:cs="arial"/>
          <w:color w:val="000000"/>
          <w:sz w:val="20"/>
          <w:lang w:val="en-US" w:eastAsia="en-US" w:bidi="ar-SA"/>
        </w:rPr>
        <w:t xml:space="preserve">  The damage to the vehicles, as depicted in the photographs, was minor. Neither car was inoperable after the collision. In </w:t>
      </w:r>
      <w:r>
        <w:rPr>
          <w:rFonts w:ascii="arial" w:eastAsia="arial" w:hAnsi="arial" w:cs="arial"/>
          <w:i/>
          <w:color w:val="000000"/>
          <w:sz w:val="20"/>
          <w:lang w:val="en-US" w:eastAsia="en-US" w:bidi="ar-SA"/>
        </w:rPr>
        <w:t>Price v. Kostryba</w:t>
      </w:r>
      <w:r>
        <w:rPr>
          <w:rFonts w:ascii="arial" w:eastAsia="arial" w:hAnsi="arial" w:cs="arial"/>
          <w:color w:val="000000"/>
          <w:sz w:val="20"/>
          <w:lang w:val="en-US" w:eastAsia="en-US" w:bidi="ar-SA"/>
        </w:rPr>
        <w:t xml:space="preserve"> </w:t>
      </w:r>
      <w:hyperlink r:id="rId79" w:history="1">
        <w:r>
          <w:rPr>
            <w:rFonts w:ascii="arial" w:eastAsia="arial" w:hAnsi="arial" w:cs="arial"/>
            <w:i/>
            <w:color w:val="0077CC"/>
            <w:sz w:val="20"/>
            <w:u w:val="single"/>
            <w:shd w:val="clear" w:color="auto" w:fill="FFFFFF"/>
            <w:lang w:val="en-US" w:eastAsia="en-US" w:bidi="ar-SA"/>
          </w:rPr>
          <w:t>(1982), 70 B.C.L.R. 397</w:t>
        </w:r>
      </w:hyperlink>
      <w:r>
        <w:rPr>
          <w:rFonts w:ascii="arial" w:eastAsia="arial" w:hAnsi="arial" w:cs="arial"/>
          <w:color w:val="000000"/>
          <w:sz w:val="20"/>
          <w:lang w:val="en-US" w:eastAsia="en-US" w:bidi="ar-SA"/>
        </w:rPr>
        <w:t xml:space="preserve"> (S.C.) at 397, McEachern C.J.S.C., in remarks since quoted many times, stated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assessment of damages in a moderate or moderately severe whiplash injury is always difficult because plaintiffs, as in this case, are usually genuine, decent people who honestly try to be as objective and as factual as they can. Unfortunately, every injured person has a different understanding of his own complaints and injuries, and it falls to judges to translate injuries to damages.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not stating any new principle when I say that the court should be exceedingly careful when there is little or no objective evidence of continuing injury and when complaints of pain persist for long periods extending beyond the normal or usual recovery.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 injured person is entitled to be fully and properly compensated for any injury or disability caused by a wrongdoer. But no one can expect his fellow citizen or citizens to compensate him in the absence of convincing evidence - which could be just his own evidence if the surrounding circumstances are consistent - that his complaints of pain are true reflections of a continuing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404</w:t>
      </w:r>
      <w:r>
        <w:rPr>
          <w:rFonts w:ascii="arial" w:eastAsia="arial" w:hAnsi="arial" w:cs="arial"/>
          <w:color w:val="000000"/>
          <w:sz w:val="20"/>
          <w:lang w:val="en-US" w:eastAsia="en-US" w:bidi="ar-SA"/>
        </w:rPr>
        <w:t xml:space="preserve">  The corollary to </w:t>
      </w:r>
      <w:r>
        <w:rPr>
          <w:rFonts w:ascii="arial" w:eastAsia="arial" w:hAnsi="arial" w:cs="arial"/>
          <w:i/>
          <w:color w:val="000000"/>
          <w:sz w:val="20"/>
          <w:lang w:val="en-US" w:eastAsia="en-US" w:bidi="ar-SA"/>
        </w:rPr>
        <w:t>Price</w:t>
      </w:r>
      <w:r>
        <w:rPr>
          <w:rFonts w:ascii="arial" w:eastAsia="arial" w:hAnsi="arial" w:cs="arial"/>
          <w:color w:val="000000"/>
          <w:sz w:val="20"/>
          <w:lang w:val="en-US" w:eastAsia="en-US" w:bidi="ar-SA"/>
        </w:rPr>
        <w:t xml:space="preserve"> is the proposition enunciated in </w:t>
      </w:r>
      <w:r>
        <w:rPr>
          <w:rFonts w:ascii="arial" w:eastAsia="arial" w:hAnsi="arial" w:cs="arial"/>
          <w:i/>
          <w:color w:val="000000"/>
          <w:sz w:val="20"/>
          <w:lang w:val="en-US" w:eastAsia="en-US" w:bidi="ar-SA"/>
        </w:rPr>
        <w:t>Gordon v. Palmer</w:t>
      </w:r>
      <w:r>
        <w:rPr>
          <w:rFonts w:ascii="arial" w:eastAsia="arial" w:hAnsi="arial" w:cs="arial"/>
          <w:color w:val="000000"/>
          <w:sz w:val="20"/>
          <w:lang w:val="en-US" w:eastAsia="en-US" w:bidi="ar-SA"/>
        </w:rPr>
        <w:t xml:space="preserve"> </w:t>
      </w:r>
      <w:hyperlink r:id="rId360" w:history="1">
        <w:r>
          <w:rPr>
            <w:rFonts w:ascii="arial" w:eastAsia="arial" w:hAnsi="arial" w:cs="arial"/>
            <w:i/>
            <w:color w:val="0077CC"/>
            <w:sz w:val="20"/>
            <w:u w:val="single"/>
            <w:shd w:val="clear" w:color="auto" w:fill="FFFFFF"/>
            <w:lang w:val="en-US" w:eastAsia="en-US" w:bidi="ar-SA"/>
          </w:rPr>
          <w:t>(1993), 78 B.C.L.R. (2d) 236</w:t>
        </w:r>
      </w:hyperlink>
      <w:r>
        <w:rPr>
          <w:rFonts w:ascii="arial" w:eastAsia="arial" w:hAnsi="arial" w:cs="arial"/>
          <w:color w:val="000000"/>
          <w:sz w:val="20"/>
          <w:lang w:val="en-US" w:eastAsia="en-US" w:bidi="ar-SA"/>
        </w:rPr>
        <w:t xml:space="preserve"> (S.C.) that minor damage to a claimant's vehicle does not lead to a conclusion that the resulting injuries are correspondingly minor.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405</w:t>
      </w:r>
      <w:r>
        <w:rPr>
          <w:rFonts w:ascii="arial" w:eastAsia="arial" w:hAnsi="arial" w:cs="arial"/>
          <w:color w:val="000000"/>
          <w:sz w:val="20"/>
          <w:lang w:val="en-US" w:eastAsia="en-US" w:bidi="ar-SA"/>
        </w:rPr>
        <w:t>  The paucity of complaints recorded by the plaintiff's general practitioner regarding many of the symptoms she claims resulted from the accident, her dealings with WorkSafeBC, including statements attributed to her when pursuing compensation for the fall coupled with the evidence of her principal and coworkers combine, according to the defendant, to make her evidence regarding her pre-fall condition unbelievable or at least unreliable.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406</w:t>
      </w:r>
      <w:r>
        <w:rPr>
          <w:rFonts w:ascii="arial" w:eastAsia="arial" w:hAnsi="arial" w:cs="arial"/>
          <w:color w:val="000000"/>
          <w:sz w:val="20"/>
          <w:lang w:val="en-US" w:eastAsia="en-US" w:bidi="ar-SA"/>
        </w:rPr>
        <w:t xml:space="preserve">  With respect to the significance of medical records, and particularly the lack of recorded complaints, the matter was recently considered in </w:t>
      </w:r>
      <w:r>
        <w:rPr>
          <w:rFonts w:ascii="arial" w:eastAsia="arial" w:hAnsi="arial" w:cs="arial"/>
          <w:i/>
          <w:color w:val="000000"/>
          <w:sz w:val="20"/>
          <w:lang w:val="en-US" w:eastAsia="en-US" w:bidi="ar-SA"/>
        </w:rPr>
        <w:t>Edmondson v. Payer,</w:t>
      </w:r>
      <w:r>
        <w:rPr>
          <w:rFonts w:ascii="arial" w:eastAsia="arial" w:hAnsi="arial" w:cs="arial"/>
          <w:color w:val="000000"/>
          <w:sz w:val="20"/>
          <w:lang w:val="en-US" w:eastAsia="en-US" w:bidi="ar-SA"/>
        </w:rPr>
        <w:t xml:space="preserve"> </w:t>
      </w:r>
      <w:hyperlink r:id="rId361" w:history="1">
        <w:r>
          <w:rPr>
            <w:rFonts w:ascii="arial" w:eastAsia="arial" w:hAnsi="arial" w:cs="arial"/>
            <w:i/>
            <w:color w:val="0077CC"/>
            <w:sz w:val="20"/>
            <w:u w:val="single"/>
            <w:shd w:val="clear" w:color="auto" w:fill="FFFFFF"/>
            <w:lang w:val="en-US" w:eastAsia="en-US" w:bidi="ar-SA"/>
          </w:rPr>
          <w:t>2011 BCSC 118</w:t>
        </w:r>
      </w:hyperlink>
      <w:r>
        <w:rPr>
          <w:rFonts w:ascii="arial" w:eastAsia="arial" w:hAnsi="arial" w:cs="arial"/>
          <w:color w:val="000000"/>
          <w:sz w:val="20"/>
          <w:lang w:val="en-US" w:eastAsia="en-US" w:bidi="ar-SA"/>
        </w:rPr>
        <w:t xml:space="preserve">, aff'd </w:t>
      </w:r>
      <w:hyperlink r:id="rId362" w:history="1">
        <w:r>
          <w:rPr>
            <w:rFonts w:ascii="arial" w:eastAsia="arial" w:hAnsi="arial" w:cs="arial"/>
            <w:i/>
            <w:color w:val="0077CC"/>
            <w:sz w:val="20"/>
            <w:u w:val="single"/>
            <w:shd w:val="clear" w:color="auto" w:fill="FFFFFF"/>
            <w:lang w:val="en-US" w:eastAsia="en-US" w:bidi="ar-SA"/>
          </w:rPr>
          <w:t>2012 BCCA 114</w:t>
        </w:r>
      </w:hyperlink>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Edmondson,</w:t>
      </w:r>
      <w:r>
        <w:rPr>
          <w:rFonts w:ascii="arial" w:eastAsia="arial" w:hAnsi="arial" w:cs="arial"/>
          <w:color w:val="000000"/>
          <w:sz w:val="20"/>
          <w:lang w:val="en-US" w:eastAsia="en-US" w:bidi="ar-SA"/>
        </w:rPr>
        <w:t xml:space="preserve"> Mr. Justice Smith stated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[36] While the content of a clinical record may be evidence for some purposes, the absence of a record is not, in itself, evidence of anything. For example, the absence of reference to a symptom in a doctor's notes of a particular visit cannot be the sole basis for any inference about the existence or non-existence of that symptom. At most, it indicates only that it was not the focus of discussion on that occasion.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[37] The same applies to a complete absence of a clinical record. Except in severe or catastrophic cases, the injury at issue is not the only thing of consequence in the plaintiff's life. There certainly may be cases where a plaintiff's description of his or her symptoms is clearly inconsistent with a failure to seek medical attention, permitting the court to draw adverse conclusions about the plaintiff's credibility. But a plaintiff whose condition neither deteriorates nor improves is not obliged to constantly bother busy doctors with reports that nothing has changed, particularly if the plaintiff has no reason to expect the doctors will be able to offer any new or different treatment. Similarly, a plaintiff who seeks medical attention for unrelated conditions is not obliged to recount the history of the accident and resulting injury to a doctor who is not being asked to treat that injury and has no reason to be interested in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407</w:t>
      </w:r>
      <w:r>
        <w:rPr>
          <w:rFonts w:ascii="arial" w:eastAsia="arial" w:hAnsi="arial" w:cs="arial"/>
          <w:color w:val="000000"/>
          <w:sz w:val="20"/>
          <w:lang w:val="en-US" w:eastAsia="en-US" w:bidi="ar-SA"/>
        </w:rPr>
        <w:t>  Further, at paras. 47-48, he stated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[47] Counsel urged me to find that the plaintiff recovered from her injuries because there are some clinical records where the accident and resulting injuries are not mentioned and that there are periods for which no clinical records exist at all. For the reasons set out in paragraphs 36 and 37 above, that is not an inference that can properly be drawn solely on the basis of the records.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[Subheading omitted.]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[48] I do not find a significant inconsistency or contradiction between the evidence the plaintiff gave at trial and the very brief statements attributed to her in the clinical records. I also found the plaintiff to be a generally forthright and credible witness. Her evidence was internally consistent and consistent with what little other evidence exists, such as the evidence of her sister. She did not appear to be exaggerating her symptoms and she unhesitatingly admitted that she tries, as much as possible, to not let her injury interfere with her lifestyle.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408</w:t>
      </w:r>
      <w:r>
        <w:rPr>
          <w:rFonts w:ascii="arial" w:eastAsia="arial" w:hAnsi="arial" w:cs="arial"/>
          <w:color w:val="000000"/>
          <w:sz w:val="20"/>
          <w:lang w:val="en-US" w:eastAsia="en-US" w:bidi="ar-SA"/>
        </w:rPr>
        <w:t xml:space="preserve">  I do not take the passage at paras. 36-37 of </w:t>
      </w:r>
      <w:r>
        <w:rPr>
          <w:rFonts w:ascii="arial" w:eastAsia="arial" w:hAnsi="arial" w:cs="arial"/>
          <w:i/>
          <w:color w:val="000000"/>
          <w:sz w:val="20"/>
          <w:lang w:val="en-US" w:eastAsia="en-US" w:bidi="ar-SA"/>
        </w:rPr>
        <w:t>Edmondson</w:t>
      </w:r>
      <w:r>
        <w:rPr>
          <w:rFonts w:ascii="arial" w:eastAsia="arial" w:hAnsi="arial" w:cs="arial"/>
          <w:color w:val="000000"/>
          <w:sz w:val="20"/>
          <w:lang w:val="en-US" w:eastAsia="en-US" w:bidi="ar-SA"/>
        </w:rPr>
        <w:t xml:space="preserve"> to preclude me from considering the paucity of recorded complaints concerning matters said to have caused the plaintiff "unrelenting pain" from the accident until the fall; only that I should not rely upon such absences solely to conclude the plaintiff, and others, have consciously or unconsciously, exaggerated the extent of the plaintiff's condition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409</w:t>
      </w:r>
      <w:r>
        <w:rPr>
          <w:rFonts w:ascii="arial" w:eastAsia="arial" w:hAnsi="arial" w:cs="arial"/>
          <w:color w:val="000000"/>
          <w:sz w:val="20"/>
          <w:lang w:val="en-US" w:eastAsia="en-US" w:bidi="ar-SA"/>
        </w:rPr>
        <w:t>  With that in mind, I go on to consider the whole of the evidence as it relates to the plaintiff's condition immediately preceding the fall.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Evidence and Opinion of Dr. McLachlan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410</w:t>
      </w:r>
      <w:r>
        <w:rPr>
          <w:rFonts w:ascii="arial" w:eastAsia="arial" w:hAnsi="arial" w:cs="arial"/>
          <w:color w:val="000000"/>
          <w:sz w:val="20"/>
          <w:lang w:val="en-US" w:eastAsia="en-US" w:bidi="ar-SA"/>
        </w:rPr>
        <w:t>  As noted, Dr. McLachlan was the sole medical practitioner who offered an opinion as to the source of the plaintiff's current complaints who also had the advantage of seeing the plaintiff both after the accident and prior to the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411</w:t>
      </w:r>
      <w:r>
        <w:rPr>
          <w:rFonts w:ascii="arial" w:eastAsia="arial" w:hAnsi="arial" w:cs="arial"/>
          <w:color w:val="000000"/>
          <w:sz w:val="20"/>
          <w:lang w:val="en-US" w:eastAsia="en-US" w:bidi="ar-SA"/>
        </w:rPr>
        <w:t>  In her initial report to counsel on February 18, 2008, Dr. McLachlan's report can be summarized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Ms. Bozic presented as a healthy, fit young woman prior to her motor vehicle accident and she had not become asymptomatic prior to her workplace accident. Recovery is incomplete and her prognosis is guarded.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412</w:t>
      </w:r>
      <w:r>
        <w:rPr>
          <w:rFonts w:ascii="arial" w:eastAsia="arial" w:hAnsi="arial" w:cs="arial"/>
          <w:color w:val="000000"/>
          <w:sz w:val="20"/>
          <w:lang w:val="en-US" w:eastAsia="en-US" w:bidi="ar-SA"/>
        </w:rPr>
        <w:t>  On July 28, 2009, Dr. McLachlan wrote again to plaintiff's counsel: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Prior to the workplace injury Ms. Bozic had not fully recovered from the MVA of 2004</w:t>
      </w:r>
      <w:r>
        <w:rPr>
          <w:rFonts w:ascii="arial" w:eastAsia="arial" w:hAnsi="arial" w:cs="arial"/>
          <w:color w:val="000000"/>
          <w:sz w:val="20"/>
          <w:lang w:val="en-US" w:eastAsia="en-US" w:bidi="ar-SA"/>
        </w:rPr>
        <w:t>. She still had headaches and neck pain and had not returned to her pre-accident level of activity in soccer and volleyball. The workplace fall did not directly involve her neck and upper back but did exacerbate her previous MVA-related injuries. As the severe symptoms from the workplace fall improved the headaches, neck pain and numbness in the upper extremities became more apparent again. Just prior to the fall, Ms. Bozic was being investigated for the upper extremity numbness and colour change, consistent with post-traumatic thoracic outlet syndrome as eventually determined by both Dr. Anthony Salvian and Dr. Alister Prout.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Despite multiple treatments including physiotherapy, acupuncture and massage, medications, investigations by neurology, orthopaedics and rheumatology, as well as back to work programs, Ms. Bozic remains significantly disabled. </w:t>
      </w:r>
      <w:r>
        <w:rPr>
          <w:rFonts w:ascii="arial" w:eastAsia="arial" w:hAnsi="arial" w:cs="arial"/>
          <w:color w:val="000000"/>
          <w:sz w:val="20"/>
          <w:u w:val="single"/>
          <w:lang w:val="en-US" w:eastAsia="en-US" w:bidi="ar-SA"/>
        </w:rPr>
        <w:t>She has multiple trigger points consistent with the diagnosis of fibromyalgia and significant anxiety and depressive symptoms attributable to the trauma suffered in the MVA</w:t>
      </w:r>
      <w:r>
        <w:rPr>
          <w:rFonts w:ascii="arial" w:eastAsia="arial" w:hAnsi="arial" w:cs="arial"/>
          <w:color w:val="000000"/>
          <w:sz w:val="20"/>
          <w:lang w:val="en-US" w:eastAsia="en-US" w:bidi="ar-SA"/>
        </w:rPr>
        <w:t xml:space="preserve"> as well as the loss of good health and chronic pain.</w:t>
      </w:r>
    </w:p>
    <w:p>
      <w:pPr>
        <w:spacing w:before="120" w:line="260" w:lineRule="atLeast"/>
        <w:ind w:left="288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413</w:t>
      </w:r>
      <w:r>
        <w:rPr>
          <w:rFonts w:ascii="arial" w:eastAsia="arial" w:hAnsi="arial" w:cs="arial"/>
          <w:color w:val="000000"/>
          <w:sz w:val="20"/>
          <w:lang w:val="en-US" w:eastAsia="en-US" w:bidi="ar-SA"/>
        </w:rPr>
        <w:t>  Despite her apparent certainty as to the plaintiff's condition immediately preceding the fall and her unqualified attribution of the plaintiff's present condition to the accident, I found her evidence to be of little, if any assistance, in establishing the plaintiff's actual status immediately prior to the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414</w:t>
      </w:r>
      <w:r>
        <w:rPr>
          <w:rFonts w:ascii="arial" w:eastAsia="arial" w:hAnsi="arial" w:cs="arial"/>
          <w:color w:val="000000"/>
          <w:sz w:val="20"/>
          <w:lang w:val="en-US" w:eastAsia="en-US" w:bidi="ar-SA"/>
        </w:rPr>
        <w:t>  Dr. McLachlan admitted she had not seen the plaintiff for over a year prior to the fall. When last seen in November of 2004, the visit, according to her evidence, had nothing to do with the accident or the resulting symptoms. Nor was the plaintiff's visit to her in July seemingly related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415</w:t>
      </w:r>
      <w:r>
        <w:rPr>
          <w:rFonts w:ascii="arial" w:eastAsia="arial" w:hAnsi="arial" w:cs="arial"/>
          <w:color w:val="000000"/>
          <w:sz w:val="20"/>
          <w:lang w:val="en-US" w:eastAsia="en-US" w:bidi="ar-SA"/>
        </w:rPr>
        <w:t>  The CL-19 prepared by Dr. McLachlan in mid 2004 opined that the plaintiff was 80% recovered. Dr. McLachlan explained she was not considering the complaints concerning the plaintiff's arms and hands as a possible result of the accident. Any connection between those symptoms and the accident had not yet been investigated.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416</w:t>
      </w:r>
      <w:r>
        <w:rPr>
          <w:rFonts w:ascii="arial" w:eastAsia="arial" w:hAnsi="arial" w:cs="arial"/>
          <w:color w:val="000000"/>
          <w:sz w:val="20"/>
          <w:lang w:val="en-US" w:eastAsia="en-US" w:bidi="ar-SA"/>
        </w:rPr>
        <w:t>  Nonetheless, she apparently considered the soft tissue component of the plaintiff's injuries 80% recovered by June 2004. Her qualification of that opinion based on her failure to examine the plaintiff before providing the CL-19 is contradicted, in my mind, by her subsequent assessments to WorkSafeBC, wherein she described the plaintiff as 90% recovered from the accident's effects.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417</w:t>
      </w:r>
      <w:r>
        <w:rPr>
          <w:rFonts w:ascii="arial" w:eastAsia="arial" w:hAnsi="arial" w:cs="arial"/>
          <w:color w:val="000000"/>
          <w:sz w:val="20"/>
          <w:lang w:val="en-US" w:eastAsia="en-US" w:bidi="ar-SA"/>
        </w:rPr>
        <w:t>  No mention was made in either her chart or the early medical reports prepared by Dr. McLachlan of mood disorder. However, in her report of December 14, 2010, Dr. McLachlan is able to recall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My recollection of Ms. Kovac's mental status over the past few years is as follows: </w:t>
      </w:r>
      <w:r>
        <w:rPr>
          <w:rFonts w:ascii="arial" w:eastAsia="arial" w:hAnsi="arial" w:cs="arial"/>
          <w:color w:val="000000"/>
          <w:sz w:val="20"/>
          <w:u w:val="single"/>
          <w:lang w:val="en-US" w:eastAsia="en-US" w:bidi="ar-SA"/>
        </w:rPr>
        <w:t>Prior to her motor vehicle accident there was no anxiety, depression or emotional difficulties</w:t>
      </w:r>
      <w:r>
        <w:rPr>
          <w:rFonts w:ascii="arial" w:eastAsia="arial" w:hAnsi="arial" w:cs="arial"/>
          <w:color w:val="000000"/>
          <w:sz w:val="20"/>
          <w:lang w:val="en-US" w:eastAsia="en-US" w:bidi="ar-SA"/>
        </w:rPr>
        <w:t xml:space="preserve">. She was a fit and happy lady. </w:t>
      </w:r>
      <w:r>
        <w:rPr>
          <w:rFonts w:ascii="arial" w:eastAsia="arial" w:hAnsi="arial" w:cs="arial"/>
          <w:color w:val="000000"/>
          <w:sz w:val="20"/>
          <w:u w:val="single"/>
          <w:lang w:val="en-US" w:eastAsia="en-US" w:bidi="ar-SA"/>
        </w:rPr>
        <w:t>After her motor vehicle accident</w:t>
      </w:r>
      <w:r>
        <w:rPr>
          <w:rFonts w:ascii="arial" w:eastAsia="arial" w:hAnsi="arial" w:cs="arial"/>
          <w:color w:val="000000"/>
          <w:sz w:val="20"/>
          <w:lang w:val="en-US" w:eastAsia="en-US" w:bidi="ar-SA"/>
        </w:rPr>
        <w:t xml:space="preserve"> she was positive and proactive in her attempts to recover, but as time passed and she did not make a full recovery, </w:t>
      </w:r>
      <w:r>
        <w:rPr>
          <w:rFonts w:ascii="arial" w:eastAsia="arial" w:hAnsi="arial" w:cs="arial"/>
          <w:color w:val="000000"/>
          <w:sz w:val="20"/>
          <w:u w:val="single"/>
          <w:lang w:val="en-US" w:eastAsia="en-US" w:bidi="ar-SA"/>
        </w:rPr>
        <w:t>she was progressively more disappointed and frustrated</w:t>
      </w:r>
      <w:r>
        <w:rPr>
          <w:rFonts w:ascii="arial" w:eastAsia="arial" w:hAnsi="arial" w:cs="arial"/>
          <w:color w:val="000000"/>
          <w:sz w:val="20"/>
          <w:lang w:val="en-US" w:eastAsia="en-US" w:bidi="ar-SA"/>
        </w:rPr>
        <w:t xml:space="preserve"> with her continued pain and limitations despite many visits to physiotherapy and massage therapy and the passage of time. I do recall her crying in the office and increased anxiety around driving, which continues to this day. Ms. Kovac was often crying in the office and very emotional when discussing her lack of improvement. Her loss of good health was having a significant impact on her marriage and she was frustrated with her inability to move forward with her teaching career.</w:t>
      </w:r>
    </w:p>
    <w:p>
      <w:pPr>
        <w:spacing w:before="120" w:line="260" w:lineRule="atLeast"/>
        <w:ind w:left="288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418</w:t>
      </w:r>
      <w:r>
        <w:rPr>
          <w:rFonts w:ascii="arial" w:eastAsia="arial" w:hAnsi="arial" w:cs="arial"/>
          <w:color w:val="000000"/>
          <w:sz w:val="20"/>
          <w:lang w:val="en-US" w:eastAsia="en-US" w:bidi="ar-SA"/>
        </w:rPr>
        <w:t>  The plaintiff's pre-fall chart is devoid of entries upon which Dr. McLachlan could conclude the plaintiff experienced increasing disappointment with lack of a full recovery, limitations caused by the ongoing symptoms or that she was experiencing anxiety or crying when in the office. All these things no doubt occurred after the January 2006 fall. Dr. McLachlan's chart is filled with such references after the fall happened.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419</w:t>
      </w:r>
      <w:r>
        <w:rPr>
          <w:rFonts w:ascii="arial" w:eastAsia="arial" w:hAnsi="arial" w:cs="arial"/>
          <w:color w:val="000000"/>
          <w:sz w:val="20"/>
          <w:lang w:val="en-US" w:eastAsia="en-US" w:bidi="ar-SA"/>
        </w:rPr>
        <w:t>  Nor is there any evidentiary basis for the following passage extracted from her December 14, 2010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Overall, in my interactions with Ms. Kovac prior to the motor vehicle accident and in the early parts of her disability, she presented as a stoic and positive individual by nature. </w:t>
      </w:r>
      <w:r>
        <w:rPr>
          <w:rFonts w:ascii="arial" w:eastAsia="arial" w:hAnsi="arial" w:cs="arial"/>
          <w:color w:val="000000"/>
          <w:sz w:val="20"/>
          <w:u w:val="single"/>
          <w:lang w:val="en-US" w:eastAsia="en-US" w:bidi="ar-SA"/>
        </w:rPr>
        <w:t>She was self-motivated and was likely not seen in my office often as she was working on her own with her allied health professionals to improve her pain. She was not one to take medications for every ache and pain and, as well, was trying to conceive, so was likely avoiding medications due to concerns about their [e]ffect on pregnancy. Although it is not recorded in my chart that I gave her samples of pain medications for headache, it is likely that her recollection is correct</w:t>
      </w:r>
      <w:r>
        <w:rPr>
          <w:rFonts w:ascii="arial" w:eastAsia="arial" w:hAnsi="arial" w:cs="arial"/>
          <w:color w:val="000000"/>
          <w:sz w:val="20"/>
          <w:lang w:val="en-US" w:eastAsia="en-US" w:bidi="ar-SA"/>
        </w:rPr>
        <w:t>. I failed to record it in my notes although I try to be diligent with recording samples given but in the early period after Ms. Kovac's accident, I myself had just returned from maternity leave and may have neglected to note the samples given.</w:t>
      </w:r>
    </w:p>
    <w:p>
      <w:pPr>
        <w:spacing w:before="120" w:line="260" w:lineRule="atLeast"/>
        <w:ind w:left="288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420</w:t>
      </w:r>
      <w:r>
        <w:rPr>
          <w:rFonts w:ascii="arial" w:eastAsia="arial" w:hAnsi="arial" w:cs="arial"/>
          <w:color w:val="000000"/>
          <w:sz w:val="20"/>
          <w:lang w:val="en-US" w:eastAsia="en-US" w:bidi="ar-SA"/>
        </w:rPr>
        <w:t>  The references to "allied health professionals" presumably relates to the eight physiotherapy treatments. Dr. McLachlan conceded in cross-examination she had no knowledge of the plaintiff working with "allied health professionals to improve her pain" outside of the visits to physiotherapy. She also conceded in cross-examination that she had no knowledge of any massage therapy undertaken by the plaintiff although she referenced it in her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421</w:t>
      </w:r>
      <w:r>
        <w:rPr>
          <w:rFonts w:ascii="arial" w:eastAsia="arial" w:hAnsi="arial" w:cs="arial"/>
          <w:color w:val="000000"/>
          <w:sz w:val="20"/>
          <w:lang w:val="en-US" w:eastAsia="en-US" w:bidi="ar-SA"/>
        </w:rPr>
        <w:t>  Nowhere does Dr. McLachlan actually agree she recalls offering samples of pain medication to the plaintiff, despite the plaintiff's assertion she did. She simply said her recollection is "likely correct".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422</w:t>
      </w:r>
      <w:r>
        <w:rPr>
          <w:rFonts w:ascii="arial" w:eastAsia="arial" w:hAnsi="arial" w:cs="arial"/>
          <w:color w:val="000000"/>
          <w:sz w:val="20"/>
          <w:lang w:val="en-US" w:eastAsia="en-US" w:bidi="ar-SA"/>
        </w:rPr>
        <w:t>  The last meeting upon which an assessment of the plaintiff's pre-fall condition by Dr. McLachlan could have occurred was that of May 3, 2004, less than three months following the accident. Other than appointments for unrelated matters in July and November 2004, Dr. McLachlan had no further involvement with the plaintiff until after she had the fall at work. Presumably, if medication samples were provided, this occurred in the early visits of February 2004 through to March.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423</w:t>
      </w:r>
      <w:r>
        <w:rPr>
          <w:rFonts w:ascii="arial" w:eastAsia="arial" w:hAnsi="arial" w:cs="arial"/>
          <w:color w:val="000000"/>
          <w:sz w:val="20"/>
          <w:lang w:val="en-US" w:eastAsia="en-US" w:bidi="ar-SA"/>
        </w:rPr>
        <w:t>  Despite her suggestion that she attempted to be diligent regarding the recording of samples given to patients, she acceded readily to the plaintiff's recollection that she was provided, on three occasions, sample medications for migraine-like headaches. Nowhere however is a complaint of headache noted until the second report of July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424</w:t>
      </w:r>
      <w:r>
        <w:rPr>
          <w:rFonts w:ascii="arial" w:eastAsia="arial" w:hAnsi="arial" w:cs="arial"/>
          <w:color w:val="000000"/>
          <w:sz w:val="20"/>
          <w:lang w:val="en-US" w:eastAsia="en-US" w:bidi="ar-SA"/>
        </w:rPr>
        <w:t>  The reference to sample pain medications presumably came about, I conclude, by virtue of the plaintiff telling Dr. McLachlan that such occurred; not any independent recall of the doctor, herself.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425</w:t>
      </w:r>
      <w:r>
        <w:rPr>
          <w:rFonts w:ascii="arial" w:eastAsia="arial" w:hAnsi="arial" w:cs="arial"/>
          <w:color w:val="000000"/>
          <w:sz w:val="20"/>
          <w:lang w:val="en-US" w:eastAsia="en-US" w:bidi="ar-SA"/>
        </w:rPr>
        <w:t>  Dr. McLachlan's willingness to admit to inadequate note taking does not satisfactorily explain her failure to record, on three separate occasions, dispensing prescriptive medication to a patient without noting the symptom for which the medication was prescribed. None of the locums overseeing Dr. McLachlan's practice while she was on maternity leave recorded any mention of headache, mood disorder, anxiety or sleep interruption.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426</w:t>
      </w:r>
      <w:r>
        <w:rPr>
          <w:rFonts w:ascii="arial" w:eastAsia="arial" w:hAnsi="arial" w:cs="arial"/>
          <w:color w:val="000000"/>
          <w:sz w:val="20"/>
          <w:lang w:val="en-US" w:eastAsia="en-US" w:bidi="ar-SA"/>
        </w:rPr>
        <w:t>  Dr. McLachlan's evidence is coloured by her speculation as to the plaintiff's motivation in not taking medications owing to concerns about their effect on her potential pregnancy. This speculation is beyond the ambit of expert opinion and crosses over into patient advocacy.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427</w:t>
      </w:r>
      <w:r>
        <w:rPr>
          <w:rFonts w:ascii="arial" w:eastAsia="arial" w:hAnsi="arial" w:cs="arial"/>
          <w:color w:val="000000"/>
          <w:sz w:val="20"/>
          <w:lang w:val="en-US" w:eastAsia="en-US" w:bidi="ar-SA"/>
        </w:rPr>
        <w:t>  The plaintiff's testimony is that she and her husband were not considering a family in the first year of marriage despite the November 2005 entry by the locum to the contrary.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428</w:t>
      </w:r>
      <w:r>
        <w:rPr>
          <w:rFonts w:ascii="arial" w:eastAsia="arial" w:hAnsi="arial" w:cs="arial"/>
          <w:color w:val="000000"/>
          <w:sz w:val="20"/>
          <w:lang w:val="en-US" w:eastAsia="en-US" w:bidi="ar-SA"/>
        </w:rPr>
        <w:t>  I note, as well, the letter provided by Dr. McLachlan to plaintiff's counsel so as to prevent access by the defendant to clinical records referencing the plaintiff's issue with infertility. In cross-examination, Dr. McLachlan acknowledged the plaintiff's apparent infertility was a contributing factor to her depressive 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429</w:t>
      </w:r>
      <w:r>
        <w:rPr>
          <w:rFonts w:ascii="arial" w:eastAsia="arial" w:hAnsi="arial" w:cs="arial"/>
          <w:color w:val="000000"/>
          <w:sz w:val="20"/>
          <w:lang w:val="en-US" w:eastAsia="en-US" w:bidi="ar-SA"/>
        </w:rPr>
        <w:t>  Following the workplace fall, Dr. McLachlan wrote repeatedly to WorkSafeBC to report on the plaintiff's progress. This was a requirement of WorkSafeBC for income replacement continuation. In those reports, Dr. McLachlan consistently denied the plaintiff had any prior or other problems which were affecting the injury, recovery or disability.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430</w:t>
      </w:r>
      <w:r>
        <w:rPr>
          <w:rFonts w:ascii="arial" w:eastAsia="arial" w:hAnsi="arial" w:cs="arial"/>
          <w:color w:val="000000"/>
          <w:sz w:val="20"/>
          <w:lang w:val="en-US" w:eastAsia="en-US" w:bidi="ar-SA"/>
        </w:rPr>
        <w:t>  That opinion, restated biweekly over an almost two-year period, is entirely incompatible with her evidence before me. As such I have no confidence in her opinion as to the plaintiff's post-accident condition. Much of her opinion, I conclude, was formed as a result of her meetings with the plaintiff well after the occurrence of the fall. In the result, I am unable to give her opinion as to the plaintiff's pre-fall condition any weight.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Ann Crosby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431</w:t>
      </w:r>
      <w:r>
        <w:rPr>
          <w:rFonts w:ascii="arial" w:eastAsia="arial" w:hAnsi="arial" w:cs="arial"/>
          <w:color w:val="000000"/>
          <w:sz w:val="20"/>
          <w:lang w:val="en-US" w:eastAsia="en-US" w:bidi="ar-SA"/>
        </w:rPr>
        <w:t>  The importance of the meeting with Ann Crosby in December 2005 is not that suggested by counsel for the defendant. He said the plaintiff invented symptoms relating to her hand because Ms. Crosby detailed her personal circumstances to the plaintiff in advance of, or at their December 2005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432</w:t>
      </w:r>
      <w:r>
        <w:rPr>
          <w:rFonts w:ascii="arial" w:eastAsia="arial" w:hAnsi="arial" w:cs="arial"/>
          <w:color w:val="000000"/>
          <w:sz w:val="20"/>
          <w:lang w:val="en-US" w:eastAsia="en-US" w:bidi="ar-SA"/>
        </w:rPr>
        <w:t>  The Crosby meeting is significant for the complete absence of discussion concerning symptoms which the plaintiff says plagued her since the date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433</w:t>
      </w:r>
      <w:r>
        <w:rPr>
          <w:rFonts w:ascii="arial" w:eastAsia="arial" w:hAnsi="arial" w:cs="arial"/>
          <w:color w:val="000000"/>
          <w:sz w:val="20"/>
          <w:lang w:val="en-US" w:eastAsia="en-US" w:bidi="ar-SA"/>
        </w:rPr>
        <w:t>  The note made in the plaintiff's chart on November 17, 2005, referenced the impending meeting with ICBC noting "both parties wanting to settle". That information could only have come from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434</w:t>
      </w:r>
      <w:r>
        <w:rPr>
          <w:rFonts w:ascii="arial" w:eastAsia="arial" w:hAnsi="arial" w:cs="arial"/>
          <w:color w:val="000000"/>
          <w:sz w:val="20"/>
          <w:lang w:val="en-US" w:eastAsia="en-US" w:bidi="ar-SA"/>
        </w:rPr>
        <w:t>  Settlement discussions seem most improbable from the plaintiff's standpoint if she was still, as she asserts, suffering from the variety and severity of symptoms she and other witnesses testified she experienced up until the date of the fall. If taken at face value, the plaintiff's symptoms barely allowed her to function at work by November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435</w:t>
      </w:r>
      <w:r>
        <w:rPr>
          <w:rFonts w:ascii="arial" w:eastAsia="arial" w:hAnsi="arial" w:cs="arial"/>
          <w:color w:val="000000"/>
          <w:sz w:val="20"/>
          <w:lang w:val="en-US" w:eastAsia="en-US" w:bidi="ar-SA"/>
        </w:rPr>
        <w:t>  According to she and her husband, the primary, if not sole, reason for her admission to Burnaby General Emergency on November 28, 2005, was for the treatment of accident related symptoms. Yet neither relayed the hospital admission, which occurred but days before, to Ms. Crosby.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436</w:t>
      </w:r>
      <w:r>
        <w:rPr>
          <w:rFonts w:ascii="arial" w:eastAsia="arial" w:hAnsi="arial" w:cs="arial"/>
          <w:color w:val="000000"/>
          <w:sz w:val="20"/>
          <w:lang w:val="en-US" w:eastAsia="en-US" w:bidi="ar-SA"/>
        </w:rPr>
        <w:t xml:space="preserve">  Similarly, while mindful of the admonition in </w:t>
      </w:r>
      <w:r>
        <w:rPr>
          <w:rFonts w:ascii="arial" w:eastAsia="arial" w:hAnsi="arial" w:cs="arial"/>
          <w:i/>
          <w:color w:val="000000"/>
          <w:sz w:val="20"/>
          <w:lang w:val="en-US" w:eastAsia="en-US" w:bidi="ar-SA"/>
        </w:rPr>
        <w:t>Edmondson</w:t>
      </w:r>
      <w:r>
        <w:rPr>
          <w:rFonts w:ascii="arial" w:eastAsia="arial" w:hAnsi="arial" w:cs="arial"/>
          <w:color w:val="000000"/>
          <w:sz w:val="20"/>
          <w:lang w:val="en-US" w:eastAsia="en-US" w:bidi="ar-SA"/>
        </w:rPr>
        <w:t xml:space="preserve"> as to available inferences given the absence of a recorded complaint, it appears neither Mike Kovac nor the plaintiff detailed the particulars of her injuries in the meeting with Ms. Crosby. Each was insistent, however, that such was the purpose of the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437</w:t>
      </w:r>
      <w:r>
        <w:rPr>
          <w:rFonts w:ascii="arial" w:eastAsia="arial" w:hAnsi="arial" w:cs="arial"/>
          <w:color w:val="000000"/>
          <w:sz w:val="20"/>
          <w:lang w:val="en-US" w:eastAsia="en-US" w:bidi="ar-SA"/>
        </w:rPr>
        <w:t>  It is clear the plaintiff's hand symptoms were discussed at length together with the accompanying tightness in her neck. The absence of any reference to headaches, sleep interruption, loss of concentration, anxiety or mood alteration is either because the plaintiff did not bring them up or Ms. Crosby failed to note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438</w:t>
      </w:r>
      <w:r>
        <w:rPr>
          <w:rFonts w:ascii="arial" w:eastAsia="arial" w:hAnsi="arial" w:cs="arial"/>
          <w:color w:val="000000"/>
          <w:sz w:val="20"/>
          <w:lang w:val="en-US" w:eastAsia="en-US" w:bidi="ar-SA"/>
        </w:rPr>
        <w:t>  I reject the latter explanation as highly improbable given the sole purpose, from the adjuster's standpoint, was to either settle the claim or gain information about it to provide a roadmap of the plaintiff's complaints. Given the only information on which Ms. Crosby was assessing the claim was the CL-19 describing the plaintiff as 80% recovered in June 2004, it was important in a meeting designed to bring about resolution to raise all the symptoms she was experiencing.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439</w:t>
      </w:r>
      <w:r>
        <w:rPr>
          <w:rFonts w:ascii="arial" w:eastAsia="arial" w:hAnsi="arial" w:cs="arial"/>
          <w:color w:val="000000"/>
          <w:sz w:val="20"/>
          <w:lang w:val="en-US" w:eastAsia="en-US" w:bidi="ar-SA"/>
        </w:rPr>
        <w:t>  Ms. Crosby concluded settlement was not appropriate because the plaintiff's complaints concerning her arms and hands had not been sufficiently investigated. She may well have suggested a neurological consultation as the plaintiff suggests. However, had she been informed of a recent visit to Emergency because of back, shoulder and neck pain or of unrelenting headaches, sleep loss, loss of concentration and anxiety over driving, I infer that Ms. Crosby would have added those complaints to her notes of the conversation.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440</w:t>
      </w:r>
      <w:r>
        <w:rPr>
          <w:rFonts w:ascii="arial" w:eastAsia="arial" w:hAnsi="arial" w:cs="arial"/>
          <w:color w:val="000000"/>
          <w:sz w:val="20"/>
          <w:lang w:val="en-US" w:eastAsia="en-US" w:bidi="ar-SA"/>
        </w:rPr>
        <w:t xml:space="preserve">  The absence of such complaints militates strongly against the plaintiff's suggestion that she was just getting by prior to the workplace fall and her pre-fall symptoms required accommodations both at work and in her personal life. Were that so, the meeting with Ms. Crosby provided an excellent forum for discussion and possible efforts at treatment and rehabilitation. These symptoms, to use the words found in </w:t>
      </w:r>
      <w:r>
        <w:rPr>
          <w:rFonts w:ascii="arial" w:eastAsia="arial" w:hAnsi="arial" w:cs="arial"/>
          <w:i/>
          <w:color w:val="000000"/>
          <w:sz w:val="20"/>
          <w:lang w:val="en-US" w:eastAsia="en-US" w:bidi="ar-SA"/>
        </w:rPr>
        <w:t>Edmondson</w:t>
      </w:r>
      <w:r>
        <w:rPr>
          <w:rFonts w:ascii="arial" w:eastAsia="arial" w:hAnsi="arial" w:cs="arial"/>
          <w:color w:val="000000"/>
          <w:sz w:val="20"/>
          <w:lang w:val="en-US" w:eastAsia="en-US" w:bidi="ar-SA"/>
        </w:rPr>
        <w:t>, are of a "severe or catastrophic" nature.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WorkSafeBC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441</w:t>
      </w:r>
      <w:r>
        <w:rPr>
          <w:rFonts w:ascii="arial" w:eastAsia="arial" w:hAnsi="arial" w:cs="arial"/>
          <w:color w:val="000000"/>
          <w:sz w:val="20"/>
          <w:lang w:val="en-US" w:eastAsia="en-US" w:bidi="ar-SA"/>
        </w:rPr>
        <w:t>  I reject the plaintiff's explanation concerning the creation of the WorkSafeBC claims application and, more particularly, the inaccuracies recorded therein. Regardless of who completed the application, the plaintiff signed it and attested to its accuracy. The only conclusion available from the evidence is that the plaintiff provided the information to her mother and then read and signed the completed form.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442</w:t>
      </w:r>
      <w:r>
        <w:rPr>
          <w:rFonts w:ascii="arial" w:eastAsia="arial" w:hAnsi="arial" w:cs="arial"/>
          <w:color w:val="000000"/>
          <w:sz w:val="20"/>
          <w:lang w:val="en-US" w:eastAsia="en-US" w:bidi="ar-SA"/>
        </w:rPr>
        <w:t>  The denial of previous back injury in the application is consistent with Mr. Lim's evidence that the plaintiff later told him that her accident symptoms had resolved. I am mindful of the fact that at this point in time, March 2006, no investigation into the aetiology of her hand and arm complaints had taken place. The plaintiff didn't know, at the time she completed the application, whether the hand and arm symptoms were as a result of the accident or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443</w:t>
      </w:r>
      <w:r>
        <w:rPr>
          <w:rFonts w:ascii="arial" w:eastAsia="arial" w:hAnsi="arial" w:cs="arial"/>
          <w:color w:val="000000"/>
          <w:sz w:val="20"/>
          <w:lang w:val="en-US" w:eastAsia="en-US" w:bidi="ar-SA"/>
        </w:rPr>
        <w:t>  The evidence of Ms. Bickley, the occupational therapist, coupled with the references to which I have earlier referred to in the WorkSafeBC records persuade me that the plaintiff never brought to the attention of WorkSafeBC any restrictions in her performance as a schoolteacher as a result of symptoms from the accident. In particular, I note the comment of Ms. Clegg: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worker said she is a Grade 2 teacher and because she is tall, she sits, kneels and bends often with her students. </w:t>
      </w:r>
      <w:r>
        <w:rPr>
          <w:rFonts w:ascii="arial" w:eastAsia="arial" w:hAnsi="arial" w:cs="arial"/>
          <w:color w:val="000000"/>
          <w:sz w:val="20"/>
          <w:u w:val="single"/>
          <w:lang w:val="en-US" w:eastAsia="en-US" w:bidi="ar-SA"/>
        </w:rPr>
        <w:t>She said she is a very active teacher and physically acts out her teaching.</w:t>
      </w:r>
    </w:p>
    <w:p>
      <w:pPr>
        <w:spacing w:before="120" w:line="260" w:lineRule="atLeast"/>
        <w:ind w:left="288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444</w:t>
      </w:r>
      <w:r>
        <w:rPr>
          <w:rFonts w:ascii="arial" w:eastAsia="arial" w:hAnsi="arial" w:cs="arial"/>
          <w:color w:val="000000"/>
          <w:sz w:val="20"/>
          <w:lang w:val="en-US" w:eastAsia="en-US" w:bidi="ar-SA"/>
        </w:rPr>
        <w:t>  The foregoing hardly conjures up the image portrayed by the plaintiff as someone barely functioning at work and carrying on only at the sacrifice of all leisure activities. It does, however, accord with the evidence of the St. Helen staff.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445</w:t>
      </w:r>
      <w:r>
        <w:rPr>
          <w:rFonts w:ascii="arial" w:eastAsia="arial" w:hAnsi="arial" w:cs="arial"/>
          <w:color w:val="000000"/>
          <w:sz w:val="20"/>
          <w:lang w:val="en-US" w:eastAsia="en-US" w:bidi="ar-SA"/>
        </w:rPr>
        <w:t>  Indeed, one of the chief complaints was of arm tingling/numbness brought about, in part, by raising her arms over shoulder height. The plaintiff testified she modified her teaching methodology as a result. She complained of unrelenting pain from her back, neck and shoulder region. Yet in January 2006, she climbed onto a cabinet and stood with hands over her head on tiptoes for a period estimated to be close to five minutes trying to reattach children's artwork to an overhead display.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446</w:t>
      </w:r>
      <w:r>
        <w:rPr>
          <w:rFonts w:ascii="arial" w:eastAsia="arial" w:hAnsi="arial" w:cs="arial"/>
          <w:color w:val="000000"/>
          <w:sz w:val="20"/>
          <w:lang w:val="en-US" w:eastAsia="en-US" w:bidi="ar-SA"/>
        </w:rPr>
        <w:t>  This action, alone, seems incompatible with the level of discomfort and disability the plaintiff said she was experiencing.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447</w:t>
      </w:r>
      <w:r>
        <w:rPr>
          <w:rFonts w:ascii="arial" w:eastAsia="arial" w:hAnsi="arial" w:cs="arial"/>
          <w:color w:val="000000"/>
          <w:sz w:val="20"/>
          <w:lang w:val="en-US" w:eastAsia="en-US" w:bidi="ar-SA"/>
        </w:rPr>
        <w:t>  The plaintiff's letter to WorkSafeBC in June 2008 makes clear she believes the fall to be the sole source of her restrictions. While recognizing it was not incumbent on the plaintiff to parse out in detail the effects of the accident, the accident is not even mentioned in passing. More importantly, there is no mention of restrictions on activity predating the fall.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Evidence of St. Helen's Staff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448</w:t>
      </w:r>
      <w:r>
        <w:rPr>
          <w:rFonts w:ascii="arial" w:eastAsia="arial" w:hAnsi="arial" w:cs="arial"/>
          <w:color w:val="000000"/>
          <w:sz w:val="20"/>
          <w:lang w:val="en-US" w:eastAsia="en-US" w:bidi="ar-SA"/>
        </w:rPr>
        <w:t>  The three witnesses from St. Helen's School were as one when it came to describing the plaintiff's capacity as a teacher. Collectively, their involvement with the plaintiff was consistent from after the accident to the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449</w:t>
      </w:r>
      <w:r>
        <w:rPr>
          <w:rFonts w:ascii="arial" w:eastAsia="arial" w:hAnsi="arial" w:cs="arial"/>
          <w:color w:val="000000"/>
          <w:sz w:val="20"/>
          <w:lang w:val="en-US" w:eastAsia="en-US" w:bidi="ar-SA"/>
        </w:rPr>
        <w:t>  All partook in morning meetings prior to the commencement of class. None of the three St. Helen's staff even knew of the accident let alone witnessed the pain behaviour said to be so apparent to family and friends. None recalled her leaving the school at noon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450</w:t>
      </w:r>
      <w:r>
        <w:rPr>
          <w:rFonts w:ascii="arial" w:eastAsia="arial" w:hAnsi="arial" w:cs="arial"/>
          <w:color w:val="000000"/>
          <w:sz w:val="20"/>
          <w:lang w:val="en-US" w:eastAsia="en-US" w:bidi="ar-SA"/>
        </w:rPr>
        <w:t>  Mr. Sambor did not recall the incident involving the student Jessica Lando or the subsequent meeting with her parents. He could not locate any record of the event to refresh his memory. On balance, I conclude it improbable that an event such as the withdrawal of a student from the school, for the reasons stated by the plaintiff, would not be either remembered by Mr. Sambor or recorded in either the student's file or the plaintiff's employment record.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451</w:t>
      </w:r>
      <w:r>
        <w:rPr>
          <w:rFonts w:ascii="arial" w:eastAsia="arial" w:hAnsi="arial" w:cs="arial"/>
          <w:color w:val="000000"/>
          <w:sz w:val="20"/>
          <w:lang w:val="en-US" w:eastAsia="en-US" w:bidi="ar-SA"/>
        </w:rPr>
        <w:t>  Finally, the letters of references provided by the St. Helen's staff cannot be reconciled with the plaintiff's depiction of her performance at the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452</w:t>
      </w:r>
      <w:r>
        <w:rPr>
          <w:rFonts w:ascii="arial" w:eastAsia="arial" w:hAnsi="arial" w:cs="arial"/>
          <w:color w:val="000000"/>
          <w:sz w:val="20"/>
          <w:lang w:val="en-US" w:eastAsia="en-US" w:bidi="ar-SA"/>
        </w:rPr>
        <w:t>  Following the workplace fall, all three St. Helen's staff portrayed the plaintiff in much the same fashion she describes as being the case since the accident in 2004.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Other Matters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453</w:t>
      </w:r>
      <w:r>
        <w:rPr>
          <w:rFonts w:ascii="arial" w:eastAsia="arial" w:hAnsi="arial" w:cs="arial"/>
          <w:color w:val="000000"/>
          <w:sz w:val="20"/>
          <w:lang w:val="en-US" w:eastAsia="en-US" w:bidi="ar-SA"/>
        </w:rPr>
        <w:t>  Each of the plaintiff and her husband testified that the admission to Burnaby General Emergency was related to the accident symptoms that the plaintiff experienced. The admission occurred in November 2005. Despite its apparent significance, the plaintiff never mentioned it to either the locum she saw on November 30, 2005 or to Ms. Crosby.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454</w:t>
      </w:r>
      <w:r>
        <w:rPr>
          <w:rFonts w:ascii="arial" w:eastAsia="arial" w:hAnsi="arial" w:cs="arial"/>
          <w:color w:val="000000"/>
          <w:sz w:val="20"/>
          <w:lang w:val="en-US" w:eastAsia="en-US" w:bidi="ar-SA"/>
        </w:rPr>
        <w:t>  The record, on its face, described a gastro-intestinal problem; not shoulder and neck pain as described by Mike Kovac.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455</w:t>
      </w:r>
      <w:r>
        <w:rPr>
          <w:rFonts w:ascii="arial" w:eastAsia="arial" w:hAnsi="arial" w:cs="arial"/>
          <w:color w:val="000000"/>
          <w:sz w:val="20"/>
          <w:lang w:val="en-US" w:eastAsia="en-US" w:bidi="ar-SA"/>
        </w:rPr>
        <w:t>  The same applies to the hospital admission following her brother's wedding. Undoubtedly, the plaintiff's back symptoms were acute in April 2006. She attended his wedding, in pain, then proceeded to "self-medicate" with shots. Her admission to hospital was as a result of back spasms, a symptom brought about by the fall; not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456</w:t>
      </w:r>
      <w:r>
        <w:rPr>
          <w:rFonts w:ascii="arial" w:eastAsia="arial" w:hAnsi="arial" w:cs="arial"/>
          <w:color w:val="000000"/>
          <w:sz w:val="20"/>
          <w:lang w:val="en-US" w:eastAsia="en-US" w:bidi="ar-SA"/>
        </w:rPr>
        <w:t>  The evidence of Mr. Mustapic regarding the Kelowna trip stands in direct contrast to Ms. Brkich. He said the wine touring ceased because of the plaintiff's pain. Ms. Brkich testified the reason was the intoxication of some of the participants. According to her, the plaintiff wanted to carry 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457</w:t>
      </w:r>
      <w:r>
        <w:rPr>
          <w:rFonts w:ascii="arial" w:eastAsia="arial" w:hAnsi="arial" w:cs="arial"/>
          <w:color w:val="000000"/>
          <w:sz w:val="20"/>
          <w:lang w:val="en-US" w:eastAsia="en-US" w:bidi="ar-SA"/>
        </w:rPr>
        <w:t>  In May 2004, the plaintiff was provided with a requisition to obtain cervical x-rays by Dr. McLachlan. According to the plaintiff, she was in significant distress and not getting relief. Nonetheless, she apparently lost the requisition and didn't seek to have the x-rays done until almost a year later. The x-rays, once taken, were negative. It is difficult to conceive how the plaintiff could be experiencing the level of discomfort she described yet not follow through with the steps required for diagnosis. I conclude the plaintiff's complaints were not nearly as significant as described and she simply didn't bother to follow up on the x-rays.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458</w:t>
      </w:r>
      <w:r>
        <w:rPr>
          <w:rFonts w:ascii="arial" w:eastAsia="arial" w:hAnsi="arial" w:cs="arial"/>
          <w:color w:val="000000"/>
          <w:sz w:val="20"/>
          <w:lang w:val="en-US" w:eastAsia="en-US" w:bidi="ar-SA"/>
        </w:rPr>
        <w:t>  The plaintiff also gave different reports of the workplace fall to different doctors. She told Dr. Prout she felt dizzy before the fall but specifically denied dizziness to Dr. Robinson. She told others she didn't know if she was dizzy.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459</w:t>
      </w:r>
      <w:r>
        <w:rPr>
          <w:rFonts w:ascii="arial" w:eastAsia="arial" w:hAnsi="arial" w:cs="arial"/>
          <w:color w:val="000000"/>
          <w:sz w:val="20"/>
          <w:lang w:val="en-US" w:eastAsia="en-US" w:bidi="ar-SA"/>
        </w:rPr>
        <w:t>  She told Dr. Salvian that she had missed several days of work owing to accident related symptoms but made no such claim to Ann Crosby, the adjuster handling her claim.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Workplace Accident and its Aftermath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460</w:t>
      </w:r>
      <w:r>
        <w:rPr>
          <w:rFonts w:ascii="arial" w:eastAsia="arial" w:hAnsi="arial" w:cs="arial"/>
          <w:color w:val="000000"/>
          <w:sz w:val="20"/>
          <w:lang w:val="en-US" w:eastAsia="en-US" w:bidi="ar-SA"/>
        </w:rPr>
        <w:t>  The evidence discloses a quantum shift in the plaintiff's capacity to work after the fall. The forces applied to the whole of her back and neck was undoubtedly substantial and provides a credible explanation for the whole of her present complaints.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461</w:t>
      </w:r>
      <w:r>
        <w:rPr>
          <w:rFonts w:ascii="arial" w:eastAsia="arial" w:hAnsi="arial" w:cs="arial"/>
          <w:color w:val="000000"/>
          <w:sz w:val="20"/>
          <w:lang w:val="en-US" w:eastAsia="en-US" w:bidi="ar-SA"/>
        </w:rPr>
        <w:t>  In the two years following the accident, but prior to the fall, the plaintiff attended her doctor on eight occasions (two of which were wholly unrelated to her symptoms). She had eight of twelve available physiotherapy treatments.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462</w:t>
      </w:r>
      <w:r>
        <w:rPr>
          <w:rFonts w:ascii="arial" w:eastAsia="arial" w:hAnsi="arial" w:cs="arial"/>
          <w:color w:val="000000"/>
          <w:sz w:val="20"/>
          <w:lang w:val="en-US" w:eastAsia="en-US" w:bidi="ar-SA"/>
        </w:rPr>
        <w:t>  After the fall, the plaintiff's attendance on medical practitioners, including physiotherapists, acupuncturists, and massage therapists, are measured in the hundreds. Her mood deteriorated to the point that she required the intervention of Dr. Stepaniuk in 2008. The alteration in her mood is well documented in the post-fall medical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463</w:t>
      </w:r>
      <w:r>
        <w:rPr>
          <w:rFonts w:ascii="arial" w:eastAsia="arial" w:hAnsi="arial" w:cs="arial"/>
          <w:color w:val="000000"/>
          <w:sz w:val="20"/>
          <w:lang w:val="en-US" w:eastAsia="en-US" w:bidi="ar-SA"/>
        </w:rPr>
        <w:t>  I reject the notion that she had any predisposition towards depression as a result of the residual symptoms from the accident. Neither her pre-fall medical chart, the evidence of the St. Helen's witnesses nor her self-report to WorkSafeBC support this contention.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464</w:t>
      </w:r>
      <w:r>
        <w:rPr>
          <w:rFonts w:ascii="arial" w:eastAsia="arial" w:hAnsi="arial" w:cs="arial"/>
          <w:color w:val="000000"/>
          <w:sz w:val="20"/>
          <w:lang w:val="en-US" w:eastAsia="en-US" w:bidi="ar-SA"/>
        </w:rPr>
        <w:t>  I agree with the defendant that the "severity, frequency, intensity and debilitating effects of all symptoms, including upper body symptoms, changed so dramatically after the fall" such that the residual symptoms from the accident are entirely distinguishable from the symptoms experienced after the fall. I say that mindful of the fact the symptoms to the plaintiff's arms and hands preceded the occurrence of the fall and, in my view are attributable to the accident. Those symptoms, however, were never suggested by the medical experts to be disabling or capable of becoming disabling if left untreated.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465</w:t>
      </w:r>
      <w:r>
        <w:rPr>
          <w:rFonts w:ascii="arial" w:eastAsia="arial" w:hAnsi="arial" w:cs="arial"/>
          <w:color w:val="000000"/>
          <w:sz w:val="20"/>
          <w:lang w:val="en-US" w:eastAsia="en-US" w:bidi="ar-SA"/>
        </w:rPr>
        <w:t>  If proof were needed for that proposition, I note again the plaintiff, despite the arm and hand complaints, attempted to reattach a student's artwork to a display well over her head necessitating the extension of her arms well above her head for five minutes prior to falling.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466</w:t>
      </w:r>
      <w:r>
        <w:rPr>
          <w:rFonts w:ascii="arial" w:eastAsia="arial" w:hAnsi="arial" w:cs="arial"/>
          <w:color w:val="000000"/>
          <w:sz w:val="20"/>
          <w:lang w:val="en-US" w:eastAsia="en-US" w:bidi="ar-SA"/>
        </w:rPr>
        <w:t>  The opinions of those experts who opined that the plaintiff's current injuries are causally connected to the accident are tainted, in my view, with factual inaccuracies as to the plaintiff's medical status immediately preceding the fall. They accepted the history given by the plaintiff of significant ongoing symptoms from the accident which were exacerbated by the fall resulting, ultimately, in chronic pain and depression which prevents the plaintiff from full-time employment. I do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467</w:t>
      </w:r>
      <w:r>
        <w:rPr>
          <w:rFonts w:ascii="arial" w:eastAsia="arial" w:hAnsi="arial" w:cs="arial"/>
          <w:color w:val="000000"/>
          <w:sz w:val="20"/>
          <w:lang w:val="en-US" w:eastAsia="en-US" w:bidi="ar-SA"/>
        </w:rPr>
        <w:t>  Whether Mrs. Kovac and those lay witnesses testifying on her behalf were untruthful or conflated her symptoms after the fall with those from before, I needn't determine. Based on the combination of her medical records, her reports to WorkSafeBC and the evidence of the St. Helen's staff, I conclude the plaintiff had largely, if not entirely, recovered from the soft tissue component of her injury by January 2006. She was and is still suffering from occasional symptoms of numbness and tingling in her arms and hands. The symptoms associated with her arm and hand tingling and numbness were not disabling prior to the fall and, viewed in isolation, would not be disabling now. There appeared no worsening of the symptoms between the date of their original report to Dr. McLachlan in 2004 and the fall, almost two years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468</w:t>
      </w:r>
      <w:r>
        <w:rPr>
          <w:rFonts w:ascii="arial" w:eastAsia="arial" w:hAnsi="arial" w:cs="arial"/>
          <w:color w:val="000000"/>
          <w:sz w:val="20"/>
          <w:lang w:val="en-US" w:eastAsia="en-US" w:bidi="ar-SA"/>
        </w:rPr>
        <w:t>  In this regard, I note the evidence of Dr. Salvian in his report dated June 30, 2009, where at page 39 he stated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slip and fall did not cause Ms. Kovac's post traumatic thoracic outlet syndrome. It does not even appear to have exacerbated the post traumatic thoracic outlet syndrome since her neck and arm symptoms became less noticeable and overshadowed by the severe back problems that prevented her from doing any significant activity.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469</w:t>
      </w:r>
      <w:r>
        <w:rPr>
          <w:rFonts w:ascii="arial" w:eastAsia="arial" w:hAnsi="arial" w:cs="arial"/>
          <w:color w:val="000000"/>
          <w:sz w:val="20"/>
          <w:lang w:val="en-US" w:eastAsia="en-US" w:bidi="ar-SA"/>
        </w:rPr>
        <w:t>  In assessing the plaintiff's post-accident, pre-fall status, I note that the plaintiff, to use her own report to ICBC, had low back soreness "for years". That she continued to complain of soreness in her low back as late as November 2005 needs be viewed with this in mind.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470</w:t>
      </w:r>
      <w:r>
        <w:rPr>
          <w:rFonts w:ascii="arial" w:eastAsia="arial" w:hAnsi="arial" w:cs="arial"/>
          <w:color w:val="000000"/>
          <w:sz w:val="20"/>
          <w:lang w:val="en-US" w:eastAsia="en-US" w:bidi="ar-SA"/>
        </w:rPr>
        <w:t xml:space="preserve">  To paraphrase the passage in </w:t>
      </w:r>
      <w:r>
        <w:rPr>
          <w:rFonts w:ascii="arial" w:eastAsia="arial" w:hAnsi="arial" w:cs="arial"/>
          <w:i/>
          <w:color w:val="000000"/>
          <w:sz w:val="20"/>
          <w:lang w:val="en-US" w:eastAsia="en-US" w:bidi="ar-SA"/>
        </w:rPr>
        <w:t>Bradley</w:t>
      </w:r>
      <w:r>
        <w:rPr>
          <w:rFonts w:ascii="arial" w:eastAsia="arial" w:hAnsi="arial" w:cs="arial"/>
          <w:color w:val="000000"/>
          <w:sz w:val="20"/>
          <w:lang w:val="en-US" w:eastAsia="en-US" w:bidi="ar-SA"/>
        </w:rPr>
        <w:t xml:space="preserve"> at para. 38, without a determination that the injuries from the two incidents were indivisible, the plaintiff may only recover from the defendant the damages occasioned by the 2004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471</w:t>
      </w:r>
      <w:r>
        <w:rPr>
          <w:rFonts w:ascii="arial" w:eastAsia="arial" w:hAnsi="arial" w:cs="arial"/>
          <w:color w:val="000000"/>
          <w:sz w:val="20"/>
          <w:lang w:val="en-US" w:eastAsia="en-US" w:bidi="ar-SA"/>
        </w:rPr>
        <w:t>  Those, I find, are a moderate strain to her back and neck which, for the most part, recovered by the date of the fall, and symptoms of arm/hand tingling/numbness which has persisted to date. Neither injury was disabling.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Post-Traumatic Stress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472</w:t>
      </w:r>
      <w:r>
        <w:rPr>
          <w:rFonts w:ascii="arial" w:eastAsia="arial" w:hAnsi="arial" w:cs="arial"/>
          <w:color w:val="000000"/>
          <w:sz w:val="20"/>
          <w:lang w:val="en-US" w:eastAsia="en-US" w:bidi="ar-SA"/>
        </w:rPr>
        <w:t>  There remains the disputed diagnosis of post-traumatic stress disorder. Dr. Stephen Anderson, a psychiatrist, and Dr. Holly Stepaniuk, a psychologist, both diagnosed the plaintiff as suffering from post-traumatic stress disorder as a result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473</w:t>
      </w:r>
      <w:r>
        <w:rPr>
          <w:rFonts w:ascii="arial" w:eastAsia="arial" w:hAnsi="arial" w:cs="arial"/>
          <w:color w:val="000000"/>
          <w:sz w:val="20"/>
          <w:lang w:val="en-US" w:eastAsia="en-US" w:bidi="ar-SA"/>
        </w:rPr>
        <w:t>  On behalf of the defendant, Dr. Zoffmann, a psychiatrist, disagreed.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474</w:t>
      </w:r>
      <w:r>
        <w:rPr>
          <w:rFonts w:ascii="arial" w:eastAsia="arial" w:hAnsi="arial" w:cs="arial"/>
          <w:color w:val="000000"/>
          <w:sz w:val="20"/>
          <w:lang w:val="en-US" w:eastAsia="en-US" w:bidi="ar-SA"/>
        </w:rPr>
        <w:t>  Dr. Anderson and Dr. Zoffmann both saw the plaintiff once, in 2010 and 2009, respectively. Dr. Stepaniuk saw the plaintiff on multiple occasions commencing in October 2008 and carrying on up to the date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475</w:t>
      </w:r>
      <w:r>
        <w:rPr>
          <w:rFonts w:ascii="arial" w:eastAsia="arial" w:hAnsi="arial" w:cs="arial"/>
          <w:color w:val="000000"/>
          <w:sz w:val="20"/>
          <w:lang w:val="en-US" w:eastAsia="en-US" w:bidi="ar-SA"/>
        </w:rPr>
        <w:t>  Both Drs. Stepaniuk and Anderson relied, as did others, on the accuracy of the plaintiff's complaints which gave rise to their diagnosis. I have found that history to be unreliable.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476</w:t>
      </w:r>
      <w:r>
        <w:rPr>
          <w:rFonts w:ascii="arial" w:eastAsia="arial" w:hAnsi="arial" w:cs="arial"/>
          <w:color w:val="000000"/>
          <w:sz w:val="20"/>
          <w:lang w:val="en-US" w:eastAsia="en-US" w:bidi="ar-SA"/>
        </w:rPr>
        <w:t>  There is no dispute that the criteria for the diagnosis for PTSD includes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person has been exposed to a traumatic event in which both of the following were present: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person experienced, witnessed or was confronted with an event or events that involved actual or threatened death or serious injury or a threat to the physical integrity of self or others.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person's response involved intense fear, helplessness, or horror.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traumatic event is persistently re-experienced in one (or more) of the following ways: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Recurrent and intrusive distressing recollections of the event, including images, thoughts, or perceptions.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Recurring distressing dreams of the event.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Acting or feeling as if the traumatic event were recurring (includes a sense of reliving the experience, illusions, hallucinations, and dissociative flashback episodes, including those that occur on awakening or when intoxicated).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Intense psychological distress at exposure to internal or external cues that symbolize or resemble an aspect of the traumatic event.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Physiological reactivity on exposure to internal or external cues that symbolize or resemble an aspect of the traumatic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477</w:t>
      </w:r>
      <w:r>
        <w:rPr>
          <w:rFonts w:ascii="arial" w:eastAsia="arial" w:hAnsi="arial" w:cs="arial"/>
          <w:color w:val="000000"/>
          <w:sz w:val="20"/>
          <w:lang w:val="en-US" w:eastAsia="en-US" w:bidi="ar-SA"/>
        </w:rPr>
        <w:t>  Fundamental to the underpinnings of the diagnosis of PTSD is the acceptance by both Drs. Anderson and Stepaniuk of the plaintiff's pre-fall depressive 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478</w:t>
      </w:r>
      <w:r>
        <w:rPr>
          <w:rFonts w:ascii="arial" w:eastAsia="arial" w:hAnsi="arial" w:cs="arial"/>
          <w:color w:val="000000"/>
          <w:sz w:val="20"/>
          <w:lang w:val="en-US" w:eastAsia="en-US" w:bidi="ar-SA"/>
        </w:rPr>
        <w:t>  Dr. Anderson relied upon the history given by the plaintiff, coupled with the report of Dr. McLachlan, to conclude the plaintiff displayed signs of anxiety and depression following the accident. That, in my view, is not borne out by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479</w:t>
      </w:r>
      <w:r>
        <w:rPr>
          <w:rFonts w:ascii="arial" w:eastAsia="arial" w:hAnsi="arial" w:cs="arial"/>
          <w:color w:val="000000"/>
          <w:sz w:val="20"/>
          <w:lang w:val="en-US" w:eastAsia="en-US" w:bidi="ar-SA"/>
        </w:rPr>
        <w:t>  Dr. Stepaniuk opined that the plaintiff suffers from PTSD as a result of the accident. Dr. Zoffmann noted that the "A" criterion of fear of severe injury or loss of life was not met by the circumstances surrounding the February 2004 accident. Other contra-indications of the diagnoses are that Mrs. Kovac returned to full-time work following the accident with complaints of pain and stiffness. She carried on at work and with her social functioning up to and including the date of the fall, January 16,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480</w:t>
      </w:r>
      <w:r>
        <w:rPr>
          <w:rFonts w:ascii="arial" w:eastAsia="arial" w:hAnsi="arial" w:cs="arial"/>
          <w:color w:val="000000"/>
          <w:sz w:val="20"/>
          <w:lang w:val="en-US" w:eastAsia="en-US" w:bidi="ar-SA"/>
        </w:rPr>
        <w:t>  In direct commentary upon Dr. Stepaniuk's report, Dr. Zoffmann writes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Stepaniuk's report prepared in July 2009 does not distinguish between present symptoms and symptoms experienced in the past and does not meet the requirements of forensic psychological report. I have no doubt that Ms. Kovac presented with marked clinical symptoms of anxiety and depression but Dr. Stepaniuk does not appear to be aware of the relatively few appointments with doctors and physiotherapists in 2004 and 2005 and the history of planning and participating in her marriage. Nor does Dr. Stepaniuk seem to be aware that Ms. Kovac remained in full-time work for the remainder of 2004, and all of 2005 before injuring herself at work in January 2006.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Stepaniuk does not describe eliciting the relevant criterion necessary for diagnosing PTSD in the body of her report but seems to rely upon a symptom-checklist endorsed by Ms. Kovac. As mentioned above, symptom-checklists can lead to over-endorsement of symptoms and often do not allow the subject to differentiate between past and present symptoms in the same manner structured interviews like the CAPS-IV can.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period of intact functioning prior to the fall of January 2006 does not allow one to draw a clear connection between the Feb 2004 accident and her current level of psychiatric illness. The severe pain and significant loss of function and increasing complaints of pain, insomnia and distress follow upon the work related accident. (I am surprised that the possibility of mild head injury was not explored in this case given the mechanics of the fall and the subsequent memory loss described by Ms. Kovac.) I doubt that Ms. Kovac would be in her psychological present state had the work-place accident (and other life events) not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481</w:t>
      </w:r>
      <w:r>
        <w:rPr>
          <w:rFonts w:ascii="arial" w:eastAsia="arial" w:hAnsi="arial" w:cs="arial"/>
          <w:color w:val="000000"/>
          <w:sz w:val="20"/>
          <w:lang w:val="en-US" w:eastAsia="en-US" w:bidi="ar-SA"/>
        </w:rPr>
        <w:t>  I agree with Dr. Zoffmann, whose conclusions regarding the level of the plaintiff's post-accident vocational and social functioning, coupled with the absence of intrusive thoughts or dreams of the accident, preclude a diagnosis of PTSD.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482</w:t>
      </w:r>
      <w:r>
        <w:rPr>
          <w:rFonts w:ascii="arial" w:eastAsia="arial" w:hAnsi="arial" w:cs="arial"/>
          <w:color w:val="000000"/>
          <w:sz w:val="20"/>
          <w:lang w:val="en-US" w:eastAsia="en-US" w:bidi="ar-SA"/>
        </w:rPr>
        <w:t>  On even the most charitable view of the evidence, it is impossible to conclude that the accident was an event that "involved actual or threatened death or serious injury or a threat to the physical integrity of self or others". It was a comparatively minor accident resulting in comparatively modest injuries to both the plaintiff and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483</w:t>
      </w:r>
      <w:r>
        <w:rPr>
          <w:rFonts w:ascii="arial" w:eastAsia="arial" w:hAnsi="arial" w:cs="arial"/>
          <w:color w:val="000000"/>
          <w:sz w:val="20"/>
          <w:lang w:val="en-US" w:eastAsia="en-US" w:bidi="ar-SA"/>
        </w:rPr>
        <w:t>  Dr. Zoffmann notes the plaintiff continued working for the two years between the accident and the fall and that she demonstrated intact social and occupational functioning during that period that would not be present were she suffering from depression, anxiety and PTSD during the period between the February 2004 accident and the January 2006 fall. Dr. Zoffmann also noted other stressors in the plaintiff's life such as her failed attempts to conceive a child and what appears to be serious stress between her and her husband with his growing impatience over her illness. The plaintiff was worried about finances, as related both to Dr. Zoffmann, Dr. Stepaniuk and others, and was working through an appeal procedure against decisions made by WorkSafeBC about the extent of her disability. Dr. Zoffmann does not question the diagnoses of Dr. Anderson and Dr. Stepaniuk of depression and anxiety. She confirms those symptoms are in the moderate to severe range and that the plaintiff's pain complaints are consistent with chronic pain disorder with significant psychiatric and psychological components.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484</w:t>
      </w:r>
      <w:r>
        <w:rPr>
          <w:rFonts w:ascii="arial" w:eastAsia="arial" w:hAnsi="arial" w:cs="arial"/>
          <w:color w:val="000000"/>
          <w:sz w:val="20"/>
          <w:lang w:val="en-US" w:eastAsia="en-US" w:bidi="ar-SA"/>
        </w:rPr>
        <w:t>  That depression was first noted during her rehabilitative efforts at Orion Health between October 22, 2007 to March 2008, where a history of increasing pain and disability, coupled with poor sleep, poor concentration, low energy and feelings of agitation and anxiety were elicited from the plaintiff. The Beck Depression Inventory done at that time showed a score of 27 indicative of severe depression. The plaintiff was apparently "hurt" and shocked when told she was depressed because of cultural stigma attaching to such diagnoses.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485</w:t>
      </w:r>
      <w:r>
        <w:rPr>
          <w:rFonts w:ascii="arial" w:eastAsia="arial" w:hAnsi="arial" w:cs="arial"/>
          <w:color w:val="000000"/>
          <w:sz w:val="20"/>
          <w:lang w:val="en-US" w:eastAsia="en-US" w:bidi="ar-SA"/>
        </w:rPr>
        <w:t xml:space="preserve">  The other stressors in Mrs. Kovac's life arose following the accident. In 2005, the plaintiff apparently began to experience some distress over the fact that she and her husband could not conceive a child. By 2009, there had been failed attempts at </w:t>
      </w:r>
      <w:r>
        <w:rPr>
          <w:rFonts w:ascii="arial" w:eastAsia="arial" w:hAnsi="arial" w:cs="arial"/>
          <w:i/>
          <w:color w:val="000000"/>
          <w:sz w:val="20"/>
          <w:lang w:val="en-US" w:eastAsia="en-US" w:bidi="ar-SA"/>
        </w:rPr>
        <w:t>in vitro</w:t>
      </w:r>
      <w:r>
        <w:rPr>
          <w:rFonts w:ascii="arial" w:eastAsia="arial" w:hAnsi="arial" w:cs="arial"/>
          <w:color w:val="000000"/>
          <w:sz w:val="20"/>
          <w:lang w:val="en-US" w:eastAsia="en-US" w:bidi="ar-SA"/>
        </w:rPr>
        <w:t xml:space="preserve"> fertilization ("IVF") and the plaintiff reported that she and her husband had had serious verbal arguments concerning finances and her ongoing disability. In 2010, a further round of hormone treatment used to support IVF was commenced and the plaintiff was taken off antidepressant medications.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486</w:t>
      </w:r>
      <w:r>
        <w:rPr>
          <w:rFonts w:ascii="arial" w:eastAsia="arial" w:hAnsi="arial" w:cs="arial"/>
          <w:color w:val="000000"/>
          <w:sz w:val="20"/>
          <w:lang w:val="en-US" w:eastAsia="en-US" w:bidi="ar-SA"/>
        </w:rPr>
        <w:t>  In direct interview, Dr. Zoffmann was unable to elicit response of complaints of intrusions, or current dreams or unpleasant memories related to the motor vehicle accident. Although the plaintiff described nervousness and vigilance when driving or being driven, she did not describe an avoidance of driving. She described the motor vehicle accident without difficulty and expressed no fear of being hurt or killed at the time although she described herself as in shock and upset. All of these, says Dr. Zoffmann, negate the diagnosis of PTSD.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487</w:t>
      </w:r>
      <w:r>
        <w:rPr>
          <w:rFonts w:ascii="arial" w:eastAsia="arial" w:hAnsi="arial" w:cs="arial"/>
          <w:color w:val="000000"/>
          <w:sz w:val="20"/>
          <w:lang w:val="en-US" w:eastAsia="en-US" w:bidi="ar-SA"/>
        </w:rPr>
        <w:t>  The clinical records reflect the depression symptoms and treatment did not start until after the first trial of Clomiphene and in the context of ongoing conflict with WorkSafeBC and pain/dysfunction/injury sustained in January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488</w:t>
      </w:r>
      <w:r>
        <w:rPr>
          <w:rFonts w:ascii="arial" w:eastAsia="arial" w:hAnsi="arial" w:cs="arial"/>
          <w:color w:val="000000"/>
          <w:sz w:val="20"/>
          <w:lang w:val="en-US" w:eastAsia="en-US" w:bidi="ar-SA"/>
        </w:rPr>
        <w:t>  As to other stressors affecting her mental state, Dr. Zoffmann noted that Mrs. Kovac is struggling with infertility and coping with the side effects of drugs used to support infertility. In her opinion, research literature suggests that repeated trials and failures are physically and emotionally taxing. Dr. Zoffmann further notes that the plaintiff has been on and off a course of antidepressant treatment with poor compliance, no doubt as a result of the plaintiff's desire to conceive. However, the pattern of medication use can contribute to depression chronicity and worsen the prognosis for remission.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489</w:t>
      </w:r>
      <w:r>
        <w:rPr>
          <w:rFonts w:ascii="arial" w:eastAsia="arial" w:hAnsi="arial" w:cs="arial"/>
          <w:color w:val="000000"/>
          <w:sz w:val="20"/>
          <w:lang w:val="en-US" w:eastAsia="en-US" w:bidi="ar-SA"/>
        </w:rPr>
        <w:t>  In summary, I do not conclude the plaintiff suffers from PTSD. In any event, her present emotional state has its origins in the sequalae of the workplace fall; not the motor vehicle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Diagnosis of Thoracic Outlet Syndrome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490</w:t>
      </w:r>
      <w:r>
        <w:rPr>
          <w:rFonts w:ascii="arial" w:eastAsia="arial" w:hAnsi="arial" w:cs="arial"/>
          <w:color w:val="000000"/>
          <w:sz w:val="20"/>
          <w:lang w:val="en-US" w:eastAsia="en-US" w:bidi="ar-SA"/>
        </w:rPr>
        <w:t>  While I have rejected much of what the plaintiff testified to regarding her post-accident condition, the reference to tingling and numbness is borne out by repeated references to the condition which predate the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491</w:t>
      </w:r>
      <w:r>
        <w:rPr>
          <w:rFonts w:ascii="arial" w:eastAsia="arial" w:hAnsi="arial" w:cs="arial"/>
          <w:color w:val="000000"/>
          <w:sz w:val="20"/>
          <w:lang w:val="en-US" w:eastAsia="en-US" w:bidi="ar-SA"/>
        </w:rPr>
        <w:t>  Specifically she complained of the phenomena to Dr. McLachlan in May of 2004 and later to her replacements on two separate occasions in 2005. The last appointment, prior to the fall, resulted in a referral to Dr. Mezei.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492</w:t>
      </w:r>
      <w:r>
        <w:rPr>
          <w:rFonts w:ascii="arial" w:eastAsia="arial" w:hAnsi="arial" w:cs="arial"/>
          <w:color w:val="000000"/>
          <w:sz w:val="20"/>
          <w:lang w:val="en-US" w:eastAsia="en-US" w:bidi="ar-SA"/>
        </w:rPr>
        <w:t>  The question that remains is, what is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493</w:t>
      </w:r>
      <w:r>
        <w:rPr>
          <w:rFonts w:ascii="arial" w:eastAsia="arial" w:hAnsi="arial" w:cs="arial"/>
          <w:color w:val="000000"/>
          <w:sz w:val="20"/>
          <w:lang w:val="en-US" w:eastAsia="en-US" w:bidi="ar-SA"/>
        </w:rPr>
        <w:t>  No less than four neurologists and two vascular surgeons examined the plaintiff. Dr. Mezei, the neurologist to whom she was first referred was equivocal on the diagnosis of TOS.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494</w:t>
      </w:r>
      <w:r>
        <w:rPr>
          <w:rFonts w:ascii="arial" w:eastAsia="arial" w:hAnsi="arial" w:cs="arial"/>
          <w:color w:val="000000"/>
          <w:sz w:val="20"/>
          <w:lang w:val="en-US" w:eastAsia="en-US" w:bidi="ar-SA"/>
        </w:rPr>
        <w:t>  Dr. McLachlan then referred the plaintiff to Dr. Clarke who apparently discounted the diagnosis of TOS (although his opinion was not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495</w:t>
      </w:r>
      <w:r>
        <w:rPr>
          <w:rFonts w:ascii="arial" w:eastAsia="arial" w:hAnsi="arial" w:cs="arial"/>
          <w:color w:val="000000"/>
          <w:sz w:val="20"/>
          <w:lang w:val="en-US" w:eastAsia="en-US" w:bidi="ar-SA"/>
        </w:rPr>
        <w:t>  The two vascular surgeons, Dr. Salvian and Dr. Doyle, disagreed on the diagnosis.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496</w:t>
      </w:r>
      <w:r>
        <w:rPr>
          <w:rFonts w:ascii="arial" w:eastAsia="arial" w:hAnsi="arial" w:cs="arial"/>
          <w:color w:val="000000"/>
          <w:sz w:val="20"/>
          <w:lang w:val="en-US" w:eastAsia="en-US" w:bidi="ar-SA"/>
        </w:rPr>
        <w:t>  Dr. Doyle elicited the following description of her symptoms from the plaintiff in 2006: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Louisa gets episodes of tingling, pallor, and/or pain in her long ring and little fingers bilaterally. They can also develop clawing-like muscle spasms with clawing of the three fingers. These episodes can happen at night where she will awaken with her arm up over her ear. This happens about four times a month. These episodes also happen when she's playing soccer and has her hands at her side and they can happen sporadically with other activities whether her arms are overhead or whether she is sitting quietly with her hands in her lap.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497</w:t>
      </w:r>
      <w:r>
        <w:rPr>
          <w:rFonts w:ascii="arial" w:eastAsia="arial" w:hAnsi="arial" w:cs="arial"/>
          <w:color w:val="000000"/>
          <w:sz w:val="20"/>
          <w:lang w:val="en-US" w:eastAsia="en-US" w:bidi="ar-SA"/>
        </w:rPr>
        <w:t>  Dr. Doyle thought the symptoms were as a result of reactive vasospasm rather than TOS. MRI investigation reported no abnormality involving the brachial plexus. I accept, however, that a negative MRI does not rule out a diagnosis of TOS.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498</w:t>
      </w:r>
      <w:r>
        <w:rPr>
          <w:rFonts w:ascii="arial" w:eastAsia="arial" w:hAnsi="arial" w:cs="arial"/>
          <w:color w:val="000000"/>
          <w:sz w:val="20"/>
          <w:lang w:val="en-US" w:eastAsia="en-US" w:bidi="ar-SA"/>
        </w:rPr>
        <w:t>  Dr. Salvian elicited positive reaction to the "thoracic outlet maneuvers", specifically the Adson's, hold-up and EAST maneuvers.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499</w:t>
      </w:r>
      <w:r>
        <w:rPr>
          <w:rFonts w:ascii="arial" w:eastAsia="arial" w:hAnsi="arial" w:cs="arial"/>
          <w:color w:val="000000"/>
          <w:sz w:val="20"/>
          <w:lang w:val="en-US" w:eastAsia="en-US" w:bidi="ar-SA"/>
        </w:rPr>
        <w:t>  In arriving at the diagnosis of TOS, Dr. Salvian noted, and I agree, that the plaintiff had no prior problems with her neck, arms or hands, prior to accident. In particular she experienced no tingling and numbness in her extremities. The accident provided a credible mechanism for the onset of the symptoms she consistently described thereafter. The differential diagnoses of cervical disc disease, carpal tunnel syndrome or ulnar nerve entrapment are not supported by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500</w:t>
      </w:r>
      <w:r>
        <w:rPr>
          <w:rFonts w:ascii="arial" w:eastAsia="arial" w:hAnsi="arial" w:cs="arial"/>
          <w:color w:val="000000"/>
          <w:sz w:val="20"/>
          <w:lang w:val="en-US" w:eastAsia="en-US" w:bidi="ar-SA"/>
        </w:rPr>
        <w:t>  He opined that the abatement of her symptoms during the period of her convalescence following the workplace symptoms was supportive of his diagnosis. Specifically the absence of symptoms while she avoided repetitive use of her arms or overhead reaching was precisely the type of conservative treatment which would reduce the symptoms of post-traumatic TOS.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501</w:t>
      </w:r>
      <w:r>
        <w:rPr>
          <w:rFonts w:ascii="arial" w:eastAsia="arial" w:hAnsi="arial" w:cs="arial"/>
          <w:color w:val="000000"/>
          <w:sz w:val="20"/>
          <w:lang w:val="en-US" w:eastAsia="en-US" w:bidi="ar-SA"/>
        </w:rPr>
        <w:t>  On balance, I am persuaded that the plaintiff's symptoms of arm and hand numbness/tingling were likely as a result of the accident. I say this because of the onset of the symptoms proximate to the accident and the absence of another plausible explanation for their appearance.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502</w:t>
      </w:r>
      <w:r>
        <w:rPr>
          <w:rFonts w:ascii="arial" w:eastAsia="arial" w:hAnsi="arial" w:cs="arial"/>
          <w:color w:val="000000"/>
          <w:sz w:val="20"/>
          <w:lang w:val="en-US" w:eastAsia="en-US" w:bidi="ar-SA"/>
        </w:rPr>
        <w:t>  Whether the diagnosis is TOS or, as described by Dr. Hershler, a "variant" of TOS, I conclude ongoing symptoms of occasional numbness and tingling in the plaintiff's arms and hands is as a result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503</w:t>
      </w:r>
      <w:r>
        <w:rPr>
          <w:rFonts w:ascii="arial" w:eastAsia="arial" w:hAnsi="arial" w:cs="arial"/>
          <w:color w:val="000000"/>
          <w:sz w:val="20"/>
          <w:lang w:val="en-US" w:eastAsia="en-US" w:bidi="ar-SA"/>
        </w:rPr>
        <w:t>  Save for restrictions on reaching overhead, which may cause an onset of the symptoms and therefore should be avoided, the symptoms I find attributable to the accident in no way impact the plaintiff's ability to work as an elementary school teacher.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Assessment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504</w:t>
      </w:r>
      <w:r>
        <w:rPr>
          <w:rFonts w:ascii="arial" w:eastAsia="arial" w:hAnsi="arial" w:cs="arial"/>
          <w:color w:val="000000"/>
          <w:sz w:val="20"/>
          <w:lang w:val="en-US" w:eastAsia="en-US" w:bidi="ar-SA"/>
        </w:rPr>
        <w:t>  My conclusion concerning the aetiology of the plaintiff's disabling injuries limits the assessment of her damages to non-pecuniary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505</w:t>
      </w:r>
      <w:r>
        <w:rPr>
          <w:rFonts w:ascii="arial" w:eastAsia="arial" w:hAnsi="arial" w:cs="arial"/>
          <w:color w:val="000000"/>
          <w:sz w:val="20"/>
          <w:lang w:val="en-US" w:eastAsia="en-US" w:bidi="ar-SA"/>
        </w:rPr>
        <w:t xml:space="preserve">  The Court of Appeal notes as follows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363"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at paras. 45-46: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[45] Before embarking on that task, I think it is instructive to reiterate the underlying purpose of non-pecuniary damages. Much, of course, has been said about this topic. However, given the not-infrequent inclination by lawyers and judges to compare only injuries, the following passage from </w:t>
      </w:r>
      <w:r>
        <w:rPr>
          <w:rFonts w:ascii="arial" w:eastAsia="arial" w:hAnsi="arial" w:cs="arial"/>
          <w:i/>
          <w:color w:val="000000"/>
          <w:sz w:val="20"/>
          <w:lang w:val="en-US" w:eastAsia="en-US" w:bidi="ar-SA"/>
        </w:rPr>
        <w:t xml:space="preserve">Lindal v. Lindal, </w:t>
      </w:r>
      <w:hyperlink r:id="rId364" w:history="1">
        <w:r>
          <w:rPr>
            <w:rFonts w:ascii="arial" w:eastAsia="arial" w:hAnsi="arial" w:cs="arial"/>
            <w:i/>
            <w:color w:val="0077CC"/>
            <w:sz w:val="20"/>
            <w:u w:val="single"/>
            <w:shd w:val="clear" w:color="auto" w:fill="FFFFFF"/>
            <w:lang w:val="en-US" w:eastAsia="en-US" w:bidi="ar-SA"/>
          </w:rPr>
          <w:t>[1981] 2 S.C.R. 629</w:t>
        </w:r>
      </w:hyperlink>
      <w:r>
        <w:rPr>
          <w:rFonts w:ascii="arial" w:eastAsia="arial" w:hAnsi="arial" w:cs="arial"/>
          <w:i/>
          <w:color w:val="000000"/>
          <w:sz w:val="20"/>
          <w:lang w:val="en-US" w:eastAsia="en-US" w:bidi="ar-SA"/>
        </w:rPr>
        <w:t>, supra</w:t>
      </w:r>
      <w:r>
        <w:rPr>
          <w:rFonts w:ascii="arial" w:eastAsia="arial" w:hAnsi="arial" w:cs="arial"/>
          <w:color w:val="000000"/>
          <w:sz w:val="20"/>
          <w:lang w:val="en-US" w:eastAsia="en-US" w:bidi="ar-SA"/>
        </w:rPr>
        <w:t>, at 637 is a helpful reminder: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Thus </w:t>
      </w:r>
      <w:r>
        <w:rPr>
          <w:rFonts w:ascii="arial" w:eastAsia="arial" w:hAnsi="arial" w:cs="arial"/>
          <w:color w:val="000000"/>
          <w:sz w:val="20"/>
          <w:u w:val="single"/>
          <w:lang w:val="en-US" w:eastAsia="en-US" w:bidi="ar-SA"/>
        </w:rPr>
        <w:t>the amount of an award for non-pecuniary damage should not depend alone upon the seriousness of the injury but upon its ability to ameliorate the condition of the victim considering his or her particular situation</w:t>
      </w:r>
      <w:r>
        <w:rPr>
          <w:rFonts w:ascii="arial" w:eastAsia="arial" w:hAnsi="arial" w:cs="arial"/>
          <w:color w:val="000000"/>
          <w:sz w:val="20"/>
          <w:lang w:val="en-US" w:eastAsia="en-US" w:bidi="ar-SA"/>
        </w:rPr>
        <w:t xml:space="preserve">. It therefore will not follow that in considering what part of the maximum should be awarded the gravity of the injury alone will be determinative. </w:t>
      </w:r>
      <w:r>
        <w:rPr>
          <w:rFonts w:ascii="arial" w:eastAsia="arial" w:hAnsi="arial" w:cs="arial"/>
          <w:color w:val="000000"/>
          <w:sz w:val="20"/>
          <w:u w:val="single"/>
          <w:lang w:val="en-US" w:eastAsia="en-US" w:bidi="ar-SA"/>
        </w:rPr>
        <w:t>An appreciation of the individual's loss is the key and the "need for solace will not necessarily correlate with the seriousness of the injury</w:t>
      </w:r>
      <w:r>
        <w:rPr>
          <w:rFonts w:ascii="arial" w:eastAsia="arial" w:hAnsi="arial" w:cs="arial"/>
          <w:color w:val="000000"/>
          <w:sz w:val="20"/>
          <w:lang w:val="en-US" w:eastAsia="en-US" w:bidi="ar-SA"/>
        </w:rPr>
        <w:t xml:space="preserve">" (Cooper-Stephenson and Saunders, </w:t>
      </w:r>
      <w:r>
        <w:rPr>
          <w:rFonts w:ascii="arial" w:eastAsia="arial" w:hAnsi="arial" w:cs="arial"/>
          <w:i/>
          <w:color w:val="000000"/>
          <w:sz w:val="20"/>
          <w:lang w:val="en-US" w:eastAsia="en-US" w:bidi="ar-SA"/>
        </w:rPr>
        <w:t>Personal Injury Damages in Canada</w:t>
      </w:r>
      <w:r>
        <w:rPr>
          <w:rFonts w:ascii="arial" w:eastAsia="arial" w:hAnsi="arial" w:cs="arial"/>
          <w:color w:val="000000"/>
          <w:sz w:val="20"/>
          <w:lang w:val="en-US" w:eastAsia="en-US" w:bidi="ar-SA"/>
        </w:rPr>
        <w:t xml:space="preserve"> (1981), at p. 373). In dealing with an award of this nature it will be impossible to develop a "tariff". </w:t>
      </w:r>
      <w:r>
        <w:rPr>
          <w:rFonts w:ascii="arial" w:eastAsia="arial" w:hAnsi="arial" w:cs="arial"/>
          <w:color w:val="000000"/>
          <w:sz w:val="20"/>
          <w:u w:val="single"/>
          <w:lang w:val="en-US" w:eastAsia="en-US" w:bidi="ar-SA"/>
        </w:rPr>
        <w:t>An award will vary in each case "to meet the specific circumstances of the individual case</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Thornton</w:t>
      </w:r>
      <w:r>
        <w:rPr>
          <w:rFonts w:ascii="arial" w:eastAsia="arial" w:hAnsi="arial" w:cs="arial"/>
          <w:color w:val="000000"/>
          <w:sz w:val="20"/>
          <w:lang w:val="en-US" w:eastAsia="en-US" w:bidi="ar-SA"/>
        </w:rPr>
        <w:t xml:space="preserve">, </w:t>
      </w:r>
      <w:hyperlink r:id="rId365" w:history="1">
        <w:r>
          <w:rPr>
            <w:rFonts w:ascii="arial" w:eastAsia="arial" w:hAnsi="arial" w:cs="arial"/>
            <w:i/>
            <w:color w:val="0077CC"/>
            <w:sz w:val="20"/>
            <w:u w:val="single"/>
            <w:shd w:val="clear" w:color="auto" w:fill="FFFFFF"/>
            <w:lang w:val="en-US" w:eastAsia="en-US" w:bidi="ar-SA"/>
          </w:rPr>
          <w:t>[1978] 2 S.C.R. 267</w:t>
        </w:r>
      </w:hyperlink>
      <w:r>
        <w:rPr>
          <w:rFonts w:ascii="arial" w:eastAsia="arial" w:hAnsi="arial" w:cs="arial"/>
          <w:color w:val="000000"/>
          <w:sz w:val="20"/>
          <w:lang w:val="en-US" w:eastAsia="en-US" w:bidi="ar-SA"/>
        </w:rPr>
        <w:t>, at p. 284 of S.C.R.).</w:t>
      </w:r>
    </w:p>
    <w:p>
      <w:pPr>
        <w:spacing w:before="120" w:line="260" w:lineRule="atLeast"/>
        <w:ind w:left="288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[46] The inexhaustive list of common factors cited in </w:t>
      </w:r>
      <w:r>
        <w:rPr>
          <w:rFonts w:ascii="arial" w:eastAsia="arial" w:hAnsi="arial" w:cs="arial"/>
          <w:i/>
          <w:color w:val="000000"/>
          <w:sz w:val="20"/>
          <w:lang w:val="en-US" w:eastAsia="en-US" w:bidi="ar-SA"/>
        </w:rPr>
        <w:t>Boyd</w:t>
      </w:r>
      <w:r>
        <w:rPr>
          <w:rFonts w:ascii="arial" w:eastAsia="arial" w:hAnsi="arial" w:cs="arial"/>
          <w:color w:val="000000"/>
          <w:sz w:val="20"/>
          <w:lang w:val="en-US" w:eastAsia="en-US" w:bidi="ar-SA"/>
        </w:rPr>
        <w:t xml:space="preserve"> that influence an award of non-pecuniary damages includes:</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age of the plaintiff;</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nature of the injury;</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severity and duration of pain;</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disability;</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emotional suffering; and</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or impairment of life;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add the following factors, although they may arguably be subsumed in the above list:</w:t>
      </w:r>
    </w:p>
    <w:p>
      <w:pPr>
        <w:numPr>
          <w:numId w:val="9"/>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family, marital and social relationships;</w:t>
      </w:r>
    </w:p>
    <w:p>
      <w:pPr>
        <w:numPr>
          <w:numId w:val="9"/>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physical and mental abilities;</w:t>
      </w:r>
    </w:p>
    <w:p>
      <w:pPr>
        <w:numPr>
          <w:numId w:val="9"/>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lifestyle; and</w:t>
      </w:r>
    </w:p>
    <w:p>
      <w:pPr>
        <w:numPr>
          <w:numId w:val="9"/>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stoicism (as a factor that should not, generally speaking, penalize the plaintiff: </w:t>
      </w:r>
      <w:r>
        <w:rPr>
          <w:rFonts w:ascii="arial" w:eastAsia="arial" w:hAnsi="arial" w:cs="arial"/>
          <w:i/>
          <w:color w:val="000000"/>
          <w:sz w:val="20"/>
          <w:lang w:val="en-US" w:eastAsia="en-US" w:bidi="ar-SA"/>
        </w:rPr>
        <w:t>Giang v. Clayton</w:t>
      </w:r>
      <w:r>
        <w:rPr>
          <w:rFonts w:ascii="arial" w:eastAsia="arial" w:hAnsi="arial" w:cs="arial"/>
          <w:color w:val="000000"/>
          <w:sz w:val="20"/>
          <w:lang w:val="en-US" w:eastAsia="en-US" w:bidi="ar-SA"/>
        </w:rPr>
        <w:t xml:space="preserve">, </w:t>
      </w:r>
      <w:hyperlink r:id="rId366" w:history="1">
        <w:r>
          <w:rPr>
            <w:rFonts w:ascii="arial" w:eastAsia="arial" w:hAnsi="arial" w:cs="arial"/>
            <w:i/>
            <w:color w:val="0077CC"/>
            <w:sz w:val="20"/>
            <w:u w:val="single"/>
            <w:shd w:val="clear" w:color="auto" w:fill="FFFFFF"/>
            <w:lang w:val="en-US" w:eastAsia="en-US" w:bidi="ar-SA"/>
          </w:rPr>
          <w:t>[2005] B.C.J. No. 163</w:t>
        </w:r>
      </w:hyperlink>
      <w:r>
        <w:rPr>
          <w:rFonts w:ascii="arial" w:eastAsia="arial" w:hAnsi="arial" w:cs="arial"/>
          <w:color w:val="000000"/>
          <w:sz w:val="20"/>
          <w:lang w:val="en-US" w:eastAsia="en-US" w:bidi="ar-SA"/>
        </w:rPr>
        <w:t xml:space="preserve">, </w:t>
      </w:r>
      <w:hyperlink r:id="rId366" w:history="1">
        <w:r>
          <w:rPr>
            <w:rFonts w:ascii="arial" w:eastAsia="arial" w:hAnsi="arial" w:cs="arial"/>
            <w:i/>
            <w:color w:val="0077CC"/>
            <w:sz w:val="20"/>
            <w:u w:val="single"/>
            <w:shd w:val="clear" w:color="auto" w:fill="FFFFFF"/>
            <w:lang w:val="en-US" w:eastAsia="en-US" w:bidi="ar-SA"/>
          </w:rPr>
          <w:t>2005 BCCA 54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506</w:t>
      </w:r>
      <w:r>
        <w:rPr>
          <w:rFonts w:ascii="arial" w:eastAsia="arial" w:hAnsi="arial" w:cs="arial"/>
          <w:color w:val="000000"/>
          <w:sz w:val="20"/>
          <w:lang w:val="en-US" w:eastAsia="en-US" w:bidi="ar-SA"/>
        </w:rPr>
        <w:t>  The plaintiff's submissions on the issue of non-pecuniary loss were founded on a conclusion that the whole of the plaintiff's complaints at trial were as a result of the accident and are therefore unhelpful in establishing the proper measure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507</w:t>
      </w:r>
      <w:r>
        <w:rPr>
          <w:rFonts w:ascii="arial" w:eastAsia="arial" w:hAnsi="arial" w:cs="arial"/>
          <w:color w:val="000000"/>
          <w:sz w:val="20"/>
          <w:lang w:val="en-US" w:eastAsia="en-US" w:bidi="ar-SA"/>
        </w:rPr>
        <w:t>  The defendant's submissions were based upon a conclusion that the plaintiff's hand and arm complaints were unrelated to the accident and the assessment should be on the basis of a moderate whiplash injury lasting less than the two years between the accident and the fall. Hence, the defendant's submissions were equally unhelpful.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Mowat v. Orza,</w:t>
      </w:r>
      <w:r>
        <w:rPr>
          <w:rFonts w:ascii="arial" w:eastAsia="arial" w:hAnsi="arial" w:cs="arial"/>
          <w:color w:val="000000"/>
          <w:sz w:val="20"/>
          <w:lang w:val="en-US" w:eastAsia="en-US" w:bidi="ar-SA"/>
        </w:rPr>
        <w:t xml:space="preserve"> </w:t>
      </w:r>
      <w:hyperlink r:id="rId367" w:history="1">
        <w:r>
          <w:rPr>
            <w:rFonts w:ascii="arial" w:eastAsia="arial" w:hAnsi="arial" w:cs="arial"/>
            <w:i/>
            <w:color w:val="0077CC"/>
            <w:sz w:val="20"/>
            <w:u w:val="single"/>
            <w:shd w:val="clear" w:color="auto" w:fill="FFFFFF"/>
            <w:lang w:val="en-US" w:eastAsia="en-US" w:bidi="ar-SA"/>
          </w:rPr>
          <w:t>2003 BCSC 373</w:t>
        </w:r>
      </w:hyperlink>
      <w:r>
        <w:rPr>
          <w:rFonts w:ascii="arial" w:eastAsia="arial" w:hAnsi="arial" w:cs="arial"/>
          <w:color w:val="000000"/>
          <w:sz w:val="20"/>
          <w:lang w:val="en-US" w:eastAsia="en-US" w:bidi="ar-SA"/>
        </w:rPr>
        <w:t>, the plaintiff was involved in a motor vehicle accident. The plaintiff complained of headaches, a sore neck, and chronic pain. She also experienced numbness in her hands, arms, toes, feet and tongue, leading to a diagnosis of thoracic outlet syndrome. The judge found that measurable discomfort would persist for the rest of her life. Non-pecuniary damages of $50,000 were awarded.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509</w:t>
      </w:r>
      <w:r>
        <w:rPr>
          <w:rFonts w:ascii="arial" w:eastAsia="arial" w:hAnsi="arial" w:cs="arial"/>
          <w:color w:val="000000"/>
          <w:sz w:val="20"/>
          <w:lang w:val="en-US" w:eastAsia="en-US" w:bidi="ar-SA"/>
        </w:rPr>
        <w:t xml:space="preserve">  The plaintiff in </w:t>
      </w:r>
      <w:r>
        <w:rPr>
          <w:rFonts w:ascii="arial" w:eastAsia="arial" w:hAnsi="arial" w:cs="arial"/>
          <w:i/>
          <w:color w:val="000000"/>
          <w:sz w:val="20"/>
          <w:lang w:val="en-US" w:eastAsia="en-US" w:bidi="ar-SA"/>
        </w:rPr>
        <w:t>Dembowski v. Streliev</w:t>
      </w:r>
      <w:r>
        <w:rPr>
          <w:rFonts w:ascii="arial" w:eastAsia="arial" w:hAnsi="arial" w:cs="arial"/>
          <w:color w:val="000000"/>
          <w:sz w:val="20"/>
          <w:lang w:val="en-US" w:eastAsia="en-US" w:bidi="ar-SA"/>
        </w:rPr>
        <w:t xml:space="preserve">, </w:t>
      </w:r>
      <w:hyperlink r:id="rId368" w:history="1">
        <w:r>
          <w:rPr>
            <w:rFonts w:ascii="arial" w:eastAsia="arial" w:hAnsi="arial" w:cs="arial"/>
            <w:i/>
            <w:color w:val="0077CC"/>
            <w:sz w:val="20"/>
            <w:u w:val="single"/>
            <w:shd w:val="clear" w:color="auto" w:fill="FFFFFF"/>
            <w:lang w:val="en-US" w:eastAsia="en-US" w:bidi="ar-SA"/>
          </w:rPr>
          <w:t>[1998] B.C.J. No. 1693</w:t>
        </w:r>
      </w:hyperlink>
      <w:r>
        <w:rPr>
          <w:rFonts w:ascii="arial" w:eastAsia="arial" w:hAnsi="arial" w:cs="arial"/>
          <w:color w:val="000000"/>
          <w:sz w:val="20"/>
          <w:lang w:val="en-US" w:eastAsia="en-US" w:bidi="ar-SA"/>
        </w:rPr>
        <w:t xml:space="preserve"> (S.C.) suffered severe injuries when his motorcycle collided with an automobile. He later developed tingling and numbness in the arms and was diagnosed with thoracic outlet syndrome, with poor prospects for recovery, even with surgery. His family and social life were affected. Non-pecuniary damages of $60,000 were awarded.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510</w:t>
      </w:r>
      <w:r>
        <w:rPr>
          <w:rFonts w:ascii="arial" w:eastAsia="arial" w:hAnsi="arial" w:cs="arial"/>
          <w:color w:val="000000"/>
          <w:sz w:val="20"/>
          <w:lang w:val="en-US" w:eastAsia="en-US" w:bidi="ar-SA"/>
        </w:rPr>
        <w:t xml:space="preserve">  Finally, in </w:t>
      </w:r>
      <w:r>
        <w:rPr>
          <w:rFonts w:ascii="arial" w:eastAsia="arial" w:hAnsi="arial" w:cs="arial"/>
          <w:i/>
          <w:color w:val="000000"/>
          <w:sz w:val="20"/>
          <w:lang w:val="en-US" w:eastAsia="en-US" w:bidi="ar-SA"/>
        </w:rPr>
        <w:t>Cimino v. Kwit,</w:t>
      </w:r>
      <w:r>
        <w:rPr>
          <w:rFonts w:ascii="arial" w:eastAsia="arial" w:hAnsi="arial" w:cs="arial"/>
          <w:color w:val="000000"/>
          <w:sz w:val="20"/>
          <w:lang w:val="en-US" w:eastAsia="en-US" w:bidi="ar-SA"/>
        </w:rPr>
        <w:t xml:space="preserve"> </w:t>
      </w:r>
      <w:hyperlink r:id="rId369" w:history="1">
        <w:r>
          <w:rPr>
            <w:rFonts w:ascii="arial" w:eastAsia="arial" w:hAnsi="arial" w:cs="arial"/>
            <w:i/>
            <w:color w:val="0077CC"/>
            <w:sz w:val="20"/>
            <w:u w:val="single"/>
            <w:shd w:val="clear" w:color="auto" w:fill="FFFFFF"/>
            <w:lang w:val="en-US" w:eastAsia="en-US" w:bidi="ar-SA"/>
          </w:rPr>
          <w:t>2009 BCSC 912</w:t>
        </w:r>
      </w:hyperlink>
      <w:r>
        <w:rPr>
          <w:rFonts w:ascii="arial" w:eastAsia="arial" w:hAnsi="arial" w:cs="arial"/>
          <w:color w:val="000000"/>
          <w:sz w:val="20"/>
          <w:lang w:val="en-US" w:eastAsia="en-US" w:bidi="ar-SA"/>
        </w:rPr>
        <w:t>, the plaintiff suffered from thoracic outlet syndrome which resulted in pain in her right arm. Her ability to do housework was compromised and the culture of her family changed as her sons and husband took on new roles. The condition seemed permanent. Non-pecuniary damages of $85,000 were awarded.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511</w:t>
      </w:r>
      <w:r>
        <w:rPr>
          <w:rFonts w:ascii="arial" w:eastAsia="arial" w:hAnsi="arial" w:cs="arial"/>
          <w:color w:val="000000"/>
          <w:sz w:val="20"/>
          <w:lang w:val="en-US" w:eastAsia="en-US" w:bidi="ar-SA"/>
        </w:rPr>
        <w:t>  Although I find the foregoing helpful, I am mindful that every case turns upon its unique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512</w:t>
      </w:r>
      <w:r>
        <w:rPr>
          <w:rFonts w:ascii="arial" w:eastAsia="arial" w:hAnsi="arial" w:cs="arial"/>
          <w:color w:val="000000"/>
          <w:sz w:val="20"/>
          <w:lang w:val="en-US" w:eastAsia="en-US" w:bidi="ar-SA"/>
        </w:rPr>
        <w:t>  The injuries caused by the defendant are moderate soft tissue injuries to the upper and low back area together with TOS. The former injuries were, in the main, resolved by January 2006. I accept the plaintiff had occasional flare-ups as referenced in her medical chart entries. However, the plaintiff had a history of low back pain unrelated to the accident as noted in her original report to the adjuster.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513</w:t>
      </w:r>
      <w:r>
        <w:rPr>
          <w:rFonts w:ascii="arial" w:eastAsia="arial" w:hAnsi="arial" w:cs="arial"/>
          <w:color w:val="000000"/>
          <w:sz w:val="20"/>
          <w:lang w:val="en-US" w:eastAsia="en-US" w:bidi="ar-SA"/>
        </w:rPr>
        <w:t>  The symptoms of TOS are ongoing but, as earlier noted, are not the source of her inability to work full time. The plaintiff's chronic pain and depression likely rule out any substantial chance of overall improvement in her TOS symptoms and the assessment of her non-pecuniary loss needs to take into account the chronicity of her symptoms related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514</w:t>
      </w:r>
      <w:r>
        <w:rPr>
          <w:rFonts w:ascii="arial" w:eastAsia="arial" w:hAnsi="arial" w:cs="arial"/>
          <w:color w:val="000000"/>
          <w:sz w:val="20"/>
          <w:lang w:val="en-US" w:eastAsia="en-US" w:bidi="ar-SA"/>
        </w:rPr>
        <w:t xml:space="preserve">  With the factors from </w:t>
      </w:r>
      <w:r>
        <w:rPr>
          <w:rFonts w:ascii="arial" w:eastAsia="arial" w:hAnsi="arial" w:cs="arial"/>
          <w:i/>
          <w:color w:val="000000"/>
          <w:sz w:val="20"/>
          <w:lang w:val="en-US" w:eastAsia="en-US" w:bidi="ar-SA"/>
        </w:rPr>
        <w:t>Stapley</w:t>
      </w:r>
      <w:r>
        <w:rPr>
          <w:rFonts w:ascii="arial" w:eastAsia="arial" w:hAnsi="arial" w:cs="arial"/>
          <w:color w:val="000000"/>
          <w:sz w:val="20"/>
          <w:lang w:val="en-US" w:eastAsia="en-US" w:bidi="ar-SA"/>
        </w:rPr>
        <w:t xml:space="preserve"> in mind, I assess the plaintiff's non-pecuniary damages at $75,000.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515</w:t>
      </w:r>
      <w:r>
        <w:rPr>
          <w:rFonts w:ascii="arial" w:eastAsia="arial" w:hAnsi="arial" w:cs="arial"/>
          <w:color w:val="000000"/>
          <w:sz w:val="20"/>
          <w:lang w:val="en-US" w:eastAsia="en-US" w:bidi="ar-SA"/>
        </w:rPr>
        <w:t>  For the reasons previously given, I find there is no nexus between the plaintiff's incapacity to work following the workplace fall and the accident and accordingly I make no award for economic loss, past or future or the cost of past or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516</w:t>
      </w:r>
      <w:r>
        <w:rPr>
          <w:rFonts w:ascii="arial" w:eastAsia="arial" w:hAnsi="arial" w:cs="arial"/>
          <w:color w:val="000000"/>
          <w:sz w:val="20"/>
          <w:lang w:val="en-US" w:eastAsia="en-US" w:bidi="ar-SA"/>
        </w:rPr>
        <w:t>  Her disability was caused, in my view, by the workplace fall of 2006. Neither the TOS (or variant thereof) or the lingering effects of the soft tissue injury received in the accident caused or materially contributed to that disability.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517</w:t>
      </w:r>
      <w:r>
        <w:rPr>
          <w:rFonts w:ascii="arial" w:eastAsia="arial" w:hAnsi="arial" w:cs="arial"/>
          <w:color w:val="000000"/>
          <w:sz w:val="20"/>
          <w:lang w:val="en-US" w:eastAsia="en-US" w:bidi="ar-SA"/>
        </w:rPr>
        <w:t>  There may be offers of which I am unaware which bear on the matter of costs. The parties are at liberty to speak to the matter of costs and arrangements can be made through the Registry for an appearance in this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J.S. HARVEY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CORRECTION</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Released: June 25,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On the front page, the names of defence counsel have been changed to correctly reflect who appeared at the trial of this matter.</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16" style="position:absolute;z-index:25183027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70"/>
          <w:headerReference w:type="default" r:id="rId371"/>
          <w:footerReference w:type="even" r:id="rId372"/>
          <w:footerReference w:type="default" r:id="rId373"/>
          <w:headerReference w:type="first" r:id="rId374"/>
          <w:footerReference w:type="first" r:id="rId37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76" w:history="1">
        <w:r>
          <w:rPr>
            <w:rFonts w:ascii="arial" w:eastAsia="arial" w:hAnsi="arial" w:cs="arial"/>
            <w:b/>
            <w:bCs/>
            <w:i/>
            <w:color w:val="0077CC"/>
            <w:kern w:val="32"/>
            <w:sz w:val="28"/>
            <w:szCs w:val="32"/>
            <w:u w:val="single"/>
            <w:shd w:val="clear" w:color="auto" w:fill="FFFFFF"/>
            <w:lang w:val="en-US" w:eastAsia="en-US" w:bidi="ar-SA"/>
          </w:rPr>
          <w:t>Lumanlan v. Sadler, [2009] B.C.J. No. 224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 Humphries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7,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11,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M064654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[2009] B.C.J. No. 224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BCSC 142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72 C.P.C. (6th) 77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CarswellBC 300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Maria Katrina Lumanlan, Plaintiff, and Quinn Paul Sadler, Defendants, and Insurance Corporation of British Columbia, Third Party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17" style="position:absolute;z-index:2516776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27" w:name="Keywords_18"/>
      <w:bookmarkEnd w:id="127"/>
      <w:r>
        <w:rPr>
          <w:rFonts w:ascii="arial" w:eastAsia="arial" w:hAnsi="arial" w:cs="arial"/>
          <w:b/>
          <w:color w:val="000000"/>
          <w:sz w:val="20"/>
          <w:lang w:val="en-US" w:eastAsia="en-US" w:bidi="ar-SA"/>
        </w:rPr>
        <w:t>Damages — Assessment of damages — Measure of damages — Deductions — Application by insurer, who defended action against defendant, for deductions from plaintiff's award allowed in part — Plaintiff had been awarded $108,500 for serious injuries to left hand that occurred when defendant flipped car on roof while plaintiff passenger — Award already reduced by 25 per cent as plaintiff contributorily negligent for riding with defendant while he was intoxicated — Wage loss award of $3,000 reduced to nil since plaintiff had received $20,000 social assistance — $2,016 also deducted for plaintiff's disability benefits — $3,000 deducted from future care award of $5,000 as plaintiff could make future claims under Part 7 of insurance scheme.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Proceedings — Practice and procedure — Costs — Offers to settle — Application by insurer for double costs from date of offer to settle allowed in part — Plaintiff received award between $70,000 and $80,000 after deductions — Insurer made offer to settle of $110,000 but parties understood plaintiff would have to sign release from future Part 7 claims — As it was unclear what future costs plaintiff would incur, plaintiff had a serious claim to advance and received substantial award, it was not unreasonable for plaintiff to reject offer — Double costs would deplete award — Plaintiff awarded 75 per cent of her costs until date of offer and was deprived of costs after offer.</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28" w:name="Case Summary_16"/>
            <w:bookmarkEnd w:id="12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insurer, who defended the personal injury action against the defendant, for certain deductions from the plaintiff's award and double costs from the date of the offer to settle. The plaintiff had been a passenger in the defendant's vehicle. Both had been drinking heavily and the defendant attempted to spin doughnuts in a parking lot but flipped the vehicle onto its roof. The plaintiff suffered serious injuries to her left hand, requiring multiple surgeries. The plaintiff received a total award of $108,500 but this was reduced by 25 per cent as the plaintiff was found to be contributorily negligent for travelling with the defendant, who was clearly intoxicated. The insurer sought to reduce the award to account for the plaintiff's $20,000 received in social assistance, $2,016 received in disability benefits and $5,000 awarded for future care since the plaintiff could seek Part 7 benefits in the future. The insurer had made an offer to settle of $110,000. After the deductions were made, the plaintiff would receive between $70,000 and $80,000 for her award.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29" w:name="Holdings of Court_13"/>
            <w:bookmarkEnd w:id="129"/>
            <w:r>
              <w:rPr>
                <w:rFonts w:ascii="arial" w:eastAsia="arial" w:hAnsi="arial" w:cs="arial"/>
                <w:color w:val="000000"/>
                <w:sz w:val="20"/>
                <w:lang w:val="en-US" w:eastAsia="en-US" w:bidi="ar-SA"/>
              </w:rPr>
              <w:t>HELD: The application was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 had been awarded $3,000 for past wage loss, but the entire amount was deducted since she had received more than her loss from social assistance. The plaintiff agreed that the $2,016 was to be deducted since she had received disability benefits. The plaintiff could still potentially claim $138,704 under Part 7 of the insurance scheme. However, some of the future costs awarded to the plaintiff, such as housekeeping costs, were discretionary or not covered by Part 7. $3,000 was deducted to account for costs such as physiotherapy that could be claimed under Part 7 if supported by medical documentation. Regarding the costs award, it was undisputed that the plaintiff was entitled to 75 per cent of her costs until the date of the offer to settle, given the apportioned liability of the plaintiff and defendant. The offer to settle made by the insurer was a valid offer. However, the parties discussed it on the understanding that the plaintiff would have to sign a release from Part 7 benefits. While the offer was greater than what the plaintiff received after deductions, it was unclear what her future care costs would be. The plaintiff was young and had uncertain plans and much of future care would depend upon whether or not her hand developed arthritis. The plaintiff had a serious claim to advance at trial and had still received a substantial award. Overall, it was not unreasonable for the plaintiff to reject the offer to settle. Furthermore, double costs would deplete the plaintiff's award. Instead, the plaintiff was deprived of her costs from the date of the offer to settle.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30" w:name="Legislation Cited_13"/>
      <w:bookmarkEnd w:id="13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18" style="position:absolute;z-index:2517288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Insurance (Vehicle) Regulation, B.C. Reg. 477/83, s. 88(1), s. 88(2)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Rules of Court, Rule 37B, Rule 37(24)(b)</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31" w:name="Counsel_18"/>
      <w:bookmarkEnd w:id="131"/>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19" style="position:absolute;z-index:2517800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C. McTavish.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Third Party: N.J. Wilhelm-Morden.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32" w:name="Judgment_18"/>
      <w:bookmarkEnd w:id="132"/>
      <w:r>
        <w:pict>
          <v:line id="_x0000_s1120" style="position:absolute;z-index:25183129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 Re: Costs</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1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33" w:name="M.A. HUMPHRIES J._0"/>
            <w:bookmarkEnd w:id="133"/>
            <w:r>
              <w:rPr>
                <w:rFonts w:ascii="arial" w:eastAsia="arial" w:hAnsi="arial" w:cs="arial"/>
                <w:b/>
                <w:color w:val="000000"/>
                <w:sz w:val="30"/>
                <w:lang w:val="en-US" w:eastAsia="en-US" w:bidi="ar-SA"/>
              </w:rPr>
              <w:t>M.A. HUMPHRIES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plaintiff was injured in a motor vehicle accident on September 10, 2006. The defendant did not participate in the trial, and ICBC defended the action as a Third Party. The plaintiff was a passenger in a vehicle driven by the defendant, which flipped over onto its roof while he was attempting to spin doughnuts in a parking lot. Both had been drinking heavily before the accident. The plaintiff suffered severe injuries to her left hand and required multiple surgeries. The trial judgment can be found at </w:t>
      </w:r>
      <w:hyperlink r:id="rId377" w:history="1">
        <w:r>
          <w:rPr>
            <w:rFonts w:ascii="arial" w:eastAsia="arial" w:hAnsi="arial" w:cs="arial"/>
            <w:i/>
            <w:color w:val="0077CC"/>
            <w:sz w:val="20"/>
            <w:u w:val="single"/>
            <w:shd w:val="clear" w:color="auto" w:fill="FFFFFF"/>
            <w:lang w:val="en-US" w:eastAsia="en-US" w:bidi="ar-SA"/>
          </w:rPr>
          <w:t>2008 BCSC 1554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At the conclusion of the trial, the plaintiff received the following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346"/>
        <w:gridCol w:w="1568"/>
        <w:gridCol w:w="491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Non-Pecuniary damages</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$50,000</w:t>
            </w:r>
          </w:p>
        </w:tc>
        <w:tc>
          <w:tcPr>
            <w:tcW w:w="4813"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927"/>
        <w:gridCol w:w="1987"/>
        <w:gridCol w:w="491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86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Past Wage Loss</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$3,000</w:t>
            </w:r>
          </w:p>
        </w:tc>
        <w:tc>
          <w:tcPr>
            <w:tcW w:w="4813"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555"/>
        <w:gridCol w:w="1359"/>
        <w:gridCol w:w="491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Loss of Earning Capacity</w:t>
            </w:r>
          </w:p>
        </w:tc>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$50,000</w:t>
            </w:r>
          </w:p>
        </w:tc>
        <w:tc>
          <w:tcPr>
            <w:tcW w:w="4813"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346"/>
        <w:gridCol w:w="1568"/>
        <w:gridCol w:w="491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Cost of Future Care</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$5,000</w:t>
            </w:r>
          </w:p>
        </w:tc>
        <w:tc>
          <w:tcPr>
            <w:tcW w:w="4813"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3137"/>
        <w:gridCol w:w="1778"/>
        <w:gridCol w:w="491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07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Special Damages</w:t>
            </w:r>
          </w:p>
        </w:tc>
        <w:tc>
          <w:tcPr>
            <w:tcW w:w="174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$500</w:t>
            </w:r>
          </w:p>
        </w:tc>
        <w:tc>
          <w:tcPr>
            <w:tcW w:w="4813"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award was reduced 25% for the plaintiff's own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accepting a ride with a person who was obviously intoxicated.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Third Party ("ICBC") now applies for certain deductions and for double costs from the date of their offer to settle, which was May 23,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Deduction of social assistance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 found the plaintiff was disabled from September 10, 2006 to early 2008. The plaintiff received social assistance benefits in 2006 and 2007 of approximately $20,000. I found her past wage loss over the entire period of disability to be $3,000.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does not disagree that social assistance benefits should be deducted from wage loss, but contends that the amount of $3,000 would only cover about 1 1/2 months' work, so the deduction should be adjusted to correspond to a shorter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amount of wage loss is small indeed, but that was because of the plaintiff's work history. The amount awarded was intended to cover the entire period of disability. Therefore, the social assistance benefits should be deducted, making the award for past wage loss nil.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Deduction for temporary total disability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 agrees with ICBC that the amount of $2,016 is properly deducted from the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Deduction for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At trial, the plaintiff sought future care costs in the range of $75,000 to $87,000 to cover exercise equipment, physiotherapy, various consultations, homemaking services, yard maintenance, appliances and medications.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There was little evidence at the time of trial to assist with the determination of the costs of future care. The plaintiff is young and, as noted in the judgment, was not forthcoming in her testimony. This is not to say she lacked credibility; she simply provided little detail of the effects of the injury on her daily life. Her plans for the future were uncertain. As I said at para. 62 of the original judgment: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Given the lack of evidence upon which to reach a conclusion respecting the possibility of any of the suggested services being reasonably required or used, I accept the position advanced by the third party that an assessment is appropriate, rather than a meticulous consideration of each item and its place and frequency in the tables. The requirement for exercise and physiotherapy is reasonable, and this must take into account the possibility of arthritis increasing in the future. That could well necessitate the need for some help around the home and the requirement in future for some of the helpful appliances. I assess the cost of future care at $5,000.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 court is required to estimate the value of future payments that ICBC is authorized or required to make under Part 7 and deduct it from the judgment, using caution. Although this exercise is to ensure there is no double recovery, it is not necessary to match the benefits available under Part 7 to the specific items of future care awarded in the tort action. A full discussion of this difficult exercise is set out in </w:t>
      </w:r>
      <w:r>
        <w:rPr>
          <w:rFonts w:ascii="arial" w:eastAsia="arial" w:hAnsi="arial" w:cs="arial"/>
          <w:b/>
          <w:i/>
          <w:color w:val="000000"/>
          <w:sz w:val="20"/>
          <w:lang w:val="en-US" w:eastAsia="en-US" w:bidi="ar-SA"/>
        </w:rPr>
        <w:t>Sovani v. Jin</w:t>
      </w:r>
      <w:r>
        <w:rPr>
          <w:rFonts w:ascii="arial" w:eastAsia="arial" w:hAnsi="arial" w:cs="arial"/>
          <w:color w:val="000000"/>
          <w:sz w:val="20"/>
          <w:lang w:val="en-US" w:eastAsia="en-US" w:bidi="ar-SA"/>
        </w:rPr>
        <w:t xml:space="preserve">, </w:t>
      </w:r>
      <w:hyperlink r:id="rId378" w:history="1">
        <w:r>
          <w:rPr>
            <w:rFonts w:ascii="arial" w:eastAsia="arial" w:hAnsi="arial" w:cs="arial"/>
            <w:i/>
            <w:color w:val="0077CC"/>
            <w:sz w:val="20"/>
            <w:u w:val="single"/>
            <w:shd w:val="clear" w:color="auto" w:fill="FFFFFF"/>
            <w:lang w:val="en-US" w:eastAsia="en-US" w:bidi="ar-SA"/>
          </w:rPr>
          <w:t>2005 BCSC 1285</w:t>
        </w:r>
      </w:hyperlink>
      <w:r>
        <w:rPr>
          <w:rFonts w:ascii="arial" w:eastAsia="arial" w:hAnsi="arial" w:cs="arial"/>
          <w:color w:val="000000"/>
          <w:sz w:val="20"/>
          <w:lang w:val="en-US" w:eastAsia="en-US" w:bidi="ar-SA"/>
        </w:rPr>
        <w:t xml:space="preserve">, </w:t>
      </w:r>
      <w:hyperlink r:id="rId378" w:history="1">
        <w:r>
          <w:rPr>
            <w:rFonts w:ascii="arial" w:eastAsia="arial" w:hAnsi="arial" w:cs="arial"/>
            <w:i/>
            <w:color w:val="0077CC"/>
            <w:sz w:val="20"/>
            <w:u w:val="single"/>
            <w:shd w:val="clear" w:color="auto" w:fill="FFFFFF"/>
            <w:lang w:val="en-US" w:eastAsia="en-US" w:bidi="ar-SA"/>
          </w:rPr>
          <w:t>47 B.C.L.R. (4th) 97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ICBC suggests that, given the large amount sought by the plaintiff, and the evidence presently before the court on this application that she still has $138,704.12 available to her under Part 7, a conservative and cautious amount to deduct is the amount of the award - $5,000.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plaintiff notes that ICBC did not lead any evidence on future care, and simply asks the court to assume it will exercise its discretion properly for future claims; therefore any deduction should be nominal. This position is somewhat at odds with the plaintiff's position at trial that her future care costs, some of which would be covered by Part 7, would be substantial.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Section 88(1) of the </w:t>
      </w:r>
      <w:r>
        <w:rPr>
          <w:rFonts w:ascii="arial" w:eastAsia="arial" w:hAnsi="arial" w:cs="arial"/>
          <w:b/>
          <w:i/>
          <w:color w:val="000000"/>
          <w:sz w:val="20"/>
          <w:lang w:val="en-US" w:eastAsia="en-US" w:bidi="ar-SA"/>
        </w:rPr>
        <w:t>Insurance (Vehicle) Regulation</w:t>
      </w:r>
      <w:r>
        <w:rPr>
          <w:rFonts w:ascii="arial" w:eastAsia="arial" w:hAnsi="arial" w:cs="arial"/>
          <w:color w:val="000000"/>
          <w:sz w:val="20"/>
          <w:lang w:val="en-US" w:eastAsia="en-US" w:bidi="ar-SA"/>
        </w:rPr>
        <w:t>, B.C. Reg. 477/83, mandates payment for reasonable expenses incurred by the insured as a result of the injury for: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necessary medical, surgical, dental, hospital, ambulance or professional nursing services, or for necessary physical therapy, chiropractic treatment, occupational therapy or speech therapy or for prosthesis or orthosis.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Section 88(2) allows ICBC, upon medical advice and with certain restrictions and conditions, to provide a car, alterations to a residence, attendant care, various medical equipment, and vocational training.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Although the specific requirements for future care need not be matched to particular items under Part 7, when a general assessment is made, it is reasonable to consider whether the items contemplated in the future care award are items that the plaintiff may eventually claim under Part 7. Some of the items for which it was determined that the plaintiff might need future care, such as housekeeping assistance and helpful appliances around the home, are either discretionary or not covered by Part 7. The physical and exercise therapy appear to be mandatory as they are recommended by a doctor. Considering all of these factors, and taking a cautious approach, I would deduct $3,000 from this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ICBC presented a formal offer to settle on May 23, 2008, in the amount of $110,000 "after taking into account Part 7 benefits paid or payable," and any advances, plus costs and taxable disbursements. There is no disagreement that the plaintiff should get 75% of her costs up to May 23,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plaintiff submits she should have 75% of her costs to the end of trial; or in the alternative, that each party should bear its own costs after the date of the offer. The defendant seeks double costs for all steps in the proceeding after May 23,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There is no dispute that the offer was a valid offer to settle within the terms of Rule 37, notwithstanding an issue that I will address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relevant subsections of Rule 37B for the purposes of this application are:</w:t>
      </w:r>
      <w:r>
        <w:rPr>
          <w:rFonts w:ascii="arial" w:eastAsia="arial" w:hAnsi="arial" w:cs="arial"/>
          <w:sz w:val="20"/>
          <w:lang w:val="en-US" w:eastAsia="en-US" w:bidi="ar-SA"/>
        </w:rPr>
        <w:cr/>
      </w:r>
    </w:p>
    <w:p>
      <w:pPr>
        <w:numPr>
          <w:numId w:val="9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may consider an offer to settle when exercising the court's discretion in relation to costs.</w:t>
      </w:r>
    </w:p>
    <w:p>
      <w:pPr>
        <w:numPr>
          <w:numId w:val="9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 proceeding in which an offer to settle has been made, the court may do one or both of the following:</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deprive a party, in whole or in part, of costs to which the party would otherwise be entitled in respect of the steps taken in the proceeding after the date of delivery of the offer to settle;</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award double costs of all or some of the steps taken in the proceeding after the date of delivery of the offer to settle.</w:t>
      </w:r>
    </w:p>
    <w:p>
      <w:pPr>
        <w:numPr>
          <w:numId w:val="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making an order under subrule (5), the court may consider the following:</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offer to settle was one that ought reasonably to have been accepted, either on the date that the offer to settle was delivered or on any later date;</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relationship between the terms of settlement offered and the final judgment of the court;</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relative financial circumstances of the parties;</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any other factor the court considers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Recent decisions on this new Rule are clear that the court's discretion is now unfettered, but that the underlying purpose of the old rule - encouraging settlement through the use of costs - remains an important objective.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amount the plaintiff will receive as a result of the judgment is approximately $81,000 before deductions. The settlement offer was $110,000 plus costs. ICBC submits that the result at trial was a significant win for them, and that the plaintiff, having rejected their reasonable offer, assumed the risk of cost ramifications and should pay double costs as a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Ought the offer to have been accepted?/Relationship to final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Although Rule 37B(5)(a) and (b) separate the issues of "reasonable acceptance" and "relationship between the offer and the final judgment," in the circumstances here, where the plaintiff received a substantial award but one which is less than the offer, it is in my view appropriate to consider these factors together. The offer was for $110,000; the award at trial will be between $70,000 and $80,000, depending on deductions, and the plaintiff retains the potential to claim Part 7 benefits up to approximately $138,000.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Argument on this issue proceeded on the basis that the plaintiff would have been required, if she had accepted the offer, to sign a release of her Part 7 benefits. I requested further submissions on that aspect of the argument, based on the decision of the Court of Appeal in </w:t>
      </w:r>
      <w:r>
        <w:rPr>
          <w:rFonts w:ascii="arial" w:eastAsia="arial" w:hAnsi="arial" w:cs="arial"/>
          <w:b/>
          <w:i/>
          <w:color w:val="000000"/>
          <w:sz w:val="20"/>
          <w:lang w:val="en-US" w:eastAsia="en-US" w:bidi="ar-SA"/>
        </w:rPr>
        <w:t>Anderson v. Routbard</w:t>
      </w:r>
      <w:r>
        <w:rPr>
          <w:rFonts w:ascii="arial" w:eastAsia="arial" w:hAnsi="arial" w:cs="arial"/>
          <w:color w:val="000000"/>
          <w:sz w:val="20"/>
          <w:lang w:val="en-US" w:eastAsia="en-US" w:bidi="ar-SA"/>
        </w:rPr>
        <w:t xml:space="preserve">, </w:t>
      </w:r>
      <w:hyperlink r:id="rId379" w:history="1">
        <w:r>
          <w:rPr>
            <w:rFonts w:ascii="arial" w:eastAsia="arial" w:hAnsi="arial" w:cs="arial"/>
            <w:i/>
            <w:color w:val="0077CC"/>
            <w:sz w:val="20"/>
            <w:u w:val="single"/>
            <w:shd w:val="clear" w:color="auto" w:fill="FFFFFF"/>
            <w:lang w:val="en-US" w:eastAsia="en-US" w:bidi="ar-SA"/>
          </w:rPr>
          <w:t>2007 BCCA 193</w:t>
        </w:r>
      </w:hyperlink>
      <w:r>
        <w:rPr>
          <w:rFonts w:ascii="arial" w:eastAsia="arial" w:hAnsi="arial" w:cs="arial"/>
          <w:color w:val="000000"/>
          <w:sz w:val="20"/>
          <w:lang w:val="en-US" w:eastAsia="en-US" w:bidi="ar-SA"/>
        </w:rPr>
        <w:t xml:space="preserve">, </w:t>
      </w:r>
      <w:hyperlink r:id="rId379" w:history="1">
        <w:r>
          <w:rPr>
            <w:rFonts w:ascii="arial" w:eastAsia="arial" w:hAnsi="arial" w:cs="arial"/>
            <w:i/>
            <w:color w:val="0077CC"/>
            <w:sz w:val="20"/>
            <w:u w:val="single"/>
            <w:shd w:val="clear" w:color="auto" w:fill="FFFFFF"/>
            <w:lang w:val="en-US" w:eastAsia="en-US" w:bidi="ar-SA"/>
          </w:rPr>
          <w:t>239 B.C.A.C. 98</w:t>
        </w:r>
      </w:hyperlink>
      <w:r>
        <w:rPr>
          <w:rFonts w:ascii="arial" w:eastAsia="arial" w:hAnsi="arial" w:cs="arial"/>
          <w:color w:val="000000"/>
          <w:sz w:val="20"/>
          <w:lang w:val="en-US" w:eastAsia="en-US" w:bidi="ar-SA"/>
        </w:rPr>
        <w:t>, in which a similarly worded offer was held to be clear and unambiguous, and was deliberately drafted to ensure that full access to Part 7 benefits remained unimpaired by acceptance of the offer. Although the legislation makes no such differentiation, the Court of Appeal decided in that case that the use of the word "payable" in these offers means only those Part 7 claims that have been submitted and are outstanding at the time of the offer, leaving the rest of the potential Part 7 fund available to be claimed.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Counsel for ICBC now acknowledges that she was in error in submitting that the plaintiff would have been required to sign a release before accepting the offer, although she says it is common practice to settle both claims at once.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Counsel for the plaintiff says it was clear in all negotiations concerning this matter that ICBC would require a release of both the tort and Part 7 claims if the offer were accepted. He does not go on to say that the offer itself is unclear in these circumstances, but says the issue of the reasonableness of rejecting the offer should be analyzed on the basis that such a release would have been required. Counsel for ICBC disputes plaintiff's counsel's assertion that there was an understanding that acceptance of the offer was predicated on a release of Part 7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Although in law the plaintiff would not have been required to sign a release of Part 7 benefits as a term of accepting the offer, it appears from the positions of both counsel during oral argument and even from the subsequent written submissions that in the course of settlement negotiations, they both understood that a release would have been required. To resolve the dispute between counsel as to their respective understandings of whether the provision of a release would also have been a condition of the acceptance of the formal offer to settle would require counsel to provide additional information about their discussions and the settlement process. It might even require counsel to give evidence. This application for costs risks being complicated unproductively by such an examination, which would only add expense to the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Since I have found that the amount of future care costs is low, I will proceed on the basis that the issue of Part 7 benefits would not be conclusive either way in the assessment of whether or not the offer ought reasonably to have been accepted.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ICBC says the plaintiff was unreasonable in rejecting the offer. She was obviously able to quantify her claim by the time the offer came in, as she submitted her own offer to settle for $185,000 the day before. ICBC then put in its offer, and also participated in mediation which the plaintiff instigated.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Plaintiff's counsel says he had medical and other expert reports backing up his client's position, and to accept the offer would have meant ignoring all their evidence. Counsel for ICBC responds quite properly that a consideration of an offer does not mean that a party must ignore its own evidence; instead it requires an assessment of whether the offer is reasonable and this requires a realistic look at the whole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 significant difference between the plaintiff's position at trial and the amount of the award is in the area of future care costs, and this is reflected in the disparity between the plaintiff's own offer and the result at trial. A trial judge is required to look into a crystal ball and assess future care costs for the tort claim based on the evidence adduced at trial, and then to look even further and assess future contractual Part 7 claims that might be made by the plaintiff insured against its insurer for the purpose of deductions from the tort award. This is an exercise fraught with uncertainty and potential unfairness, especially for a plaintiff like Ms. Lumanlan, whose future care costs are not clear and are contingent on whether and to what extent she develops arthritis, whether she moves into a house, whether she assumes care of her son (which she now deposes she is attempting to do), and what career she decides to pursue. She is young; her future plans are uncertain. Prior to the accident she had two good hands. Now she does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As counsel for the plaintiff pointed out, this type of claim for future care, unlike one where no future care is required, or one where significant future care is required, is difficult to assess.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court in this tort action was circumscribed by the lack of evidence, and by its duty to be fair to both the plaintiff and the defendant, which prevents speculation unsupported by evidence. In terms of her relationship with her own insurer, however, within the Part 7 context, the plaintiff may well have to make claims in the future under her insurance contract as she matures and gains perspective on her limitations, especially if the court is shown, by the crystallization of events in the future, to have been unfairly limited by the lack of evidence at the tort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result at trial was not dismissal of the action; Ms. Lumanlan obtained a not insignificant award. She suffered extensive damage to her hand. She was uncomplaining and not particularly adept at putting forth her evidence, and these limitations did not accrue to her advantage, but she did have a serious claim to advance.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As well, an assessment of non-pecuniary damages, as every trial judge knows, is a difficult and somewhat subjective task, as hard as one tries to be consistent with other judgments. A jury verdict can, of course, be even more disparate when compared to assessments by judges. In my view, one should be cautious, with the advantage of hindsight, in equating having guessed wrongly with having been unreasonable in rejecting an offer, especially when the plaintiff receives a substantial award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Bailey v. Jang</w:t>
      </w:r>
      <w:r>
        <w:rPr>
          <w:rFonts w:ascii="arial" w:eastAsia="arial" w:hAnsi="arial" w:cs="arial"/>
          <w:color w:val="000000"/>
          <w:sz w:val="20"/>
          <w:lang w:val="en-US" w:eastAsia="en-US" w:bidi="ar-SA"/>
        </w:rPr>
        <w:t xml:space="preserve">, </w:t>
      </w:r>
      <w:hyperlink r:id="rId277" w:history="1">
        <w:r>
          <w:rPr>
            <w:rFonts w:ascii="arial" w:eastAsia="arial" w:hAnsi="arial" w:cs="arial"/>
            <w:i/>
            <w:color w:val="0077CC"/>
            <w:sz w:val="20"/>
            <w:u w:val="single"/>
            <w:shd w:val="clear" w:color="auto" w:fill="FFFFFF"/>
            <w:lang w:val="en-US" w:eastAsia="en-US" w:bidi="ar-SA"/>
          </w:rPr>
          <w:t>2008 BCSC 1372</w:t>
        </w:r>
      </w:hyperlink>
      <w:r>
        <w:rPr>
          <w:rFonts w:ascii="arial" w:eastAsia="arial" w:hAnsi="arial" w:cs="arial"/>
          <w:color w:val="000000"/>
          <w:sz w:val="20"/>
          <w:lang w:val="en-US" w:eastAsia="en-US" w:bidi="ar-SA"/>
        </w:rPr>
        <w:t>, the plaintiff's entire claim was dismissed by a jury. Nevertheless, the trial judge held that he was unable to say she had been unreasonable in rejecting the offer. Rule 37B is worded in the affirmative. It is suggested that the court may consider "whether the offer ... ought reasonably to have been accepted," not whether the plaintiff was unreasonable in rejecting it. Nevertheless, given the broad discretion now existing in the section, I am of the view that the important conclusion to be taken from that decision is that this consideration is not one to be done with "hindsight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trial judge in that case held that dismissal of the claim was not determinative of the reasonableness of rejection of the offer. Conversely, however, in my view, the size of the award at trial may offer some assistance in assessing the reasonableness of the plaintiff's position at the time the offer was made. Here, the award was significant, although not as high as the offer.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Bearing in mind the above considerations and the relationship between the offer and the eventual award at trial, I am unable to say in all these circumstances that the plaintiff, who did not have the benefit of hindsight, ought reasonably to have accepted the offer at the time it was made and prior to the commencement of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Financial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ICBC submits that the relative financial circumstances of the parties should be at best a neutral factor. Although they defended the action, it is really the defendant whose finances are relevant. They will pursue their expenses against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plaintiff submits that ICBC was the party who conducted the litigation, and they did so because the defendant breached his insurance by driving dangerously and injuring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fact that the defendant will have to pay ICBC back because he breached his contract through conduct which also resulted in the plaintiff's injury should not be used to her detriment. However, I agree with counsel for the Third Party that it is not reasonable to compare the plaintiff's financial circumstances to those of ICBC, even where ICBC has entered the action as a Third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plaintiff deposes that she continues to make the salary she made at trial, that is $8.00 an hour, and she has moved out of her parents' house to live with a friend temporarily while she asserts custody/access rights to her son, who is now cared for by her mother.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defendant, 26, is presently unemployed but intends to look for work as a heavy machine operator, which has been his employment since he was 16, when he gets his licence back later in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There is not a sufficient imbalance in the parties' relative financial circumstances to make this a significant factor in the present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Other factors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plaintiff has presented a draft bill of costs to show what a substantial penalty she should incur if forced to pay double costs to the defendant for steps taken after the offer to settle. It would indeed substantially deplete her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Bailey v. Jang,</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double costs were awarded to the defendant under the new rule, even though the judge held that the offer was not rejected unreasonably, on the basis that to fail to do so would ignore the deterrent effect of the rule. There, the defendants had made an offer to settle of $35,000 and the jury dismissed the plaintiff's claim entirely.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Obviously, in the case at bar, the plaintiff's claim was not dismissed. She received an award that is reasonably close to the offer, until reduced by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Under Rule 37(24)(b), which was in effect when the offer was presented, the defendants would have been entitled to double costs only if the action had been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ICBC argues that the plaintiff's failure to acknowledge any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a barrier to settlement. The plaintiff did indeed pursue that position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Counsel for the plaintiff takes the position that the mistake regarding the requirement for a release, which he contends was mutual and which counsel for ICBC contends was not, is another factor to consider. It is unfortunate that this dispute has arisen and remains unresolved, but as I stated earlier, the ultimate significance of future care claims is small.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Result on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Whether or not the plaintiff was under the impression that she would have had to release future Part 7 benefits to accept the offer, it is apparent that she would have to establish entitlement to some $30,000 to $40,000 worth of Part 7 benefits to attain the amount of the offer, and she would, of course, have received taxable costs and disbursements. This is all without regard to her own legal costs, which obviously increased through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Nevertheless, I have concluded that the plaintiff's decision not to accept the offer was reasonable at the time, and although the award at trial was less than the offer, it was still substantial.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Although the use of hindsight is not appropriate in the consideration of the reasonableness of accepting/rejecting the offer, an overall analysis of all of the factors under Rule 37B must be done with the advantage of hindsight, also keeping in mind the court's unfettered discretion. From that perspective, the plaintiff would have been better off if she had accepted the offer. Her position on some aspects of the trial, such as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appears to have been a stumbling block to settlement.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There should be some consequence in costs as a result, but in my view, it would be unfair and excessively penal to award double costs against the plaintiff, especially where these costs would not have been available under the rule in place when the offer was presented. Given the significant injury to the plaintiff, which was caused by the defendant's foolish and reckless behaviour, and the effect on the award of a further reduction for costs, even if not doubled, and taking into account all of the above considerations, in my view it would not be fair or just to require the plaintiff to pay ICBC's costs after the date of the offer.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In the result, it is appropriate to give the plaintiff 75% of her costs up to the date of the offer and to deprive her of her costs thereafter. Each party will bear their own costs after the date of the offer.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 HUMPHRIES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21" style="position:absolute;z-index:25187532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80"/>
          <w:headerReference w:type="default" r:id="rId381"/>
          <w:footerReference w:type="even" r:id="rId382"/>
          <w:footerReference w:type="default" r:id="rId383"/>
          <w:headerReference w:type="first" r:id="rId384"/>
          <w:footerReference w:type="first" r:id="rId38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86" w:history="1">
        <w:r>
          <w:rPr>
            <w:rFonts w:ascii="arial" w:eastAsia="arial" w:hAnsi="arial" w:cs="arial"/>
            <w:b/>
            <w:bCs/>
            <w:i/>
            <w:color w:val="0077CC"/>
            <w:kern w:val="32"/>
            <w:sz w:val="28"/>
            <w:szCs w:val="32"/>
            <w:u w:val="single"/>
            <w:shd w:val="clear" w:color="auto" w:fill="FFFFFF"/>
            <w:lang w:val="en-US" w:eastAsia="en-US" w:bidi="ar-SA"/>
          </w:rPr>
          <w:t>Moulton Contracting Ltd. v. British Columbia, [2014] B.C.J. No. 1116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A. Saunders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7, 14 and 28, 2014 by written submissions.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5,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S067611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[2014] B.C.J. No. 1116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2014 BCSC 993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58 B.C.L.R. (5th) 155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55 C.P.C. (7th) 258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[2014] 12 W.W.R. 182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241 A.C.W.S. (3d) 62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2014 CarswellBC 1574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Moulton Contracting Ltd., Plaintiff, and Her Majesty the Queen in Right of the Province of British Columbia, Sally Behn, Susan Behn, George Behn, Richard Behn, Greg Behn, Rupert Behn, Lovey Behn, Mary Behn, Chief Liz Logan on behalf of herself and all other members of the Fort Nelson First Nation and the same Fort Nelson First Nation, Defendants, and Her Majesty the Queen in Right of the Province of British Columbia, Third Party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(81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22" style="position:absolute;z-index:2516787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34" w:name="Keywords_19"/>
      <w:bookmarkEnd w:id="134"/>
      <w:r>
        <w:rPr>
          <w:rFonts w:ascii="arial" w:eastAsia="arial" w:hAnsi="arial" w:cs="arial"/>
          <w:b/>
          <w:color w:val="000000"/>
          <w:sz w:val="20"/>
          <w:lang w:val="en-US" w:eastAsia="en-US" w:bidi="ar-SA"/>
        </w:rPr>
        <w:t>Civil litigation — Civil procedure — Costs — Assessment or fixing of costs — Tariffs — Particular circumstances — Complex, novel or test case — Where success divided — Offers to settle — Amount of offer v. award — Bullock or Sanderson order — Logging contractor entitled to costs against Crown and double costs from date of offer to settle claim for lost opportunity to obtain other work, in successful claim against Crown relating to Crown's failure to disclose problems with First Nations consultation process that resulted in blockade preventing logging — Crown also ordered to pay costs of First Nation, logger's claim against which was dismissed, where Crown's conduct resulted in problems between First Nation and logger — Award to First Nation reduced by one-third for failure to provide full, timely disclosure — Scale C costs payable for complex case of importance to public, aboriginals and resource developers — British Columbia Supreme Court Civil Rules, Rules 9-1, 14-1.</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35" w:name="Case Summary_17"/>
            <w:bookmarkEnd w:id="13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Determination of costs payable following an award of damages of $1.75 million to Moulton, a logging contractor, in its action against the Crown. All of Moulton's claims against other defendants were dismissed. Moulton sustained financial losses because a blockade placed by First nations members prevented it from logging two licences it obtained from the Crown. The Crown was found liable to Moulton for failing to disclose the First Nation's dissatisfaction with the consultation process and its knowledge of the intention of its members to take steps to stop the logging. The damage award compensated Moulton for lost opportunities to pursue other work. Much of the 21-dy trial was occupied dealing with issue surrounding the adequacy of the consultation process. Moulton delivered to the Crown an offer to settle its claim for $1.5 million on May 26, 2009.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36" w:name="Holdings of Court_14"/>
            <w:bookmarkEnd w:id="136"/>
            <w:r>
              <w:rPr>
                <w:rFonts w:ascii="arial" w:eastAsia="arial" w:hAnsi="arial" w:cs="arial"/>
                <w:color w:val="000000"/>
                <w:sz w:val="20"/>
                <w:lang w:val="en-US" w:eastAsia="en-US" w:bidi="ar-SA"/>
              </w:rPr>
              <w:t>HELD: The First Nation was entitled to Scale C costs because this was a matter of substantive and procedural complexity of importance to the public at large and in particular, to resource developers and aboriginal peoples.</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First Nation was not to be denied Scale C costs because it conducted the trial in an economical manner by using junior lawyers. The award to which the First Nation was entitled was reduced by one-third as a consequence of its failure to provide full disclosure in a timely manner. The Crown was ordered to pay these costs because it was the Crown's conduct in failing to meet its obligations to Moulton that placed Moulton and the First Nation at odds. Individual First Nations members who participated in the blockade were to bear their own costs of the proceedings. This was intended to serve as a disincentive to others considering attempting to resolve land use disputes through extra-legal means such as blockades. Moulton was entitled to double costs from the date of its settlement offer, which should have been accepted by the Crown.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37" w:name="Legislation Cited_14"/>
      <w:bookmarkEnd w:id="13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23" style="position:absolute;z-index:2517299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Civil Rules, Rule 9-1(5)(b), Rule 9-1(6), Rule 14-1(15)(b), Rule 14-1(18), s. 2(2), Appendix B, s. 2(3), Appendix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British Columbia Supreme Court Rules, Rule 57(8), Rule 57(18)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Forest and Range Practices Act, </w:t>
      </w:r>
      <w:r>
        <w:rPr>
          <w:rFonts w:ascii="arial" w:eastAsia="arial" w:hAnsi="arial" w:cs="arial"/>
          <w:i/>
          <w:color w:val="000000"/>
          <w:sz w:val="20"/>
          <w:lang w:val="en-US" w:eastAsia="en-US" w:bidi="ar-SA"/>
        </w:rPr>
        <w:t>SBC 2002, CHAPTER 69</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38" w:name="Counsel_19"/>
      <w:bookmarkEnd w:id="138"/>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24" style="position:absolute;z-index:2517811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C.F. Willms, K. Grist.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 HMTQ: K. Phillips, J. Oliphant.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Defendants Behn: R. Janes, S. Sharp.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Defendants Chief L. Logan and Fort Nelson First Nation: A. Rana, A. Russell.</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39" w:name="Judgment_19"/>
      <w:bookmarkEnd w:id="139"/>
      <w:r>
        <w:pict>
          <v:line id="_x0000_s1125" style="position:absolute;z-index:251832320"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A correction was released by the Court June 11, 2014; the change has been made to the text and the corrigendum is appended to this document.]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 on Costs</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40" w:name="A. SAUNDERS J."/>
            <w:bookmarkEnd w:id="140"/>
            <w:r>
              <w:rPr>
                <w:rFonts w:ascii="arial" w:eastAsia="arial" w:hAnsi="arial" w:cs="arial"/>
                <w:b/>
                <w:color w:val="000000"/>
                <w:sz w:val="30"/>
                <w:lang w:val="en-US" w:eastAsia="en-US" w:bidi="ar-SA"/>
              </w:rPr>
              <w:t>A. SAUNDERS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trial of this action proceeded over 21 days in the fall of 2011. Following the resolution of appeals concerning the pleadings, I issued Reasons for Judgment on December 23, 2013 (indexed at </w:t>
      </w:r>
      <w:hyperlink r:id="rId387" w:history="1">
        <w:r>
          <w:rPr>
            <w:rFonts w:ascii="arial" w:eastAsia="arial" w:hAnsi="arial" w:cs="arial"/>
            <w:i/>
            <w:color w:val="0077CC"/>
            <w:sz w:val="20"/>
            <w:u w:val="single"/>
            <w:shd w:val="clear" w:color="auto" w:fill="FFFFFF"/>
            <w:lang w:val="en-US" w:eastAsia="en-US" w:bidi="ar-SA"/>
          </w:rPr>
          <w:t>2013 BCSC 2348</w:t>
        </w:r>
      </w:hyperlink>
      <w:r>
        <w:rPr>
          <w:rFonts w:ascii="arial" w:eastAsia="arial" w:hAnsi="arial" w:cs="arial"/>
          <w:color w:val="000000"/>
          <w:sz w:val="20"/>
          <w:lang w:val="en-US" w:eastAsia="en-US" w:bidi="ar-SA"/>
        </w:rPr>
        <w:t>), awarding the plaintiff damages against Her Majesty the Queen in Right of the Province of British Columbia (the "Province"), in the amount of $1.75 million plus court ordered interest. I dismissed the plaintiff's claims against all other defendants. The parties were given leave to make submissions as to costs, and filed written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is a logging contractor. It purchased two Timber Sales Licenses ("TSLs") from the Province of British Columbia and commenced logging at the beginning of October 2006. The plaintiff's access to the logging areas was barred by a blockade, erected on an access road by some of the Behn Defendants who are also members of the Fort Nelson First Nations ("FNFN"). The plaintiff sustained substantial economic losses as a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Much of the evidence and argument in this action surrounded the adequacy of the Province's consultation with the FNFN and the Behn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This case has a lengthy procedural history, some of which was summarized in the trial reasons, at paras. 4 - 18. The trial reasons were issued following dismissal of the final procedural appeal before the Supreme Court of Canada (indexed as </w:t>
      </w:r>
      <w:r>
        <w:rPr>
          <w:rFonts w:ascii="arial" w:eastAsia="arial" w:hAnsi="arial" w:cs="arial"/>
          <w:i/>
          <w:color w:val="000000"/>
          <w:sz w:val="20"/>
          <w:lang w:val="en-US" w:eastAsia="en-US" w:bidi="ar-SA"/>
        </w:rPr>
        <w:t>Behn v. Moulton Contracting Ltd</w:t>
      </w:r>
      <w:r>
        <w:rPr>
          <w:rFonts w:ascii="arial" w:eastAsia="arial" w:hAnsi="arial" w:cs="arial"/>
          <w:color w:val="000000"/>
          <w:sz w:val="20"/>
          <w:lang w:val="en-US" w:eastAsia="en-US" w:bidi="ar-SA"/>
        </w:rPr>
        <w:t xml:space="preserve">., </w:t>
      </w:r>
      <w:hyperlink r:id="rId388" w:history="1">
        <w:r>
          <w:rPr>
            <w:rFonts w:ascii="arial" w:eastAsia="arial" w:hAnsi="arial" w:cs="arial"/>
            <w:i/>
            <w:color w:val="0077CC"/>
            <w:sz w:val="20"/>
            <w:u w:val="single"/>
            <w:shd w:val="clear" w:color="auto" w:fill="FFFFFF"/>
            <w:lang w:val="en-US" w:eastAsia="en-US" w:bidi="ar-SA"/>
          </w:rPr>
          <w:t>2013 SCC 26</w:t>
        </w:r>
      </w:hyperlink>
      <w:r>
        <w:rPr>
          <w:rFonts w:ascii="arial" w:eastAsia="arial" w:hAnsi="arial" w:cs="arial"/>
          <w:color w:val="000000"/>
          <w:sz w:val="20"/>
          <w:lang w:val="en-US" w:eastAsia="en-US" w:bidi="ar-SA"/>
        </w:rPr>
        <w:t>). I dismissed the claims in tort against the Behn Defendants, Chief Logan and FNFN. I found the Province had failed to consult adequately with the FNFN, but I held that the Province was not legally liable to the plaintiff for losses arising out of the plaintiff's inability to access the TSL cutblocks, on account of the wording of an exemption clause in the TSLs and on account of there having been insufficient proof of causation between the inadequate consultation and the Behns' initiating of the blockade.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 did however find the Province liable to the plaintiff for breaching an implied term of the TSLs, and concurrently liable in tort, for failing to disclose to the plaintiff its knowledge of the other defendants' dissatisfaction with the consultation process and its knowledge of Mr. George Behn's expressed intention to stop the logging. I awarded the plaintiff damages in the amount of $1.75 million in respect of lost opportunities to pursue other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 Orders Sought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parties seek the following specific orders as to costs. I will summarize the parties' positions and state my decision as to each separate costs remedy, in turn.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Costs of the Successful Parties at Scale 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The plaintiff, the Behn Defendants, and FNFN and Chief Logan ask that their costs be assessed at Scale C. Appendix B to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provides that a court may fix the scale at which costs are to be assessed. Subsections 2(2) and (3) of Appendix B provide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2(2) In fixing the scale of costs, the court must have regard to the following principles:</w:t>
      </w:r>
    </w:p>
    <w:p>
      <w:pPr>
        <w:numPr>
          <w:numId w:val="9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Scale A is for matters of little or less than ordinary difficulty;</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Scale B is for matters of ordinary difficulty;</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Scale C is for matters of more than ordinary difficulty.</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fixing the appropriate scale under which costs will be assessed, the court may take into account the following:</w:t>
      </w:r>
    </w:p>
    <w:p>
      <w:pPr>
        <w:numPr>
          <w:numId w:val="5"/>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a difficult issue of law, fact or construction is involved;</w:t>
      </w:r>
    </w:p>
    <w:p>
      <w:pPr>
        <w:numPr>
          <w:numId w:val="6"/>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an issue is of importance to a class or body of persons, or is of general interest;</w:t>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result of the proceeding effectively determines the rights and obligations as between the parties beyond the relief that was actually granted or denied.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The plaintiff submits that Scale C costs are appropriate given the complexity and difficulty of the action. With reference to the list of relevant factors set out by Justice Wilson in </w:t>
      </w:r>
      <w:r>
        <w:rPr>
          <w:rFonts w:ascii="arial" w:eastAsia="arial" w:hAnsi="arial" w:cs="arial"/>
          <w:i/>
          <w:color w:val="000000"/>
          <w:sz w:val="20"/>
          <w:lang w:val="en-US" w:eastAsia="en-US" w:bidi="ar-SA"/>
        </w:rPr>
        <w:t>Mort v. Br. of Sch. Trustees of Sch. Bd. No. 63 (Saanich) et al</w:t>
      </w:r>
      <w:r>
        <w:rPr>
          <w:rFonts w:ascii="arial" w:eastAsia="arial" w:hAnsi="arial" w:cs="arial"/>
          <w:color w:val="000000"/>
          <w:sz w:val="20"/>
          <w:lang w:val="en-US" w:eastAsia="en-US" w:bidi="ar-SA"/>
        </w:rPr>
        <w:t xml:space="preserve">, </w:t>
      </w:r>
      <w:hyperlink r:id="rId389" w:history="1">
        <w:r>
          <w:rPr>
            <w:rFonts w:ascii="arial" w:eastAsia="arial" w:hAnsi="arial" w:cs="arial"/>
            <w:i/>
            <w:color w:val="0077CC"/>
            <w:sz w:val="20"/>
            <w:u w:val="single"/>
            <w:shd w:val="clear" w:color="auto" w:fill="FFFFFF"/>
            <w:lang w:val="en-US" w:eastAsia="en-US" w:bidi="ar-SA"/>
          </w:rPr>
          <w:t>2001 BCSC 1473</w:t>
        </w:r>
      </w:hyperlink>
      <w:r>
        <w:rPr>
          <w:rFonts w:ascii="arial" w:eastAsia="arial" w:hAnsi="arial" w:cs="arial"/>
          <w:color w:val="000000"/>
          <w:sz w:val="20"/>
          <w:lang w:val="en-US" w:eastAsia="en-US" w:bidi="ar-SA"/>
        </w:rPr>
        <w:t>, at para. 6, the plaintiff points to the following:</w:t>
      </w:r>
      <w:r>
        <w:rPr>
          <w:rFonts w:ascii="arial" w:eastAsia="arial" w:hAnsi="arial" w:cs="arial"/>
          <w:sz w:val="20"/>
          <w:lang w:val="en-US" w:eastAsia="en-US" w:bidi="ar-SA"/>
        </w:rPr>
        <w:cr/>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matters in issue involved a novel mix of tort and aboriginal law;</w:t>
      </w:r>
    </w:p>
    <w:p>
      <w:pPr>
        <w:numPr>
          <w:numId w:val="9"/>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action was hard-fought throughout;</w:t>
      </w:r>
    </w:p>
    <w:p>
      <w:pPr>
        <w:numPr>
          <w:numId w:val="10"/>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were numerous pre-trial applications, including the aforementioned application concerning the pleadings that went to the Court of Appeal and then to the Supreme Court of Canada, and including a successful application by the plaintiff to strike the Province's defence that the plaintiff had failed to mitigate by not seeking an injunction against the Behn Defendants and FNFN;</w:t>
      </w:r>
    </w:p>
    <w:p>
      <w:pPr>
        <w:numPr>
          <w:numId w:val="11"/>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were 12 days of examination for discovery;</w:t>
      </w:r>
    </w:p>
    <w:p>
      <w:pPr>
        <w:numPr>
          <w:numId w:val="12"/>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prior to trial there were nine Notices to Admit and 15 sets of Interrogatories;</w:t>
      </w:r>
    </w:p>
    <w:p>
      <w:pPr>
        <w:numPr>
          <w:numId w:val="1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trial, as noted, took 21 days; 15 to 20 days usually indicates a matter is of more than ordinary complexity (</w:t>
      </w:r>
      <w:r>
        <w:rPr>
          <w:rFonts w:ascii="arial" w:eastAsia="arial" w:hAnsi="arial" w:cs="arial"/>
          <w:i/>
          <w:color w:val="000000"/>
          <w:sz w:val="20"/>
          <w:lang w:val="en-US" w:eastAsia="en-US" w:bidi="ar-SA"/>
        </w:rPr>
        <w:t>Slocan Forest Products Ltd. v. Trapper Enterprises Ltd.</w:t>
      </w:r>
      <w:r>
        <w:rPr>
          <w:rFonts w:ascii="arial" w:eastAsia="arial" w:hAnsi="arial" w:cs="arial"/>
          <w:color w:val="000000"/>
          <w:sz w:val="20"/>
          <w:lang w:val="en-US" w:eastAsia="en-US" w:bidi="ar-SA"/>
        </w:rPr>
        <w:t xml:space="preserve">, </w:t>
      </w:r>
      <w:hyperlink r:id="rId390" w:history="1">
        <w:r>
          <w:rPr>
            <w:rFonts w:ascii="arial" w:eastAsia="arial" w:hAnsi="arial" w:cs="arial"/>
            <w:i/>
            <w:color w:val="0077CC"/>
            <w:sz w:val="20"/>
            <w:u w:val="single"/>
            <w:shd w:val="clear" w:color="auto" w:fill="FFFFFF"/>
            <w:lang w:val="en-US" w:eastAsia="en-US" w:bidi="ar-SA"/>
          </w:rPr>
          <w:t>2010 BCSC 1494</w:t>
        </w:r>
      </w:hyperlink>
      <w:r>
        <w:rPr>
          <w:rFonts w:ascii="arial" w:eastAsia="arial" w:hAnsi="arial" w:cs="arial"/>
          <w:color w:val="000000"/>
          <w:sz w:val="20"/>
          <w:lang w:val="en-US" w:eastAsia="en-US" w:bidi="ar-SA"/>
        </w:rPr>
        <w:t xml:space="preserve"> at para. 9);</w:t>
      </w:r>
    </w:p>
    <w:p>
      <w:pPr>
        <w:numPr>
          <w:numId w:val="14"/>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were three expert reports on damages; and</w:t>
      </w:r>
    </w:p>
    <w:p>
      <w:pPr>
        <w:numPr>
          <w:numId w:val="1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was a no-evidence motion brought upon close of the plaintiff's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Behn Defendants, and FNFN and Chief Logan, join in the plaintiff's submissions as to the action's substantive and procedural complexity. They also point to the general importance of the action, for the public at large and for resource developers and aboriginal peoples, as it pertains to the Crown's obligation to consult and the terms implied in a Crown authorization.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Province does not contest that this was a matter of more than ordinary difficulty, but it contests an award of Scale C costs to the Behn Defendants on the bases that much of the trial was conducted for those parties by a relatively junior counsel, and that those defendants elected to call no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Those two factors, in my view, have nothing to do with the overall difficulty of the matter, which is the governing factor in Appendix B, s. 2(2). I cannot find that the Behn Defendants ought to be disentitled to costs to which they otherwise would have been entitled on the basis that they conducted the trial in an economical manner.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All costs awarded will be at Scale 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Double Costs to the Plaintiff against the Province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plaintiff seeks an order of double costs against the Province under R. 9-1(5)(b), in light of the plaintiff having delivered to the defendants, on May 26, 2009, a written offer to settle its claims for the sum of $1.5 million.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letter conveying that offer referenced another letter sent to the defendants earlier that same month, which had set out the plaintiff's calculation of its lost profits and incurred expenses in connection with the blockade of the TSLs, in the amount of approximately $1.57 million. That "Lost Profits Letter" stated explicitly that this calculation did not included additional losses arising out of the forced disposal of the plaintiff's equipment and other assets.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At the time the settlement offer was sent, examinations for discovery of the defendants had been completed, and the plaintiff's principal, Kevin Moulton, had been examined by the Province.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Province submits that at the time the settlement offer was made, it was reasonable for the Province to believe that the claims pleaded would not succeed; further, the Province notes that in fact the plaintiff did not succeed on the allegations that were being made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Province also notes that the finding that Moulton had been operating in contravention of the </w:t>
      </w:r>
      <w:r>
        <w:rPr>
          <w:rFonts w:ascii="arial" w:eastAsia="arial" w:hAnsi="arial" w:cs="arial"/>
          <w:i/>
          <w:color w:val="000000"/>
          <w:sz w:val="20"/>
          <w:lang w:val="en-US" w:eastAsia="en-US" w:bidi="ar-SA"/>
        </w:rPr>
        <w:t>Forest and Range Practices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2002, c. 69</w:t>
      </w:r>
      <w:r>
        <w:rPr>
          <w:rFonts w:ascii="arial" w:eastAsia="arial" w:hAnsi="arial" w:cs="arial"/>
          <w:color w:val="000000"/>
          <w:sz w:val="20"/>
          <w:lang w:val="en-US" w:eastAsia="en-US" w:bidi="ar-SA"/>
        </w:rPr>
        <w:t xml:space="preserve"> was a significant factor in the determination that the Behn Defendants were not liable in tort; the Province submits that as the plaintiff failed to establish liability on the part of the Behn Defendants due to its own unlawful conduct, rather than any action or inaction on the part of the Province, the plaintiff ought to be disentitled to double costs "for those aspects of the trial associated with the claims against the Behn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Of the factors enumerated in R. 9-1(6) which a court may consider in making an order for double costs, the two most significant in the present case are:</w:t>
      </w:r>
      <w:r>
        <w:rPr>
          <w:rFonts w:ascii="arial" w:eastAsia="arial" w:hAnsi="arial" w:cs="arial"/>
          <w:sz w:val="20"/>
          <w:lang w:val="en-US" w:eastAsia="en-US" w:bidi="ar-SA"/>
        </w:rPr>
        <w:cr/>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offer to settle was one that ought reasonably to have been accepted, either on the date that the offer to settle was delivered or served or on any later date;</w:t>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relationship between the terms of settlement offered and the final judgment of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At the time the offer was made, the statement of claim alleged that in reliance on an implied representation that the Province had consulted with FNFN in respect of the TSLs, the plaintiff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did not enter into any other contracts for the harvest of timber for the Fall of 2006 and the Winter of 2006/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By that point in time, the facts that a responsible official within B.C. Timber Sales had been warned by the defendant George Behn on July 31, 2006 that he would be "going out to stop" the logging, and that this warning had not been passed on to the plaintiff, would either have been known to the Province or would have been within its means of knowledge. Regardless of what particulars had been alleged in the statement of claim at that point in time as to the implied terms of the TSLs, prudent, thoughtful counsel, given these facts, would have appreciated the significant risk of the Province being found liable, in contract or in tort, for failing to pass that warning along. Examinations for discovery had concluded, and the Province ought to have had sufficient information to appreciate the magnitude of the damages that resulted from the foregone opportunity to undertake other contract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 do not accept the Province's argument that the plaintiff ought to be disentitled to double costs in relation to aspects of the trial relating to the Behn Defendants' liability. The plaintiff's "unlawful conduct" in respect to its use of the forestry access road did not cause the blockade and did not cause the Province to breach its obligation to make full disclosure to the plaintiff of what it knew regarding George Behn's intentions. In the end result, the plaintiff's failure to have secured the necessary permission from the road permit holder was a significant factor in my decision on the Behn Defendants' liability. That failure on the plaintiff's part deprived the plaintiff of the opportunity to recover from those defendants the full measure of the losses that flowed from its inability to access the TSLs, but I am not persuaded that it should also limit the plaintiff's ability to recover the appropriate degree of costs from the one party that was found at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Moreover, the Province concedes in its written submission that there was at least some overlap between the causes of action against the Behn Defendants and those against the Province. In my view, the overlap was significant. The evidence at trial as to the interactions amongst the parties before and during the blockade illustrated the complexity of conflicts over usage of lands subject to aboriginal claims and informed, to a considerable degree, my views as to the appropriate scope of the contractual terms that I found, by implication, to be part of the TSLs. I would be unable fairly to find, in any event, that there were substantial "aspects of the trial" associated only with the claims against the Behn Defendants.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Apportionment of the Plaintiff's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Alternatively, the Province submits that the plaintiff's costs against the Province should be limited to those costs associated with the claims against the Province and those issues on which the plaintiff succeeded against the Province. In particular, the Province submits that most of the evidence and argument between Moulton and the Province focused on the issues of the alleged implied promise of access to the timber cutblocks, and the adequacy of the Province's consultation.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Subrule 14-1(15)(b) allows for apportioning of costs on the following grounds:</w:t>
      </w:r>
      <w:r>
        <w:rPr>
          <w:rFonts w:ascii="arial" w:eastAsia="arial" w:hAnsi="arial" w:cs="arial"/>
          <w:sz w:val="20"/>
          <w:lang w:val="en-US" w:eastAsia="en-US" w:bidi="ar-SA"/>
        </w:rPr>
        <w:cr/>
      </w:r>
    </w:p>
    <w:p>
      <w:pPr>
        <w:numPr>
          <w:numId w:val="1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may award costs</w:t>
      </w:r>
    </w:p>
    <w:p>
      <w:pPr>
        <w:numPr>
          <w:numId w:val="1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of a proceeding,</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relate to some particular application, step or matter in or related to the proceeding, or</w:t>
      </w:r>
    </w:p>
    <w:p>
      <w:pPr>
        <w:numPr>
          <w:numId w:val="2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except so far as they relate to some particular application, step or matter in or related to the proceeding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in awarding those costs the court may fix the amount of costs, including the amount of disbursements.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Sutherland v. The Attorney General of Canada</w:t>
      </w:r>
      <w:r>
        <w:rPr>
          <w:rFonts w:ascii="arial" w:eastAsia="arial" w:hAnsi="arial" w:cs="arial"/>
          <w:color w:val="000000"/>
          <w:sz w:val="20"/>
          <w:lang w:val="en-US" w:eastAsia="en-US" w:bidi="ar-SA"/>
        </w:rPr>
        <w:t xml:space="preserve">, </w:t>
      </w:r>
      <w:hyperlink r:id="rId391" w:history="1">
        <w:r>
          <w:rPr>
            <w:rFonts w:ascii="arial" w:eastAsia="arial" w:hAnsi="arial" w:cs="arial"/>
            <w:i/>
            <w:color w:val="0077CC"/>
            <w:sz w:val="20"/>
            <w:u w:val="single"/>
            <w:shd w:val="clear" w:color="auto" w:fill="FFFFFF"/>
            <w:lang w:val="en-US" w:eastAsia="en-US" w:bidi="ar-SA"/>
          </w:rPr>
          <w:t>2008 BCCA 27</w:t>
        </w:r>
      </w:hyperlink>
      <w:r>
        <w:rPr>
          <w:rFonts w:ascii="arial" w:eastAsia="arial" w:hAnsi="arial" w:cs="arial"/>
          <w:color w:val="000000"/>
          <w:sz w:val="20"/>
          <w:lang w:val="en-US" w:eastAsia="en-US" w:bidi="ar-SA"/>
        </w:rPr>
        <w:t>, the Court of Appeal considered the grounds upon which costs could be apportioned under the predecessor Rule 57(8), which provided: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57(8) The Court may award costs which relate to some particular issue or part of the proceeding or may award costs except so far as they relate to some particular issue or part of the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Chief Justice Finch, in a unanimous judgment,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[30] </w:t>
      </w:r>
      <w:r>
        <w:rPr>
          <w:rFonts w:ascii="arial" w:eastAsia="arial" w:hAnsi="arial" w:cs="arial"/>
          <w:i/>
          <w:color w:val="000000"/>
          <w:sz w:val="20"/>
          <w:lang w:val="en-US" w:eastAsia="en-US" w:bidi="ar-SA"/>
        </w:rPr>
        <w:t>British Columbia v. Worthington (Canada) Inc.</w:t>
      </w:r>
      <w:r>
        <w:rPr>
          <w:rFonts w:ascii="arial" w:eastAsia="arial" w:hAnsi="arial" w:cs="arial"/>
          <w:color w:val="000000"/>
          <w:sz w:val="20"/>
          <w:lang w:val="en-US" w:eastAsia="en-US" w:bidi="ar-SA"/>
        </w:rPr>
        <w:t xml:space="preserve"> is the leading case with respect to the application of Rule 57(15). It affirms that under Rule 57(15) the Court has full power to determine by whom the costs related to a particular issue are to be paid. As Esson J.A. states in </w:t>
      </w:r>
      <w:r>
        <w:rPr>
          <w:rFonts w:ascii="arial" w:eastAsia="arial" w:hAnsi="arial" w:cs="arial"/>
          <w:i/>
          <w:color w:val="000000"/>
          <w:sz w:val="20"/>
          <w:lang w:val="en-US" w:eastAsia="en-US" w:bidi="ar-SA"/>
        </w:rPr>
        <w:t>Worthington</w:t>
      </w:r>
      <w:r>
        <w:rPr>
          <w:rFonts w:ascii="arial" w:eastAsia="arial" w:hAnsi="arial" w:cs="arial"/>
          <w:color w:val="000000"/>
          <w:sz w:val="20"/>
          <w:lang w:val="en-US" w:eastAsia="en-US" w:bidi="ar-SA"/>
        </w:rPr>
        <w:t>, the discretion of trial judges under Rule 57(15) is very broad, and must be exercised judicially, not arbitrarily or capriciously. There must be circumstances connected with the case which render it manifestly fair and just to apportion costs.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[31] The test for the apportionment of costs under Rule 57(15) can be set out as follows:</w:t>
      </w:r>
    </w:p>
    <w:p>
      <w:pPr>
        <w:numPr>
          <w:numId w:val="2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party seeking apportionment must establish that there are separate and discrete issues upon which the ultimately unsuccessful party succeeded at trial;</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must be a basis on which the trial judge can identify the time attributable to the trial of these separate issues;</w:t>
      </w:r>
    </w:p>
    <w:p>
      <w:pPr>
        <w:numPr>
          <w:numId w:val="2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must be shown that apportionment would effect a just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I regard the word "matter" as used in the present subrule as having at least as broad a meaning as the word "issue" used in its predecessor, and I therefore hold </w:t>
      </w:r>
      <w:r>
        <w:rPr>
          <w:rFonts w:ascii="arial" w:eastAsia="arial" w:hAnsi="arial" w:cs="arial"/>
          <w:i/>
          <w:color w:val="000000"/>
          <w:sz w:val="20"/>
          <w:lang w:val="en-US" w:eastAsia="en-US" w:bidi="ar-SA"/>
        </w:rPr>
        <w:t>Sutherland</w:t>
      </w:r>
      <w:r>
        <w:rPr>
          <w:rFonts w:ascii="arial" w:eastAsia="arial" w:hAnsi="arial" w:cs="arial"/>
          <w:color w:val="000000"/>
          <w:sz w:val="20"/>
          <w:lang w:val="en-US" w:eastAsia="en-US" w:bidi="ar-SA"/>
        </w:rPr>
        <w:t xml:space="preserve"> to be binding authority in relation to application of the present subrule.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For the reasons stated above in respect of the claim for double costs, I am, with one limited exception, unable to apportion costs with respect to the issue of consultation or with respect to the claims against the defendants which the plaintiffs did not succeed in advancing, due to the degree of overlap with the issues on which the plaintiff did succeed; they were not "separate and discrete issues". The issues of the "access promise" and the interpretation of the TSL Blockade Exemption clause consumed little of the parties'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More to the point, no party contended that the losses alleged by the plaintiff were due to any fault on the plaintiff's part. The theories of liability advanced by the plaintiff were all arguable, and at least some of the issues on which the plaintiff did not succeed turned on legal arguments that were fairly advanced and whose outcome was far from certain.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One of the grounds on which I found the Province not liable to the plaintiff for the losses flowing from the blockade was the insufficiency of the evidence of but-for causation between the Province's inadequate consultation with FNFN, and George Behn's decision to block access. That result was quite possibly a product of tactical decisions made by the parties at trial, including the decision of the Behn Defendants not to testify. However, prior to trial, it would have been a fair assessment of the evidence to conclude that the plaintiff had found itself in the position of having to sue all parties as a result of serious shortcomings in the Province's consultations with FNFN and equally serious flaws in the process of issuing the TSLs. The plaintiff cannot be faulted for casting a wide net in attempting to recover its losses. In this respect it would not be just to apportion costs so as to force the plaintiff to bear its own costs of its pursuit of the Behn Defendants and FNFN.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one limited exception which may be fairly made is in respect of the plaintiff's costs in regards to the quantification of its unsuccessful claim for damages arising out of its inability to harvest on the TSL cutblocks. That is a discrete issue and the time attributable to it can be ascertained. From my review of my bench notes, I estimate that the evidence and argument concerning this damages issue consumed three days of trial time. I order that the plaintiff will bear its own costs for three days of trial and the corresponding trial preparation time, and will bear the cost of disbursements for its expert witnesses on damages issues related to the potential revenues and costs of the TSL harvest. (For greater clarity, the plaintiff will be entitled to recover the cost of disbursements for witnesses whose testimony was limited to the content of the plaintiff's financial statements, as that evidence did relate to the quantification of the damages assessed against the Province.)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Disentitlement of the Behn Defendants to their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Both the plaintiff and the Province say that the Behn Defendants ought to be disentitled to costs on the grounds that their opposition to the TSLs ought to have been expressed through seeking judicial review, and that to award them costs of defending a tort action arising ought of the blockade would be to condone their having exercised a self-help remedy in preference to pursuing their rights in the courts, to the plaintiff's detriment. They rely upon the judgment of the Supreme Court of Canada that denied the Behn Defendants' appeal of the striking of their defences based on aboriginal and treaty rights, in which LeBel J., delivering the judgment of the Court,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[37] The key issue in this appeal is whether the Behns' acts constitute an abuse of process. In my opinion, in the circumstances of this case, raising a breach of the duty to consult and of treaty rights as a defence was an abuse of process. If the Behns were of the view that they had standing, themselves or through the FNFN, they should have raised the issue at the appropriate time. Neither the Behns nor the FNFN had made any attempt to legally challenge the Authorizations when the British Columbia government granted them. It is common ground that the Behns did not apply for judicial review, ask for an injunction or seek any other form of judicial relief against the province or against Moulton. Nor did the FNFN make any such move.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[38] Had the Behns acted when the Authorizations were granted, clause 9.00 of the timber sale agreements provided that the Timber Sales Manager had the power to suspend the Authorizations until the legal issues were resolved: trial judgment, at para. 16. Moulton would not then have been led to believe that it was free to plan and start its logging operations. Moreover, legal issues like standing could have been addressed at the proper time and in the appropriate context.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[42] In my opinion, the Behns' acts amount to an abuse of process. The Behns clearly objected to the validity of the Authorizations on the grounds that the Authorizations infringed their treaty rights and that the Crown had breached its duty to consult. On the face of the record, whereas they now claim to have standing to raise these issues, the Behns did not seek to resolve the issue of standing, nor did they contest the validity of the Authorizations by legal means when they were issued. They did not raise their concerns with Moulton after the Authorizations were issued. Instead, without any warning, they set up a camp that blocked access to the logging sites assigned to Moulton. </w:t>
      </w:r>
      <w:r>
        <w:rPr>
          <w:rFonts w:ascii="arial" w:eastAsia="arial" w:hAnsi="arial" w:cs="arial"/>
          <w:color w:val="000000"/>
          <w:sz w:val="20"/>
          <w:u w:val="single"/>
          <w:lang w:val="en-US" w:eastAsia="en-US" w:bidi="ar-SA"/>
        </w:rPr>
        <w:t>By doing so, the Behns put Moulton in the position of having either to go to court or to forgo harvesting timber pursuant to the Authorizations it had received after having incurred substantial costs to start its operations. To allow the Behns to raise their defence based on treaty rights and on a breach of the duty to consult at this point would be tantamount to condoning self-help remedies and would bring the administration of justice into disrepute.</w:t>
      </w:r>
      <w:r>
        <w:rPr>
          <w:rFonts w:ascii="arial" w:eastAsia="arial" w:hAnsi="arial" w:cs="arial"/>
          <w:color w:val="000000"/>
          <w:sz w:val="20"/>
          <w:lang w:val="en-US" w:eastAsia="en-US" w:bidi="ar-SA"/>
        </w:rPr>
        <w:t xml:space="preserve"> It would also amount to a repudiation of the duty of mutual good faith that animates the discharge of the Crown's constitutional duty to consult First Nations. The doctrine of abuse of process applies, and the appellants cannot raise a breach of their treaty rights and of the duty to consult as a defence.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Behn Defendants' position, in its essence, is that it would be anomalous to deprive them of their costs on the grounds of activity that was not held at trial to have been unlawful.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While the Behns did succeed at trial, they avoided liability only on the narrowest of grounds, and only on the theories of tort liability that were pleaded and argued. My reasons should not be read as a justification for the conduct of those Behn Defendants whom I found to have participated in the blockade. In exercising self-help, those defendants undertook a course of action that, as I found, was intended to cause the plaintiff harm. They must be taken to have known of the substantial likelihood that litigation would ensue. In these circumstances, I am driven to conclude that it would bring the administration of justice into disrepute to award costs to the Behn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Four of the Behn Defendants were found not to have participated in the blockade. There is no evidence before me that they incurred any legal expenses beyond those of their family members who did participate. They did not seek separate representation. There is no evidence that they are being or will be called upon to share the family's common legal expenses. I therefore make no allowance for any award of their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Behn Defendants collectively will bear their own costs of this proceeding. It is to be hoped that this will serve as a disincentive to others who might consider attempting to resolve land use disputes through extra-legal means such as blockades.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Disentitlement of FNFN and Chief Logan to their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plaintiff submits that FNFN and Chief Logan ought to be deprived of their costs entirely, on the basis of deficiencies in those parties' document production.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same submission is made by the Province.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addition, the Province submits that FNFN made the trial more complicated than necessary by adducing evidence on the adequacy of consultation. I do not find that FNFN's presentation of its case was inappropriate, given the scope of the allegations.)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Over almost four years of pre-trial discovery, FNFN and Chief Logan repeatedly sought to frustrate the plaintiff's attempts to get at the truth of what transpired at a Band Council meeting held on October 2, 2006, immediately before the blockade was instituted. At paragraph 244 of my Reasons for Judgment, I began my summary of my reasons for doubting the evidence of Chief Logan on that subject with the following comment: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[244] First, it became apparent from the cross-examination of Chief Logan that both she and FNFN had been less than forthright through the course of pre-trial discovery in disclosing the circumstances surrounding the October 2 meeting, and the minutes of that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 then recounted numerous examples, some of which resulted in relevant documents not being disclosed until the trial was underway. I concluded: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[256] I find the foregoing circumstances to present a pattern of evasion, approaching deception, on the part of FNFN. In accordance with its obligations under the Rules of Court, full disclosure of all relevant producible minutes ought to have been made in a timely manner, in FNFN's initial document production. Instead, FNFN sought to avoid disclosure over the course of years, first through failing to disclose the existence of the minutes in any form, then through an untruthful assertion that the minutes were only in draft, and then through an improper and unsustainable claim of privilege.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Counsel for FNFN and Chief Logan takes issue with one aspect of my reasons, specifically my statement that I found their clients' failure to have produced the minutes of the October 10, 2006 incomprehensible. Counsel now submits that the reason for the late disclosure was that one relevant sentence in that document regarding FNFN's support for the blockade was "overlooked". That explanation was not given at trial; what the court was told was that the document had been held not to be relevant when a review of documents was undertaken in 2007, and that counsel "took a further look" due to concerns raised by opposing counsel during trial. That excuse does not address the fact that other content of those minutes clearly dictated their disclosure, given FNFN's position as to the reliability of the minutes as a whole.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Be that as it may, the late disclosure of the October 10th minutes was only a minor part of my concerns regarding the conduct of these parties. It is simply not possible to conclude on the evidence that the problems I enumerated in the reasons for judgment were purely due to inadvertence on the part of counsel. Chief Logan herself swore affidavits in support of FNFN's positions on document disclosure, and gave evidence on discovery as to the Council meetings and the minutes of those meetings that was not found believable.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FNFN and Chief Logan ask that this court distinguish the authorities relied upon by the plaintiff on this issue, on the basis that those cases involved far more limited issues, shorter trials, and more limited damages awards, such that the consequences of withholding a costs award were much less significant than in the present case. They submit: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None of the authorities cited consider conduct within the context of litigation spanning six years of pleadings amendments, pre-trial procedures, interlocutory motions, case planning conferences, four weeks of trial, final argument and supplementary written submissions. The legal issues were complex and precedent-setting. With respect to shorter, less complicated trials, the consequences of a cost dismissal are far less punitive as costs incurred are necessarily far less.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This argument is, however, a two-edged sword. If anything, the importance of the present action obliged the parties to act with correspondingly greater care in ensuring that their discovery obligations were met. Complex multi-party litigation cannot be seen as providing an opportunity for gamesmanship with document disclosure.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conduct at issue clearly warrants some sanction. FNFN's delay in providing full disclosure inconvenienced the opposing parties and unduly prolonged the discovery process. However, given my ultimate conclusions, earlier, proper disclosure could have had no impact on the final determination of the aboriginal defendants' tort liability, and the possibility of a different result having been reached even with respect to the alternative findings made seems no more than theoretical. In this regard, I note that once the October 10th minutes were disclosed, none of the opposing parties sought to have Chief Logan recalled to continue her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As a sanction for the conduct of FNFN and Chief Logan in respect of their discovery obligations, their costs for trial preparation and trial will be reduced by one-third.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"Sanderson Order" respecting the Costs of FNFN and Chief Logan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plaintiff seeks an order under R. 14-1(18) requiring the Province, as the unsuccessful defendant, to pay the costs of FNFN and Chief Logan. (The plaintiff and the Behn Defendants made the same submission in respect of the costs of the Behn Defendants, but as I have ruled that those defendants are disentitled to costs, I deal with the costs of FNFN and Chief Logan only.) The plaintiff is supported in this position by FNFN and Chief Logan.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Subrule 14-1(18) provides as follows:</w:t>
      </w:r>
      <w:r>
        <w:rPr>
          <w:rFonts w:ascii="arial" w:eastAsia="arial" w:hAnsi="arial" w:cs="arial"/>
          <w:sz w:val="20"/>
          <w:lang w:val="en-US" w:eastAsia="en-US" w:bidi="ar-SA"/>
        </w:rPr>
        <w:cr/>
      </w:r>
    </w:p>
    <w:p>
      <w:pPr>
        <w:numPr>
          <w:numId w:val="2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costs of one defendant against a plaintiff ought to be paid by another defendant, the court may order payment to be made by one defendant to the other directly, or may order the plaintiff to pay the costs of the successful defendant and allow the plaintiff to include those costs as a disbursement in the costs payable to the plaintiff by the unsuccessful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rule is substantially the same as its predecessor, Rule 57(18).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The effect of the subrule generally is described in the following passages from Fraser, Horn &amp; Griffin, </w:t>
      </w:r>
      <w:r>
        <w:rPr>
          <w:rFonts w:ascii="arial" w:eastAsia="arial" w:hAnsi="arial" w:cs="arial"/>
          <w:i/>
          <w:color w:val="000000"/>
          <w:sz w:val="20"/>
          <w:lang w:val="en-US" w:eastAsia="en-US" w:bidi="ar-SA"/>
        </w:rPr>
        <w:t>The Conduct of Civil Litigation in British Columbia</w:t>
      </w:r>
      <w:r>
        <w:rPr>
          <w:rFonts w:ascii="arial" w:eastAsia="arial" w:hAnsi="arial" w:cs="arial"/>
          <w:color w:val="000000"/>
          <w:sz w:val="20"/>
          <w:lang w:val="en-US" w:eastAsia="en-US" w:bidi="ar-SA"/>
        </w:rPr>
        <w:t xml:space="preserve">, 2nd ed. looseleaf (Markham: LexisNexis, 2007), quoted with approval in </w:t>
      </w:r>
      <w:r>
        <w:rPr>
          <w:rFonts w:ascii="arial" w:eastAsia="arial" w:hAnsi="arial" w:cs="arial"/>
          <w:i/>
          <w:color w:val="000000"/>
          <w:sz w:val="20"/>
          <w:lang w:val="en-US" w:eastAsia="en-US" w:bidi="ar-SA"/>
        </w:rPr>
        <w:t>Davidson v. Tahtsa Timber Ltd.</w:t>
      </w:r>
      <w:r>
        <w:rPr>
          <w:rFonts w:ascii="arial" w:eastAsia="arial" w:hAnsi="arial" w:cs="arial"/>
          <w:color w:val="000000"/>
          <w:sz w:val="20"/>
          <w:lang w:val="en-US" w:eastAsia="en-US" w:bidi="ar-SA"/>
        </w:rPr>
        <w:t xml:space="preserve">, </w:t>
      </w:r>
      <w:hyperlink r:id="rId392" w:history="1">
        <w:r>
          <w:rPr>
            <w:rFonts w:ascii="arial" w:eastAsia="arial" w:hAnsi="arial" w:cs="arial"/>
            <w:i/>
            <w:color w:val="0077CC"/>
            <w:sz w:val="20"/>
            <w:u w:val="single"/>
            <w:shd w:val="clear" w:color="auto" w:fill="FFFFFF"/>
            <w:lang w:val="en-US" w:eastAsia="en-US" w:bidi="ar-SA"/>
          </w:rPr>
          <w:t>2010 BCCA 528</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Rule 14-1(18) [formerly Rule 57(18)] provides that the court may order that a successful plaintiff pay the costs of a successful defendant and recover such costs as a disbursement against an unsuccessful defendant. Such order is commonly known as a </w:t>
      </w:r>
      <w:r>
        <w:rPr>
          <w:rFonts w:ascii="arial" w:eastAsia="arial" w:hAnsi="arial" w:cs="arial"/>
          <w:i/>
          <w:color w:val="000000"/>
          <w:sz w:val="20"/>
          <w:lang w:val="en-US" w:eastAsia="en-US" w:bidi="ar-SA"/>
        </w:rPr>
        <w:t>Bullock</w:t>
      </w:r>
      <w:r>
        <w:rPr>
          <w:rFonts w:ascii="arial" w:eastAsia="arial" w:hAnsi="arial" w:cs="arial"/>
          <w:color w:val="000000"/>
          <w:sz w:val="20"/>
          <w:lang w:val="en-US" w:eastAsia="en-US" w:bidi="ar-SA"/>
        </w:rPr>
        <w:t xml:space="preserve"> order. The Rule also provides that the court may, as an alternative, order that the unsuccessful defendant pay the costs of the successful defendant directly. Such order is commonly known as a </w:t>
      </w:r>
      <w:r>
        <w:rPr>
          <w:rFonts w:ascii="arial" w:eastAsia="arial" w:hAnsi="arial" w:cs="arial"/>
          <w:i/>
          <w:color w:val="000000"/>
          <w:sz w:val="20"/>
          <w:lang w:val="en-US" w:eastAsia="en-US" w:bidi="ar-SA"/>
        </w:rPr>
        <w:t>Sanderson</w:t>
      </w:r>
      <w:r>
        <w:rPr>
          <w:rFonts w:ascii="arial" w:eastAsia="arial" w:hAnsi="arial" w:cs="arial"/>
          <w:color w:val="000000"/>
          <w:sz w:val="20"/>
          <w:lang w:val="en-US" w:eastAsia="en-US" w:bidi="ar-SA"/>
        </w:rPr>
        <w:t xml:space="preserve"> order. A court may make such order where there is more than one defendant in an action and also where actions have been consolidated for trial or ordered to be tried at the same time.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Where all parties are solvent, it does not matter much which form of order is made. The advantage of a </w:t>
      </w:r>
      <w:r>
        <w:rPr>
          <w:rFonts w:ascii="arial" w:eastAsia="arial" w:hAnsi="arial" w:cs="arial"/>
          <w:i/>
          <w:color w:val="000000"/>
          <w:sz w:val="20"/>
          <w:lang w:val="en-US" w:eastAsia="en-US" w:bidi="ar-SA"/>
        </w:rPr>
        <w:t>Sanderson</w:t>
      </w:r>
      <w:r>
        <w:rPr>
          <w:rFonts w:ascii="arial" w:eastAsia="arial" w:hAnsi="arial" w:cs="arial"/>
          <w:color w:val="000000"/>
          <w:sz w:val="20"/>
          <w:lang w:val="en-US" w:eastAsia="en-US" w:bidi="ar-SA"/>
        </w:rPr>
        <w:t xml:space="preserve"> order in such a case is confined to avoiding circuitousness.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the unsuccessful defendant is insolvent, then the </w:t>
      </w:r>
      <w:r>
        <w:rPr>
          <w:rFonts w:ascii="arial" w:eastAsia="arial" w:hAnsi="arial" w:cs="arial"/>
          <w:i/>
          <w:color w:val="000000"/>
          <w:sz w:val="20"/>
          <w:lang w:val="en-US" w:eastAsia="en-US" w:bidi="ar-SA"/>
        </w:rPr>
        <w:t>Bullock</w:t>
      </w:r>
      <w:r>
        <w:rPr>
          <w:rFonts w:ascii="arial" w:eastAsia="arial" w:hAnsi="arial" w:cs="arial"/>
          <w:color w:val="000000"/>
          <w:sz w:val="20"/>
          <w:lang w:val="en-US" w:eastAsia="en-US" w:bidi="ar-SA"/>
        </w:rPr>
        <w:t xml:space="preserve"> form of order imposes a hardship upon the plaintiff who may recover nothing from the unsuccessful defendant and yet has to pay the successful defendant. A </w:t>
      </w:r>
      <w:r>
        <w:rPr>
          <w:rFonts w:ascii="arial" w:eastAsia="arial" w:hAnsi="arial" w:cs="arial"/>
          <w:i/>
          <w:color w:val="000000"/>
          <w:sz w:val="20"/>
          <w:lang w:val="en-US" w:eastAsia="en-US" w:bidi="ar-SA"/>
        </w:rPr>
        <w:t>Sanderson</w:t>
      </w:r>
      <w:r>
        <w:rPr>
          <w:rFonts w:ascii="arial" w:eastAsia="arial" w:hAnsi="arial" w:cs="arial"/>
          <w:color w:val="000000"/>
          <w:sz w:val="20"/>
          <w:lang w:val="en-US" w:eastAsia="en-US" w:bidi="ar-SA"/>
        </w:rPr>
        <w:t xml:space="preserve"> form of order, on the other hand, imposes the hardship upon the successful defendant. Where the successful defendant is blameless, the courts have generally refused to make a </w:t>
      </w:r>
      <w:r>
        <w:rPr>
          <w:rFonts w:ascii="arial" w:eastAsia="arial" w:hAnsi="arial" w:cs="arial"/>
          <w:i/>
          <w:color w:val="000000"/>
          <w:sz w:val="20"/>
          <w:lang w:val="en-US" w:eastAsia="en-US" w:bidi="ar-SA"/>
        </w:rPr>
        <w:t>Sanderson</w:t>
      </w:r>
      <w:r>
        <w:rPr>
          <w:rFonts w:ascii="arial" w:eastAsia="arial" w:hAnsi="arial" w:cs="arial"/>
          <w:color w:val="000000"/>
          <w:sz w:val="20"/>
          <w:lang w:val="en-US" w:eastAsia="en-US" w:bidi="ar-SA"/>
        </w:rPr>
        <w:t xml:space="preserve"> order.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[Footnotes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The plaintiff applies for a Sanderson order in respect of FNFN and Chief Logan's costs on the basis of the Province having taken the position in its pleadings and its final submissions that the co-defendants were to blame for the plaintiff's losses. In its written submissions on costs the plaintiff relied upon the decision of the Court of Appeal in </w:t>
      </w:r>
      <w:r>
        <w:rPr>
          <w:rFonts w:ascii="arial" w:eastAsia="arial" w:hAnsi="arial" w:cs="arial"/>
          <w:i/>
          <w:color w:val="000000"/>
          <w:sz w:val="20"/>
          <w:lang w:val="en-US" w:eastAsia="en-US" w:bidi="ar-SA"/>
        </w:rPr>
        <w:t>Grassi v. WIC Radio Ltd.,</w:t>
      </w:r>
      <w:r>
        <w:rPr>
          <w:rFonts w:ascii="arial" w:eastAsia="arial" w:hAnsi="arial" w:cs="arial"/>
          <w:color w:val="000000"/>
          <w:sz w:val="20"/>
          <w:lang w:val="en-US" w:eastAsia="en-US" w:bidi="ar-SA"/>
        </w:rPr>
        <w:t xml:space="preserve"> </w:t>
      </w:r>
      <w:hyperlink r:id="rId393" w:history="1">
        <w:r>
          <w:rPr>
            <w:rFonts w:ascii="arial" w:eastAsia="arial" w:hAnsi="arial" w:cs="arial"/>
            <w:i/>
            <w:color w:val="0077CC"/>
            <w:sz w:val="20"/>
            <w:u w:val="single"/>
            <w:shd w:val="clear" w:color="auto" w:fill="FFFFFF"/>
            <w:lang w:val="en-US" w:eastAsia="en-US" w:bidi="ar-SA"/>
          </w:rPr>
          <w:t>2001 BCCA 376</w:t>
        </w:r>
      </w:hyperlink>
      <w:r>
        <w:rPr>
          <w:rFonts w:ascii="arial" w:eastAsia="arial" w:hAnsi="arial" w:cs="arial"/>
          <w:color w:val="000000"/>
          <w:sz w:val="20"/>
          <w:lang w:val="en-US" w:eastAsia="en-US" w:bidi="ar-SA"/>
        </w:rPr>
        <w:t>. A similar position was taken on behalf of FNFN.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Province, in its response submission, argued that it would be inappropriate to require the Province to pay the costs of FNFN as the basis of the Province's liability was independent of the causes of actions asserted against the Behn Defendants and FNFN.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In reply, the plaintiff submits that it was reasonable in the circumstances to have joined the other defendants "in order that the matter might be thoroughly threshed out", citing the test from </w:t>
      </w:r>
      <w:r>
        <w:rPr>
          <w:rFonts w:ascii="arial" w:eastAsia="arial" w:hAnsi="arial" w:cs="arial"/>
          <w:i/>
          <w:color w:val="000000"/>
          <w:sz w:val="20"/>
          <w:lang w:val="en-US" w:eastAsia="en-US" w:bidi="ar-SA"/>
        </w:rPr>
        <w:t>Robertson v. North Island College Technical and Vocational Institute</w:t>
      </w:r>
      <w:r>
        <w:rPr>
          <w:rFonts w:ascii="arial" w:eastAsia="arial" w:hAnsi="arial" w:cs="arial"/>
          <w:color w:val="000000"/>
          <w:sz w:val="20"/>
          <w:lang w:val="en-US" w:eastAsia="en-US" w:bidi="ar-SA"/>
        </w:rPr>
        <w:t xml:space="preserve"> </w:t>
      </w:r>
      <w:hyperlink r:id="rId394" w:history="1">
        <w:r>
          <w:rPr>
            <w:rFonts w:ascii="arial" w:eastAsia="arial" w:hAnsi="arial" w:cs="arial"/>
            <w:i/>
            <w:color w:val="0077CC"/>
            <w:sz w:val="20"/>
            <w:u w:val="single"/>
            <w:shd w:val="clear" w:color="auto" w:fill="FFFFFF"/>
            <w:lang w:val="en-US" w:eastAsia="en-US" w:bidi="ar-SA"/>
          </w:rPr>
          <w:t>(1980), 119 D.L.R. (3d) 17</w:t>
        </w:r>
      </w:hyperlink>
      <w:r>
        <w:rPr>
          <w:rFonts w:ascii="arial" w:eastAsia="arial" w:hAnsi="arial" w:cs="arial"/>
          <w:color w:val="000000"/>
          <w:sz w:val="20"/>
          <w:lang w:val="en-US" w:eastAsia="en-US" w:bidi="ar-SA"/>
        </w:rPr>
        <w:t xml:space="preserve"> at 23; </w:t>
      </w:r>
      <w:hyperlink r:id="rId394" w:history="1">
        <w:r>
          <w:rPr>
            <w:rFonts w:ascii="arial" w:eastAsia="arial" w:hAnsi="arial" w:cs="arial"/>
            <w:i/>
            <w:color w:val="0077CC"/>
            <w:sz w:val="20"/>
            <w:u w:val="single"/>
            <w:shd w:val="clear" w:color="auto" w:fill="FFFFFF"/>
            <w:lang w:val="en-US" w:eastAsia="en-US" w:bidi="ar-SA"/>
          </w:rPr>
          <w:t>26 B.C.L.R. 225</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Determining the applicability of R. 14-1(18) requires consideration of appellate authorities that -- with the greatest respect -- are not easily reconciled.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Robertson</w:t>
      </w:r>
      <w:r>
        <w:rPr>
          <w:rFonts w:ascii="arial" w:eastAsia="arial" w:hAnsi="arial" w:cs="arial"/>
          <w:color w:val="000000"/>
          <w:sz w:val="20"/>
          <w:lang w:val="en-US" w:eastAsia="en-US" w:bidi="ar-SA"/>
        </w:rPr>
        <w:t xml:space="preserve">, the Court of Appeal held that the making of a </w:t>
      </w:r>
      <w:r>
        <w:rPr>
          <w:rFonts w:ascii="arial" w:eastAsia="arial" w:hAnsi="arial" w:cs="arial"/>
          <w:i/>
          <w:color w:val="000000"/>
          <w:sz w:val="20"/>
          <w:lang w:val="en-US" w:eastAsia="en-US" w:bidi="ar-SA"/>
        </w:rPr>
        <w:t>Bullock</w:t>
      </w:r>
      <w:r>
        <w:rPr>
          <w:rFonts w:ascii="arial" w:eastAsia="arial" w:hAnsi="arial" w:cs="arial"/>
          <w:color w:val="000000"/>
          <w:sz w:val="20"/>
          <w:lang w:val="en-US" w:eastAsia="en-US" w:bidi="ar-SA"/>
        </w:rPr>
        <w:t xml:space="preserve"> order requires the court to satisfy itself of one -- and only one -- threshold issue, that being the question of whether it was reasonable for the plaintiff to have joined the successful defendant; beyond that, such orders were to be entirely within the discretion of the trial judge. Justice Lambert, with whom Justice Anderson agreed with respect to this issue,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There is a threshold question. It is expressed by Vaughan Williams L.J. in </w:t>
      </w:r>
      <w:r>
        <w:rPr>
          <w:rFonts w:ascii="arial" w:eastAsia="arial" w:hAnsi="arial" w:cs="arial"/>
          <w:i/>
          <w:color w:val="000000"/>
          <w:sz w:val="20"/>
          <w:lang w:val="en-US" w:eastAsia="en-US" w:bidi="ar-SA"/>
        </w:rPr>
        <w:t>Besterman v. British Motor Cab Co., Ltd.,</w:t>
      </w:r>
      <w:r>
        <w:rPr>
          <w:rFonts w:ascii="arial" w:eastAsia="arial" w:hAnsi="arial" w:cs="arial"/>
          <w:color w:val="000000"/>
          <w:sz w:val="20"/>
          <w:lang w:val="en-US" w:eastAsia="en-US" w:bidi="ar-SA"/>
        </w:rPr>
        <w:t xml:space="preserve"> [1914] 3 K.B. 181 at p. 186, a decision of the English Court of Appeal, in this way: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Under these circumstances, was it a reasonable thing for the plaintiff in his action against a man who ultimately turns out to be in fact the wrong-doer to join the other defendant </w:t>
      </w:r>
      <w:r>
        <w:rPr>
          <w:rFonts w:ascii="arial" w:eastAsia="arial" w:hAnsi="arial" w:cs="arial"/>
          <w:color w:val="000000"/>
          <w:sz w:val="20"/>
          <w:u w:val="single"/>
          <w:lang w:val="en-US" w:eastAsia="en-US" w:bidi="ar-SA"/>
        </w:rPr>
        <w:t>in order that the matter might be thoroughly threshed out</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statement of the threshold question has been widely followed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my opinion the test enunciated by Lord Goddard, in delivering the judgment of the English Court of Appeal, in </w:t>
      </w:r>
      <w:r>
        <w:rPr>
          <w:rFonts w:ascii="arial" w:eastAsia="arial" w:hAnsi="arial" w:cs="arial"/>
          <w:i/>
          <w:color w:val="000000"/>
          <w:sz w:val="20"/>
          <w:lang w:val="en-US" w:eastAsia="en-US" w:bidi="ar-SA"/>
        </w:rPr>
        <w:t>Mulready v. J. H. &amp; W. Bell, Ltd. et al.,</w:t>
      </w:r>
      <w:r>
        <w:rPr>
          <w:rFonts w:ascii="arial" w:eastAsia="arial" w:hAnsi="arial" w:cs="arial"/>
          <w:color w:val="000000"/>
          <w:sz w:val="20"/>
          <w:lang w:val="en-US" w:eastAsia="en-US" w:bidi="ar-SA"/>
        </w:rPr>
        <w:t xml:space="preserve"> [1953] 2 All E.R. 215, is merely a statement in negative form of the threshold question enunciated by Vaughan Williams L.J. Lord Goddard's statement, at p. 219 [as summarized in the headnote], is in these words: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"Bullock" order, requiring a defendant against whom judgment in an action has been obtained to pay the costs of a second defendant (against whom the action has been dismissed) direct to that defendant, is not an appropriate order </w:t>
      </w:r>
      <w:r>
        <w:rPr>
          <w:rFonts w:ascii="arial" w:eastAsia="arial" w:hAnsi="arial" w:cs="arial"/>
          <w:color w:val="000000"/>
          <w:sz w:val="20"/>
          <w:u w:val="single"/>
          <w:lang w:val="en-US" w:eastAsia="en-US" w:bidi="ar-SA"/>
        </w:rPr>
        <w:t>where the plaintiff has alleged independent causes of action against the two defendants and the two breaches of duty alleged are in no way connected</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Once the threshold question is answered affirmatively then the discretion of the trial Judge arises. Of course, he may exercise it either way. It is a true discretion. Whether he grants a Bullock order, or not, must depend on his assessment of the circumstances of the case. </w:t>
      </w:r>
      <w:r>
        <w:rPr>
          <w:rFonts w:ascii="arial" w:eastAsia="arial" w:hAnsi="arial" w:cs="arial"/>
          <w:color w:val="000000"/>
          <w:sz w:val="20"/>
          <w:u w:val="single"/>
          <w:lang w:val="en-US" w:eastAsia="en-US" w:bidi="ar-SA"/>
        </w:rPr>
        <w:t>In my opinion it is inappropriate to trammel that discretion by endeavouring to extract principles from those cases where the discretion was exercised and from those cases where it was refused. The threshold question must be answered affirmatively; the discretion must be exercised judicially; and that is all.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Robertson</w:t>
      </w:r>
      <w:r>
        <w:rPr>
          <w:rFonts w:ascii="arial" w:eastAsia="arial" w:hAnsi="arial" w:cs="arial"/>
          <w:color w:val="000000"/>
          <w:sz w:val="20"/>
          <w:lang w:val="en-US" w:eastAsia="en-US" w:bidi="ar-SA"/>
        </w:rPr>
        <w:t xml:space="preserve"> would appear to be consistent with the Supreme Court of Canada's view of the matter. In </w:t>
      </w:r>
      <w:r>
        <w:rPr>
          <w:rFonts w:ascii="arial" w:eastAsia="arial" w:hAnsi="arial" w:cs="arial"/>
          <w:i/>
          <w:color w:val="000000"/>
          <w:sz w:val="20"/>
          <w:lang w:val="en-US" w:eastAsia="en-US" w:bidi="ar-SA"/>
        </w:rPr>
        <w:t>Hanson v. City of Saint John</w:t>
      </w:r>
      <w:r>
        <w:rPr>
          <w:rFonts w:ascii="arial" w:eastAsia="arial" w:hAnsi="arial" w:cs="arial"/>
          <w:color w:val="000000"/>
          <w:sz w:val="20"/>
          <w:lang w:val="en-US" w:eastAsia="en-US" w:bidi="ar-SA"/>
        </w:rPr>
        <w:t xml:space="preserve">, </w:t>
      </w:r>
      <w:hyperlink r:id="rId395" w:history="1">
        <w:r>
          <w:rPr>
            <w:rFonts w:ascii="arial" w:eastAsia="arial" w:hAnsi="arial" w:cs="arial"/>
            <w:i/>
            <w:color w:val="0077CC"/>
            <w:sz w:val="20"/>
            <w:u w:val="single"/>
            <w:shd w:val="clear" w:color="auto" w:fill="FFFFFF"/>
            <w:lang w:val="en-US" w:eastAsia="en-US" w:bidi="ar-SA"/>
          </w:rPr>
          <w:t>[1974] SCR 354</w:t>
        </w:r>
      </w:hyperlink>
      <w:r>
        <w:rPr>
          <w:rFonts w:ascii="arial" w:eastAsia="arial" w:hAnsi="arial" w:cs="arial"/>
          <w:color w:val="000000"/>
          <w:sz w:val="20"/>
          <w:lang w:val="en-US" w:eastAsia="en-US" w:bidi="ar-SA"/>
        </w:rPr>
        <w:t xml:space="preserve">, the plaintiffs had been injured while tobogganing, allegedly due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two defendants, the City of Saint John and a horticultural association. At trial, the claim was dismissed as against the city, and allowed as against the association. On appeal, the New Brunswick Court of Appeal allowed the association's appeal, and dismissed the plaintiff's appeal. On further appeal to the Supreme Court of Canada, the appeal against the city was allowed, and the appeal against the association dismissed. Justice Pigeon, with whose judgment Justices Ritchie and Judson concurred, held it to be a proper case for a </w:t>
      </w:r>
      <w:r>
        <w:rPr>
          <w:rFonts w:ascii="arial" w:eastAsia="arial" w:hAnsi="arial" w:cs="arial"/>
          <w:i/>
          <w:color w:val="000000"/>
          <w:sz w:val="20"/>
          <w:lang w:val="en-US" w:eastAsia="en-US" w:bidi="ar-SA"/>
        </w:rPr>
        <w:t>Bullock</w:t>
      </w:r>
      <w:r>
        <w:rPr>
          <w:rFonts w:ascii="arial" w:eastAsia="arial" w:hAnsi="arial" w:cs="arial"/>
          <w:color w:val="000000"/>
          <w:sz w:val="20"/>
          <w:lang w:val="en-US" w:eastAsia="en-US" w:bidi="ar-SA"/>
        </w:rPr>
        <w:t xml:space="preserve"> order, on the grounds that the plaintiffs could not have ascertained which of the defendants was responsible without instituting proceedings. This is akin to the </w:t>
      </w:r>
      <w:r>
        <w:rPr>
          <w:rFonts w:ascii="arial" w:eastAsia="arial" w:hAnsi="arial" w:cs="arial"/>
          <w:i/>
          <w:color w:val="000000"/>
          <w:sz w:val="20"/>
          <w:lang w:val="en-US" w:eastAsia="en-US" w:bidi="ar-SA"/>
        </w:rPr>
        <w:t>Besterman</w:t>
      </w:r>
      <w:r>
        <w:rPr>
          <w:rFonts w:ascii="arial" w:eastAsia="arial" w:hAnsi="arial" w:cs="arial"/>
          <w:color w:val="000000"/>
          <w:sz w:val="20"/>
          <w:lang w:val="en-US" w:eastAsia="en-US" w:bidi="ar-SA"/>
        </w:rPr>
        <w:t xml:space="preserve"> threshold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Voest-Alpine Canada Corp. v. Pan Ocean Shipping Co.</w:t>
      </w:r>
      <w:r>
        <w:rPr>
          <w:rFonts w:ascii="arial" w:eastAsia="arial" w:hAnsi="arial" w:cs="arial"/>
          <w:color w:val="000000"/>
          <w:sz w:val="20"/>
          <w:lang w:val="en-US" w:eastAsia="en-US" w:bidi="ar-SA"/>
        </w:rPr>
        <w:t xml:space="preserve"> </w:t>
      </w:r>
      <w:hyperlink r:id="rId396" w:history="1">
        <w:r>
          <w:rPr>
            <w:rFonts w:ascii="arial" w:eastAsia="arial" w:hAnsi="arial" w:cs="arial"/>
            <w:i/>
            <w:color w:val="0077CC"/>
            <w:sz w:val="20"/>
            <w:u w:val="single"/>
            <w:shd w:val="clear" w:color="auto" w:fill="FFFFFF"/>
            <w:lang w:val="en-US" w:eastAsia="en-US" w:bidi="ar-SA"/>
          </w:rPr>
          <w:t>(1993), 79 B.C.L.R. (2d) 388</w:t>
        </w:r>
      </w:hyperlink>
      <w:r>
        <w:rPr>
          <w:rFonts w:ascii="arial" w:eastAsia="arial" w:hAnsi="arial" w:cs="arial"/>
          <w:color w:val="000000"/>
          <w:sz w:val="20"/>
          <w:lang w:val="en-US" w:eastAsia="en-US" w:bidi="ar-SA"/>
        </w:rPr>
        <w:t>, the Court of Appeal upheld the trial judge's decision on costs, in which the question of whether the least successful defendant had attempted to shift blame to the other defendants had been one factor considered by the trial judge in the exercise of his discretion (as was the fact that the cause of action against each defendant was separate and distinct).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Grassi, supra</w:t>
      </w:r>
      <w:r>
        <w:rPr>
          <w:rFonts w:ascii="arial" w:eastAsia="arial" w:hAnsi="arial" w:cs="arial"/>
          <w:color w:val="000000"/>
          <w:sz w:val="20"/>
          <w:lang w:val="en-US" w:eastAsia="en-US" w:bidi="ar-SA"/>
        </w:rPr>
        <w:t>, Justice Southin undertook an extensive review of the history of Rule 57(18). She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[32] Thus, the single issue is whether the respondents Eamor and WIC "ought" to pay the costs to which the respondents Doern and City of Vancouver are entitled as against the appellant.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[33] I do not go so far, as some of the cases have suggested, as to say that such an order should be made "whenever it was reasonable for the plaintiff to have sued the successful defendant", if, by "reasonable", one is looking at the matter from the perspective of counsel for the plaintiff. One must bear in mind that the present rule as to joinder of causes of action is so broad that the causes of action alleged against the various defendants may be completely different, even though they arise out of the same transaction. To illustrate the point, in </w:t>
      </w:r>
      <w:r>
        <w:rPr>
          <w:rFonts w:ascii="arial" w:eastAsia="arial" w:hAnsi="arial" w:cs="arial"/>
          <w:i/>
          <w:color w:val="000000"/>
          <w:sz w:val="20"/>
          <w:lang w:val="en-US" w:eastAsia="en-US" w:bidi="ar-SA"/>
        </w:rPr>
        <w:t>Can-Dive Services v. Pacific Coast Energy</w:t>
      </w:r>
      <w:r>
        <w:rPr>
          <w:rFonts w:ascii="arial" w:eastAsia="arial" w:hAnsi="arial" w:cs="arial"/>
          <w:color w:val="000000"/>
          <w:sz w:val="20"/>
          <w:lang w:val="en-US" w:eastAsia="en-US" w:bidi="ar-SA"/>
        </w:rPr>
        <w:t xml:space="preserve"> </w:t>
      </w:r>
      <w:hyperlink r:id="rId397" w:history="1">
        <w:r>
          <w:rPr>
            <w:rFonts w:ascii="arial" w:eastAsia="arial" w:hAnsi="arial" w:cs="arial"/>
            <w:i/>
            <w:color w:val="0077CC"/>
            <w:sz w:val="20"/>
            <w:u w:val="single"/>
            <w:shd w:val="clear" w:color="auto" w:fill="FFFFFF"/>
            <w:lang w:val="en-US" w:eastAsia="en-US" w:bidi="ar-SA"/>
          </w:rPr>
          <w:t>(1993), 77 B.C.L.R. (2d) 128</w:t>
        </w:r>
      </w:hyperlink>
      <w:r>
        <w:rPr>
          <w:rFonts w:ascii="arial" w:eastAsia="arial" w:hAnsi="arial" w:cs="arial"/>
          <w:color w:val="000000"/>
          <w:sz w:val="20"/>
          <w:lang w:val="en-US" w:eastAsia="en-US" w:bidi="ar-SA"/>
        </w:rPr>
        <w:t xml:space="preserve">, the plaintiff, a sub-contractor on a construction project, sued the contractor, alleging breach of contract; the owner, alleging breach of a duty of care; and the owner's engineer, alleging a breach of a duty of care. To sue the owner and the engineer, although the claims ultimately failed, may well have been reasonable from the point of view of the plaintiff but that would not, in my opinion, have warranted, if the contractual claim had succeeded, the contractor being required to pay the plaintiff the costs which the plaintiff was obliged to pay to the owner and the engineer. </w:t>
      </w:r>
      <w:r>
        <w:rPr>
          <w:rFonts w:ascii="arial" w:eastAsia="arial" w:hAnsi="arial" w:cs="arial"/>
          <w:color w:val="000000"/>
          <w:sz w:val="20"/>
          <w:u w:val="single"/>
          <w:lang w:val="en-US" w:eastAsia="en-US" w:bidi="ar-SA"/>
        </w:rPr>
        <w:t xml:space="preserve">There must be something which the unsuccessful defendant did, such as asserting the other defendant was the culprit in the case, to warrant his being made to reimburse the plaintiff for the successful defendant's costs. That was what happened in </w:t>
      </w:r>
      <w:r>
        <w:rPr>
          <w:rFonts w:ascii="arial" w:eastAsia="arial" w:hAnsi="arial" w:cs="arial"/>
          <w:i/>
          <w:color w:val="000000"/>
          <w:sz w:val="20"/>
          <w:u w:val="single"/>
          <w:lang w:val="en-US" w:eastAsia="en-US" w:bidi="ar-SA"/>
        </w:rPr>
        <w:t>Bullock v. London General Omnibus Co</w:t>
      </w:r>
      <w:r>
        <w:rPr>
          <w:rFonts w:ascii="arial" w:eastAsia="arial" w:hAnsi="arial" w:cs="arial"/>
          <w:color w:val="000000"/>
          <w:sz w:val="20"/>
          <w:u w:val="single"/>
          <w:lang w:val="en-US" w:eastAsia="en-US" w:bidi="ar-SA"/>
        </w:rPr>
        <w:t>. The omnibus company asserted the cart driver was the cause of the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[34] But orders under Rule 57(18) are not restricted to cases where the unsuccessful defendant in the course of the litigation has blamed the successful defendant </w:t>
      </w:r>
      <w:r>
        <w:rPr>
          <w:rFonts w:ascii="arial" w:eastAsia="arial" w:hAnsi="arial" w:cs="arial"/>
          <w:color w:val="000000"/>
          <w:sz w:val="20"/>
          <w:u w:val="single"/>
          <w:lang w:val="en-US" w:eastAsia="en-US" w:bidi="ar-SA"/>
        </w:rPr>
        <w:t>but may extend to acts of the unsuccessful defendant which caused the successful defendant to be brought into the litigation</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I make, with respect, three observations regarding this passage. First, it does not appear that her ladyship was directed to the Court of Appeal's previous decisions in </w:t>
      </w:r>
      <w:r>
        <w:rPr>
          <w:rFonts w:ascii="arial" w:eastAsia="arial" w:hAnsi="arial" w:cs="arial"/>
          <w:i/>
          <w:color w:val="000000"/>
          <w:sz w:val="20"/>
          <w:lang w:val="en-US" w:eastAsia="en-US" w:bidi="ar-SA"/>
        </w:rPr>
        <w:t>Robertson</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Voest-Alpine.</w:t>
      </w:r>
      <w:r>
        <w:rPr>
          <w:rFonts w:ascii="arial" w:eastAsia="arial" w:hAnsi="arial" w:cs="arial"/>
          <w:color w:val="000000"/>
          <w:sz w:val="20"/>
          <w:lang w:val="en-US" w:eastAsia="en-US" w:bidi="ar-SA"/>
        </w:rPr>
        <w:t xml:space="preserve"> Those decisions did not go so far as to say that a </w:t>
      </w:r>
      <w:r>
        <w:rPr>
          <w:rFonts w:ascii="arial" w:eastAsia="arial" w:hAnsi="arial" w:cs="arial"/>
          <w:i/>
          <w:color w:val="000000"/>
          <w:sz w:val="20"/>
          <w:lang w:val="en-US" w:eastAsia="en-US" w:bidi="ar-SA"/>
        </w:rPr>
        <w:t>Bullock</w:t>
      </w:r>
      <w:r>
        <w:rPr>
          <w:rFonts w:ascii="arial" w:eastAsia="arial" w:hAnsi="arial" w:cs="arial"/>
          <w:color w:val="000000"/>
          <w:sz w:val="20"/>
          <w:lang w:val="en-US" w:eastAsia="en-US" w:bidi="ar-SA"/>
        </w:rPr>
        <w:t xml:space="preserve"> or </w:t>
      </w:r>
      <w:r>
        <w:rPr>
          <w:rFonts w:ascii="arial" w:eastAsia="arial" w:hAnsi="arial" w:cs="arial"/>
          <w:i/>
          <w:color w:val="000000"/>
          <w:sz w:val="20"/>
          <w:lang w:val="en-US" w:eastAsia="en-US" w:bidi="ar-SA"/>
        </w:rPr>
        <w:t>Sanderson</w:t>
      </w:r>
      <w:r>
        <w:rPr>
          <w:rFonts w:ascii="arial" w:eastAsia="arial" w:hAnsi="arial" w:cs="arial"/>
          <w:color w:val="000000"/>
          <w:sz w:val="20"/>
          <w:lang w:val="en-US" w:eastAsia="en-US" w:bidi="ar-SA"/>
        </w:rPr>
        <w:t xml:space="preserve"> order ought to follow as a matter of course whenever the reasonableness of the joinder, from the standpoint of the plaintiff, was established. It is clear that those decisions only regarded that as a threshold question, with the trial court retaining discretion, exercised judicially, to decide responsibility for costs in relation to the circumstances of each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Second, Southin J.A. pointed to the fact that in </w:t>
      </w:r>
      <w:r>
        <w:rPr>
          <w:rFonts w:ascii="arial" w:eastAsia="arial" w:hAnsi="arial" w:cs="arial"/>
          <w:i/>
          <w:color w:val="000000"/>
          <w:sz w:val="20"/>
          <w:lang w:val="en-US" w:eastAsia="en-US" w:bidi="ar-SA"/>
        </w:rPr>
        <w:t>Bullock v. London General Omnibus Co.</w:t>
      </w:r>
      <w:r>
        <w:rPr>
          <w:rFonts w:ascii="arial" w:eastAsia="arial" w:hAnsi="arial" w:cs="arial"/>
          <w:color w:val="000000"/>
          <w:sz w:val="20"/>
          <w:lang w:val="en-US" w:eastAsia="en-US" w:bidi="ar-SA"/>
        </w:rPr>
        <w:t xml:space="preserve">, [1906] 1 K.B. 264, the unsuccessful defendant had asserted that the successful defendant was the cause of the accident. It is not clear from the report of the decision in </w:t>
      </w:r>
      <w:r>
        <w:rPr>
          <w:rFonts w:ascii="arial" w:eastAsia="arial" w:hAnsi="arial" w:cs="arial"/>
          <w:i/>
          <w:color w:val="000000"/>
          <w:sz w:val="20"/>
          <w:lang w:val="en-US" w:eastAsia="en-US" w:bidi="ar-SA"/>
        </w:rPr>
        <w:t>Bullock</w:t>
      </w:r>
      <w:r>
        <w:rPr>
          <w:rFonts w:ascii="arial" w:eastAsia="arial" w:hAnsi="arial" w:cs="arial"/>
          <w:color w:val="000000"/>
          <w:sz w:val="20"/>
          <w:lang w:val="en-US" w:eastAsia="en-US" w:bidi="ar-SA"/>
        </w:rPr>
        <w:t xml:space="preserve"> how or when this "assertion" had been made. The point was not raised in the reported arguments of counsel on the appeal. The report editors, in the preamble following the headnote, state that the plaintiff's plea was that she had suffered injuries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both defendants; the statement of defence of the omnibus company denied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its part, and in its particulars stated that the driver of the cart belonging to the other defendant had failed to keep a proper lookout. Collins M.R. said at 269: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common sense underlying this [costs] order is clear, because the learned judge when he made it had before him evidence that, owing to the attitude taken up by the General Omnibus Company, it was reasonable for the plaintiff to join the other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There is no indication in any of the reported judgments of the three members of the panel in </w:t>
      </w:r>
      <w:r>
        <w:rPr>
          <w:rFonts w:ascii="arial" w:eastAsia="arial" w:hAnsi="arial" w:cs="arial"/>
          <w:i/>
          <w:color w:val="000000"/>
          <w:sz w:val="20"/>
          <w:lang w:val="en-US" w:eastAsia="en-US" w:bidi="ar-SA"/>
        </w:rPr>
        <w:t>Bullock</w:t>
      </w:r>
      <w:r>
        <w:rPr>
          <w:rFonts w:ascii="arial" w:eastAsia="arial" w:hAnsi="arial" w:cs="arial"/>
          <w:color w:val="000000"/>
          <w:sz w:val="20"/>
          <w:lang w:val="en-US" w:eastAsia="en-US" w:bidi="ar-SA"/>
        </w:rPr>
        <w:t xml:space="preserve"> that the company's "attitude" was regarded as a precondition to it being found liable for the other defendant's cost. Nor was it stated that the conduct of the omnibus company was viewed by them as having caused the plaintiff to add the other defendant. Rather, it appears that this "attitude" of the unsuccessful defendant was simply regarded by the Court of Appeal as evidence that the plaintiff had acted reasonably, from which the Court concluded that the trial judge had exercised his discretion appropriately.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Third, I observe that the concern to which the above-quoted passage was directed was the potential for an injustice arising when claims made against successful and unsuccessful defendants have been in respect of completely independent theories of liability. In such cases -- </w:t>
      </w:r>
      <w:r>
        <w:rPr>
          <w:rFonts w:ascii="arial" w:eastAsia="arial" w:hAnsi="arial" w:cs="arial"/>
          <w:i/>
          <w:color w:val="000000"/>
          <w:sz w:val="20"/>
          <w:lang w:val="en-US" w:eastAsia="en-US" w:bidi="ar-SA"/>
        </w:rPr>
        <w:t>Can-Dive Services</w:t>
      </w:r>
      <w:r>
        <w:rPr>
          <w:rFonts w:ascii="arial" w:eastAsia="arial" w:hAnsi="arial" w:cs="arial"/>
          <w:color w:val="000000"/>
          <w:sz w:val="20"/>
          <w:lang w:val="en-US" w:eastAsia="en-US" w:bidi="ar-SA"/>
        </w:rPr>
        <w:t xml:space="preserve"> being the exemplar -- joinder of the parties is usually allowed only as a means of increasing efficiency; there is no concern with inconsistent verdicts if the cases are tried apart. In contrast, in cases of alleged joint and several liability - where the possibility of inconsistent verdicts dictates the joinder of the actions - one defendant's denial of liability is, in the usual case, tantamount to an allegation that others must bear responsibility; whether or not that position has been expressly articulated by the eventually unsuccessful defendant, the fact that liability is denied necessitates joining of other potentially at-fault parties. In the latter case, it is difficult to see how holding the at-fault defendant responsible for other defendants' costs will necessarily work an injustice. It is therefore by no means clear that when Southin J.A. held that the unsuccessful defendant must have 'done something' she was intending to lay down a hard-and-fast rule for the application of Rule 57(18) in all cases, including those involving allegations of joint or joint and several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Approximately six months following the release of </w:t>
      </w:r>
      <w:r>
        <w:rPr>
          <w:rFonts w:ascii="arial" w:eastAsia="arial" w:hAnsi="arial" w:cs="arial"/>
          <w:i/>
          <w:color w:val="000000"/>
          <w:sz w:val="20"/>
          <w:lang w:val="en-US" w:eastAsia="en-US" w:bidi="ar-SA"/>
        </w:rPr>
        <w:t>Grassi</w:t>
      </w:r>
      <w:r>
        <w:rPr>
          <w:rFonts w:ascii="arial" w:eastAsia="arial" w:hAnsi="arial" w:cs="arial"/>
          <w:color w:val="000000"/>
          <w:sz w:val="20"/>
          <w:lang w:val="en-US" w:eastAsia="en-US" w:bidi="ar-SA"/>
        </w:rPr>
        <w:t xml:space="preserve">, the Court of Appeal released its reasons for judgment in </w:t>
      </w:r>
      <w:r>
        <w:rPr>
          <w:rFonts w:ascii="arial" w:eastAsia="arial" w:hAnsi="arial" w:cs="arial"/>
          <w:i/>
          <w:color w:val="000000"/>
          <w:sz w:val="20"/>
          <w:lang w:val="en-US" w:eastAsia="en-US" w:bidi="ar-SA"/>
        </w:rPr>
        <w:t>Times Square Holdings Ltd. v. Shimizu et al.,</w:t>
      </w:r>
      <w:r>
        <w:rPr>
          <w:rFonts w:ascii="arial" w:eastAsia="arial" w:hAnsi="arial" w:cs="arial"/>
          <w:color w:val="000000"/>
          <w:sz w:val="20"/>
          <w:lang w:val="en-US" w:eastAsia="en-US" w:bidi="ar-SA"/>
        </w:rPr>
        <w:t xml:space="preserve"> </w:t>
      </w:r>
      <w:hyperlink r:id="rId398" w:history="1">
        <w:r>
          <w:rPr>
            <w:rFonts w:ascii="arial" w:eastAsia="arial" w:hAnsi="arial" w:cs="arial"/>
            <w:i/>
            <w:color w:val="0077CC"/>
            <w:sz w:val="20"/>
            <w:u w:val="single"/>
            <w:shd w:val="clear" w:color="auto" w:fill="FFFFFF"/>
            <w:lang w:val="en-US" w:eastAsia="en-US" w:bidi="ar-SA"/>
          </w:rPr>
          <w:t>2001 BCCA 667</w:t>
        </w:r>
      </w:hyperlink>
      <w:r>
        <w:rPr>
          <w:rFonts w:ascii="arial" w:eastAsia="arial" w:hAnsi="arial" w:cs="arial"/>
          <w:color w:val="000000"/>
          <w:sz w:val="20"/>
          <w:lang w:val="en-US" w:eastAsia="en-US" w:bidi="ar-SA"/>
        </w:rPr>
        <w:t xml:space="preserve">. Those reasons refer to </w:t>
      </w:r>
      <w:r>
        <w:rPr>
          <w:rFonts w:ascii="arial" w:eastAsia="arial" w:hAnsi="arial" w:cs="arial"/>
          <w:i/>
          <w:color w:val="000000"/>
          <w:sz w:val="20"/>
          <w:lang w:val="en-US" w:eastAsia="en-US" w:bidi="ar-SA"/>
        </w:rPr>
        <w:t>Robertson</w:t>
      </w:r>
      <w:r>
        <w:rPr>
          <w:rFonts w:ascii="arial" w:eastAsia="arial" w:hAnsi="arial" w:cs="arial"/>
          <w:color w:val="000000"/>
          <w:sz w:val="20"/>
          <w:lang w:val="en-US" w:eastAsia="en-US" w:bidi="ar-SA"/>
        </w:rPr>
        <w:t xml:space="preserve"> as the leading authority on the subject of </w:t>
      </w:r>
      <w:r>
        <w:rPr>
          <w:rFonts w:ascii="arial" w:eastAsia="arial" w:hAnsi="arial" w:cs="arial"/>
          <w:i/>
          <w:color w:val="000000"/>
          <w:sz w:val="20"/>
          <w:lang w:val="en-US" w:eastAsia="en-US" w:bidi="ar-SA"/>
        </w:rPr>
        <w:t>Bullock</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Sanderson</w:t>
      </w:r>
      <w:r>
        <w:rPr>
          <w:rFonts w:ascii="arial" w:eastAsia="arial" w:hAnsi="arial" w:cs="arial"/>
          <w:color w:val="000000"/>
          <w:sz w:val="20"/>
          <w:lang w:val="en-US" w:eastAsia="en-US" w:bidi="ar-SA"/>
        </w:rPr>
        <w:t xml:space="preserve"> orders, without mention of </w:t>
      </w:r>
      <w:r>
        <w:rPr>
          <w:rFonts w:ascii="arial" w:eastAsia="arial" w:hAnsi="arial" w:cs="arial"/>
          <w:i/>
          <w:color w:val="000000"/>
          <w:sz w:val="20"/>
          <w:lang w:val="en-US" w:eastAsia="en-US" w:bidi="ar-SA"/>
        </w:rPr>
        <w:t>Grassi.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Gill v. Dunlop-Miller</w:t>
      </w:r>
      <w:r>
        <w:rPr>
          <w:rFonts w:ascii="arial" w:eastAsia="arial" w:hAnsi="arial" w:cs="arial"/>
          <w:color w:val="000000"/>
          <w:sz w:val="20"/>
          <w:lang w:val="en-US" w:eastAsia="en-US" w:bidi="ar-SA"/>
        </w:rPr>
        <w:t xml:space="preserve">, </w:t>
      </w:r>
      <w:hyperlink r:id="rId399" w:history="1">
        <w:r>
          <w:rPr>
            <w:rFonts w:ascii="arial" w:eastAsia="arial" w:hAnsi="arial" w:cs="arial"/>
            <w:i/>
            <w:color w:val="0077CC"/>
            <w:sz w:val="20"/>
            <w:u w:val="single"/>
            <w:shd w:val="clear" w:color="auto" w:fill="FFFFFF"/>
            <w:lang w:val="en-US" w:eastAsia="en-US" w:bidi="ar-SA"/>
          </w:rPr>
          <w:t>2004 BCCA 632</w:t>
        </w:r>
      </w:hyperlink>
      <w:r>
        <w:rPr>
          <w:rFonts w:ascii="arial" w:eastAsia="arial" w:hAnsi="arial" w:cs="arial"/>
          <w:color w:val="000000"/>
          <w:sz w:val="20"/>
          <w:lang w:val="en-US" w:eastAsia="en-US" w:bidi="ar-SA"/>
        </w:rPr>
        <w:t xml:space="preserve">, the Court of Appeal considered the validity of a </w:t>
      </w:r>
      <w:r>
        <w:rPr>
          <w:rFonts w:ascii="arial" w:eastAsia="arial" w:hAnsi="arial" w:cs="arial"/>
          <w:i/>
          <w:color w:val="000000"/>
          <w:sz w:val="20"/>
          <w:lang w:val="en-US" w:eastAsia="en-US" w:bidi="ar-SA"/>
        </w:rPr>
        <w:t>Sanderson</w:t>
      </w:r>
      <w:r>
        <w:rPr>
          <w:rFonts w:ascii="arial" w:eastAsia="arial" w:hAnsi="arial" w:cs="arial"/>
          <w:color w:val="000000"/>
          <w:sz w:val="20"/>
          <w:lang w:val="en-US" w:eastAsia="en-US" w:bidi="ar-SA"/>
        </w:rPr>
        <w:t xml:space="preserve"> order made in a trial in which two actions, each arising out of a separate motor vehicle accident, had been tried together. The plaintiff alleged that the second accident, caused by the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second defendant, had exacerbated injuries caused in the first accident. The defendants had each made the same plea:</w:t>
      </w:r>
      <w:r>
        <w:rPr>
          <w:rFonts w:ascii="arial" w:eastAsia="arial" w:hAnsi="arial" w:cs="arial"/>
          <w:sz w:val="20"/>
          <w:lang w:val="en-US" w:eastAsia="en-US" w:bidi="ar-SA"/>
        </w:rPr>
        <w:cr/>
      </w:r>
    </w:p>
    <w:p>
      <w:pPr>
        <w:numPr>
          <w:numId w:val="2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further alternative, if the Plaintiff suffered injuries as alleged in the Statement of Claim or at all, which is not admitted but is specifically denied, then the injuries were not caused by the alleged motor vehicle accident and are attributable to previous and/or subsequent incidents involving the Plaintiff or to congenital defects and the Defendant says that the motor vehicle accident did not aggravate any pre-existing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The jury found the plaintiff's injuries to have been caused solely by the first accident. The trial judge (whose reasons on a collateral benefits issue and on the issue of costs are indexed as </w:t>
      </w:r>
      <w:r>
        <w:rPr>
          <w:rFonts w:ascii="arial" w:eastAsia="arial" w:hAnsi="arial" w:cs="arial"/>
          <w:i/>
          <w:color w:val="000000"/>
          <w:sz w:val="20"/>
          <w:lang w:val="en-US" w:eastAsia="en-US" w:bidi="ar-SA"/>
        </w:rPr>
        <w:t>Gill v. Lindstrom</w:t>
      </w:r>
      <w:r>
        <w:rPr>
          <w:rFonts w:ascii="arial" w:eastAsia="arial" w:hAnsi="arial" w:cs="arial"/>
          <w:color w:val="000000"/>
          <w:sz w:val="20"/>
          <w:lang w:val="en-US" w:eastAsia="en-US" w:bidi="ar-SA"/>
        </w:rPr>
        <w:t xml:space="preserve">, </w:t>
      </w:r>
      <w:hyperlink r:id="rId400" w:history="1">
        <w:r>
          <w:rPr>
            <w:rFonts w:ascii="arial" w:eastAsia="arial" w:hAnsi="arial" w:cs="arial"/>
            <w:i/>
            <w:color w:val="0077CC"/>
            <w:sz w:val="20"/>
            <w:u w:val="single"/>
            <w:shd w:val="clear" w:color="auto" w:fill="FFFFFF"/>
            <w:lang w:val="en-US" w:eastAsia="en-US" w:bidi="ar-SA"/>
          </w:rPr>
          <w:t>2002 BCSC 1017</w:t>
        </w:r>
      </w:hyperlink>
      <w:r>
        <w:rPr>
          <w:rFonts w:ascii="arial" w:eastAsia="arial" w:hAnsi="arial" w:cs="arial"/>
          <w:color w:val="000000"/>
          <w:sz w:val="20"/>
          <w:lang w:val="en-US" w:eastAsia="en-US" w:bidi="ar-SA"/>
        </w:rPr>
        <w:t>), held that it had been reasonable for plaintiff's counsel to have anticipated that in response to a statement of claim concerning the first accident, the defendant would plead that the injuries were attributable to the second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[19] ... It was easy for Mr. McGregor to anticipate that. It dictated what he had to do. He had to place both accidents in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The trial judge therefore made a </w:t>
      </w:r>
      <w:r>
        <w:rPr>
          <w:rFonts w:ascii="arial" w:eastAsia="arial" w:hAnsi="arial" w:cs="arial"/>
          <w:i/>
          <w:color w:val="000000"/>
          <w:sz w:val="20"/>
          <w:lang w:val="en-US" w:eastAsia="en-US" w:bidi="ar-SA"/>
        </w:rPr>
        <w:t>Sanderson</w:t>
      </w:r>
      <w:r>
        <w:rPr>
          <w:rFonts w:ascii="arial" w:eastAsia="arial" w:hAnsi="arial" w:cs="arial"/>
          <w:color w:val="000000"/>
          <w:sz w:val="20"/>
          <w:lang w:val="en-US" w:eastAsia="en-US" w:bidi="ar-SA"/>
        </w:rPr>
        <w:t xml:space="preserve"> order in respect of the second defendant's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On appeal, Justice Low for the Court interpreted </w:t>
      </w:r>
      <w:r>
        <w:rPr>
          <w:rFonts w:ascii="arial" w:eastAsia="arial" w:hAnsi="arial" w:cs="arial"/>
          <w:i/>
          <w:color w:val="000000"/>
          <w:sz w:val="20"/>
          <w:lang w:val="en-US" w:eastAsia="en-US" w:bidi="ar-SA"/>
        </w:rPr>
        <w:t>Grassi</w:t>
      </w:r>
      <w:r>
        <w:rPr>
          <w:rFonts w:ascii="arial" w:eastAsia="arial" w:hAnsi="arial" w:cs="arial"/>
          <w:color w:val="000000"/>
          <w:sz w:val="20"/>
          <w:lang w:val="en-US" w:eastAsia="en-US" w:bidi="ar-SA"/>
        </w:rPr>
        <w:t xml:space="preserve"> as setting a requirement that the unsuccessful defendant be found to have </w:t>
      </w:r>
      <w:r>
        <w:rPr>
          <w:rFonts w:ascii="arial" w:eastAsia="arial" w:hAnsi="arial" w:cs="arial"/>
          <w:color w:val="000000"/>
          <w:sz w:val="20"/>
          <w:u w:val="single"/>
          <w:lang w:val="en-US" w:eastAsia="en-US" w:bidi="ar-SA"/>
        </w:rPr>
        <w:t>caused</w:t>
      </w:r>
      <w:r>
        <w:rPr>
          <w:rFonts w:ascii="arial" w:eastAsia="arial" w:hAnsi="arial" w:cs="arial"/>
          <w:color w:val="000000"/>
          <w:sz w:val="20"/>
          <w:lang w:val="en-US" w:eastAsia="en-US" w:bidi="ar-SA"/>
        </w:rPr>
        <w:t xml:space="preserve"> the plaintiff to proceed against the successful defendant: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[16] I think the trial judge erred by overlooking the fact that the respondent asserted in her pleadings and at trial that she was injured in the second accident. ... She sought judgment against the defendant in the second action because she alleged that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her injury. </w:t>
      </w:r>
      <w:r>
        <w:rPr>
          <w:rFonts w:ascii="arial" w:eastAsia="arial" w:hAnsi="arial" w:cs="arial"/>
          <w:color w:val="000000"/>
          <w:sz w:val="20"/>
          <w:u w:val="single"/>
          <w:lang w:val="en-US" w:eastAsia="en-US" w:bidi="ar-SA"/>
        </w:rPr>
        <w:t>It cannot be said that there was anything done by the appellant to bring this about</w:t>
      </w:r>
      <w:r>
        <w:rPr>
          <w:rFonts w:ascii="arial" w:eastAsia="arial" w:hAnsi="arial" w:cs="arial"/>
          <w:color w:val="000000"/>
          <w:sz w:val="20"/>
          <w:lang w:val="en-US" w:eastAsia="en-US" w:bidi="ar-SA"/>
        </w:rPr>
        <w:t>, either by causing the first accident for which he admitted liability or in the conduct of the litigation.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(It does not appear that Low J.A. was made aware that </w:t>
      </w:r>
      <w:r>
        <w:rPr>
          <w:rFonts w:ascii="arial" w:eastAsia="arial" w:hAnsi="arial" w:cs="arial"/>
          <w:i/>
          <w:color w:val="000000"/>
          <w:sz w:val="20"/>
          <w:lang w:val="en-US" w:eastAsia="en-US" w:bidi="ar-SA"/>
        </w:rPr>
        <w:t>Grassi</w:t>
      </w:r>
      <w:r>
        <w:rPr>
          <w:rFonts w:ascii="arial" w:eastAsia="arial" w:hAnsi="arial" w:cs="arial"/>
          <w:color w:val="000000"/>
          <w:sz w:val="20"/>
          <w:lang w:val="en-US" w:eastAsia="en-US" w:bidi="ar-SA"/>
        </w:rPr>
        <w:t xml:space="preserve"> had not considered </w:t>
      </w:r>
      <w:r>
        <w:rPr>
          <w:rFonts w:ascii="arial" w:eastAsia="arial" w:hAnsi="arial" w:cs="arial"/>
          <w:i/>
          <w:color w:val="000000"/>
          <w:sz w:val="20"/>
          <w:lang w:val="en-US" w:eastAsia="en-US" w:bidi="ar-SA"/>
        </w:rPr>
        <w:t>Robertson.</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This reasoning does not allow for a distinction to be drawn between cases where a plaintiff alleges multiple parties to have been at fault for a single accident, and those where injuries are alleged to have been caused by the cumulative effects of multiple accidents caused by different parties. In all cases, the plaintiff's entitlement to a </w:t>
      </w:r>
      <w:r>
        <w:rPr>
          <w:rFonts w:ascii="arial" w:eastAsia="arial" w:hAnsi="arial" w:cs="arial"/>
          <w:i/>
          <w:color w:val="000000"/>
          <w:sz w:val="20"/>
          <w:lang w:val="en-US" w:eastAsia="en-US" w:bidi="ar-SA"/>
        </w:rPr>
        <w:t>Bullock</w:t>
      </w:r>
      <w:r>
        <w:rPr>
          <w:rFonts w:ascii="arial" w:eastAsia="arial" w:hAnsi="arial" w:cs="arial"/>
          <w:color w:val="000000"/>
          <w:sz w:val="20"/>
          <w:lang w:val="en-US" w:eastAsia="en-US" w:bidi="ar-SA"/>
        </w:rPr>
        <w:t xml:space="preserve"> or </w:t>
      </w:r>
      <w:r>
        <w:rPr>
          <w:rFonts w:ascii="arial" w:eastAsia="arial" w:hAnsi="arial" w:cs="arial"/>
          <w:i/>
          <w:color w:val="000000"/>
          <w:sz w:val="20"/>
          <w:lang w:val="en-US" w:eastAsia="en-US" w:bidi="ar-SA"/>
        </w:rPr>
        <w:t>Sanderson</w:t>
      </w:r>
      <w:r>
        <w:rPr>
          <w:rFonts w:ascii="arial" w:eastAsia="arial" w:hAnsi="arial" w:cs="arial"/>
          <w:color w:val="000000"/>
          <w:sz w:val="20"/>
          <w:lang w:val="en-US" w:eastAsia="en-US" w:bidi="ar-SA"/>
        </w:rPr>
        <w:t xml:space="preserve"> order would be dependent upon one defendant being shown through its conduct to have caused the other defendants to be sued.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The effect of </w:t>
      </w:r>
      <w:r>
        <w:rPr>
          <w:rFonts w:ascii="arial" w:eastAsia="arial" w:hAnsi="arial" w:cs="arial"/>
          <w:i/>
          <w:color w:val="000000"/>
          <w:sz w:val="20"/>
          <w:lang w:val="en-US" w:eastAsia="en-US" w:bidi="ar-SA"/>
        </w:rPr>
        <w:t>Gill</w:t>
      </w:r>
      <w:r>
        <w:rPr>
          <w:rFonts w:ascii="arial" w:eastAsia="arial" w:hAnsi="arial" w:cs="arial"/>
          <w:color w:val="000000"/>
          <w:sz w:val="20"/>
          <w:lang w:val="en-US" w:eastAsia="en-US" w:bidi="ar-SA"/>
        </w:rPr>
        <w:t xml:space="preserve"> is that a plaintiff who has been injured in an accident, and then involved in a second accident, would have no assurance of recovering all of their costs if they commenced actions against the persons they believed to be at fault without having received some explicit indication from each of the prospective defendants that they considered the plaintiff's condition to be the other's responsibility. This would be so, even if plaintiff's counsel were in possession of medical evidence that each accident contributed to the plaintiff's condition, and even if up against a limitation period -- factors which, pre-</w:t>
      </w:r>
      <w:r>
        <w:rPr>
          <w:rFonts w:ascii="arial" w:eastAsia="arial" w:hAnsi="arial" w:cs="arial"/>
          <w:i/>
          <w:color w:val="000000"/>
          <w:sz w:val="20"/>
          <w:lang w:val="en-US" w:eastAsia="en-US" w:bidi="ar-SA"/>
        </w:rPr>
        <w:t>Grassi</w:t>
      </w:r>
      <w:r>
        <w:rPr>
          <w:rFonts w:ascii="arial" w:eastAsia="arial" w:hAnsi="arial" w:cs="arial"/>
          <w:color w:val="000000"/>
          <w:sz w:val="20"/>
          <w:lang w:val="en-US" w:eastAsia="en-US" w:bidi="ar-SA"/>
        </w:rPr>
        <w:t xml:space="preserve">, could have been taken into account by a trial judge equipped with broad discretion. Without such indication from the prospective defendants, counsel would not even have the option of seeking a </w:t>
      </w:r>
      <w:r>
        <w:rPr>
          <w:rFonts w:ascii="arial" w:eastAsia="arial" w:hAnsi="arial" w:cs="arial"/>
          <w:i/>
          <w:color w:val="000000"/>
          <w:sz w:val="20"/>
          <w:lang w:val="en-US" w:eastAsia="en-US" w:bidi="ar-SA"/>
        </w:rPr>
        <w:t>Bullock</w:t>
      </w:r>
      <w:r>
        <w:rPr>
          <w:rFonts w:ascii="arial" w:eastAsia="arial" w:hAnsi="arial" w:cs="arial"/>
          <w:color w:val="000000"/>
          <w:sz w:val="20"/>
          <w:lang w:val="en-US" w:eastAsia="en-US" w:bidi="ar-SA"/>
        </w:rPr>
        <w:t xml:space="preserve"> or </w:t>
      </w:r>
      <w:r>
        <w:rPr>
          <w:rFonts w:ascii="arial" w:eastAsia="arial" w:hAnsi="arial" w:cs="arial"/>
          <w:i/>
          <w:color w:val="000000"/>
          <w:sz w:val="20"/>
          <w:lang w:val="en-US" w:eastAsia="en-US" w:bidi="ar-SA"/>
        </w:rPr>
        <w:t>Sanderson</w:t>
      </w:r>
      <w:r>
        <w:rPr>
          <w:rFonts w:ascii="arial" w:eastAsia="arial" w:hAnsi="arial" w:cs="arial"/>
          <w:color w:val="000000"/>
          <w:sz w:val="20"/>
          <w:lang w:val="en-US" w:eastAsia="en-US" w:bidi="ar-SA"/>
        </w:rPr>
        <w:t xml:space="preserve"> order, as the threshold test could never be satisfied.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The most recent pronouncement from the Court of Appeal on this issue would appear to be </w:t>
      </w:r>
      <w:r>
        <w:rPr>
          <w:rFonts w:ascii="arial" w:eastAsia="arial" w:hAnsi="arial" w:cs="arial"/>
          <w:i/>
          <w:color w:val="000000"/>
          <w:sz w:val="20"/>
          <w:lang w:val="en-US" w:eastAsia="en-US" w:bidi="ar-SA"/>
        </w:rPr>
        <w:t>Davidson v. Tahtsa Timber Ltd., supra.</w:t>
      </w:r>
      <w:r>
        <w:rPr>
          <w:rFonts w:ascii="arial" w:eastAsia="arial" w:hAnsi="arial" w:cs="arial"/>
          <w:color w:val="000000"/>
          <w:sz w:val="20"/>
          <w:lang w:val="en-US" w:eastAsia="en-US" w:bidi="ar-SA"/>
        </w:rPr>
        <w:t xml:space="preserve"> Justice Kirkpatrick, after reviewing both </w:t>
      </w:r>
      <w:r>
        <w:rPr>
          <w:rFonts w:ascii="arial" w:eastAsia="arial" w:hAnsi="arial" w:cs="arial"/>
          <w:i/>
          <w:color w:val="000000"/>
          <w:sz w:val="20"/>
          <w:lang w:val="en-US" w:eastAsia="en-US" w:bidi="ar-SA"/>
        </w:rPr>
        <w:t>Robertson</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Grassi</w:t>
      </w:r>
      <w:r>
        <w:rPr>
          <w:rFonts w:ascii="arial" w:eastAsia="arial" w:hAnsi="arial" w:cs="arial"/>
          <w:color w:val="000000"/>
          <w:sz w:val="20"/>
          <w:lang w:val="en-US" w:eastAsia="en-US" w:bidi="ar-SA"/>
        </w:rPr>
        <w:t xml:space="preserve">, stated that according to </w:t>
      </w:r>
      <w:r>
        <w:rPr>
          <w:rFonts w:ascii="arial" w:eastAsia="arial" w:hAnsi="arial" w:cs="arial"/>
          <w:i/>
          <w:color w:val="000000"/>
          <w:sz w:val="20"/>
          <w:lang w:val="en-US" w:eastAsia="en-US" w:bidi="ar-SA"/>
        </w:rPr>
        <w:t>Grassi</w:t>
      </w:r>
      <w:r>
        <w:rPr>
          <w:rFonts w:ascii="arial" w:eastAsia="arial" w:hAnsi="arial" w:cs="arial"/>
          <w:color w:val="000000"/>
          <w:sz w:val="20"/>
          <w:lang w:val="en-US" w:eastAsia="en-US" w:bidi="ar-SA"/>
        </w:rPr>
        <w:t xml:space="preserve">, a </w:t>
      </w:r>
      <w:r>
        <w:rPr>
          <w:rFonts w:ascii="arial" w:eastAsia="arial" w:hAnsi="arial" w:cs="arial"/>
          <w:i/>
          <w:color w:val="000000"/>
          <w:sz w:val="20"/>
          <w:lang w:val="en-US" w:eastAsia="en-US" w:bidi="ar-SA"/>
        </w:rPr>
        <w:t>Sanderson</w:t>
      </w:r>
      <w:r>
        <w:rPr>
          <w:rFonts w:ascii="arial" w:eastAsia="arial" w:hAnsi="arial" w:cs="arial"/>
          <w:color w:val="000000"/>
          <w:sz w:val="20"/>
          <w:lang w:val="en-US" w:eastAsia="en-US" w:bidi="ar-SA"/>
        </w:rPr>
        <w:t xml:space="preserve"> or </w:t>
      </w:r>
      <w:r>
        <w:rPr>
          <w:rFonts w:ascii="arial" w:eastAsia="arial" w:hAnsi="arial" w:cs="arial"/>
          <w:i/>
          <w:color w:val="000000"/>
          <w:sz w:val="20"/>
          <w:lang w:val="en-US" w:eastAsia="en-US" w:bidi="ar-SA"/>
        </w:rPr>
        <w:t>Bullock</w:t>
      </w:r>
      <w:r>
        <w:rPr>
          <w:rFonts w:ascii="arial" w:eastAsia="arial" w:hAnsi="arial" w:cs="arial"/>
          <w:color w:val="000000"/>
          <w:sz w:val="20"/>
          <w:lang w:val="en-US" w:eastAsia="en-US" w:bidi="ar-SA"/>
        </w:rPr>
        <w:t xml:space="preserve"> order requires "some conduct on the part of the unsuccessful defendant in order to justify the award". Kirkpatrick J.A. did not discuss </w:t>
      </w:r>
      <w:r>
        <w:rPr>
          <w:rFonts w:ascii="arial" w:eastAsia="arial" w:hAnsi="arial" w:cs="arial"/>
          <w:i/>
          <w:color w:val="000000"/>
          <w:sz w:val="20"/>
          <w:lang w:val="en-US" w:eastAsia="en-US" w:bidi="ar-SA"/>
        </w:rPr>
        <w:t>Gill</w:t>
      </w:r>
      <w:r>
        <w:rPr>
          <w:rFonts w:ascii="arial" w:eastAsia="arial" w:hAnsi="arial" w:cs="arial"/>
          <w:color w:val="000000"/>
          <w:sz w:val="20"/>
          <w:lang w:val="en-US" w:eastAsia="en-US" w:bidi="ar-SA"/>
        </w:rPr>
        <w:t xml:space="preserve">, and did not hold that the "conduct" of the unsuccessful defendant must be found to have caused the other defendant to be joined. She then restated the test for a </w:t>
      </w:r>
      <w:r>
        <w:rPr>
          <w:rFonts w:ascii="arial" w:eastAsia="arial" w:hAnsi="arial" w:cs="arial"/>
          <w:i/>
          <w:color w:val="000000"/>
          <w:sz w:val="20"/>
          <w:lang w:val="en-US" w:eastAsia="en-US" w:bidi="ar-SA"/>
        </w:rPr>
        <w:t>Bullock</w:t>
      </w:r>
      <w:r>
        <w:rPr>
          <w:rFonts w:ascii="arial" w:eastAsia="arial" w:hAnsi="arial" w:cs="arial"/>
          <w:color w:val="000000"/>
          <w:sz w:val="20"/>
          <w:lang w:val="en-US" w:eastAsia="en-US" w:bidi="ar-SA"/>
        </w:rPr>
        <w:t xml:space="preserve"> order as having two parts: whether it was reasonable for the plaintiff to have joined the successful defendant, involving purely subjective considerations (in that case, whether it made sense to join the two actions, apart from their merit); and, whether "the order for costs would be just and fair in the circumstances". On the facts of that case, the plaintiff's claim against the successful defendant was found to have been entirely without foundation, so the </w:t>
      </w:r>
      <w:r>
        <w:rPr>
          <w:rFonts w:ascii="arial" w:eastAsia="arial" w:hAnsi="arial" w:cs="arial"/>
          <w:i/>
          <w:color w:val="000000"/>
          <w:sz w:val="20"/>
          <w:lang w:val="en-US" w:eastAsia="en-US" w:bidi="ar-SA"/>
        </w:rPr>
        <w:t>Bullock</w:t>
      </w:r>
      <w:r>
        <w:rPr>
          <w:rFonts w:ascii="arial" w:eastAsia="arial" w:hAnsi="arial" w:cs="arial"/>
          <w:color w:val="000000"/>
          <w:sz w:val="20"/>
          <w:lang w:val="en-US" w:eastAsia="en-US" w:bidi="ar-SA"/>
        </w:rPr>
        <w:t xml:space="preserve"> order was denied. I observe that it seems difficult to imagine a different result would have followed, were the question of what was just and fair simply to have been left as a matter of discretion.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Gill</w:t>
      </w:r>
      <w:r>
        <w:rPr>
          <w:rFonts w:ascii="arial" w:eastAsia="arial" w:hAnsi="arial" w:cs="arial"/>
          <w:color w:val="000000"/>
          <w:sz w:val="20"/>
          <w:lang w:val="en-US" w:eastAsia="en-US" w:bidi="ar-SA"/>
        </w:rPr>
        <w:t xml:space="preserve">'s interpretation of </w:t>
      </w:r>
      <w:r>
        <w:rPr>
          <w:rFonts w:ascii="arial" w:eastAsia="arial" w:hAnsi="arial" w:cs="arial"/>
          <w:i/>
          <w:color w:val="000000"/>
          <w:sz w:val="20"/>
          <w:lang w:val="en-US" w:eastAsia="en-US" w:bidi="ar-SA"/>
        </w:rPr>
        <w:t>Grassi</w:t>
      </w:r>
      <w:r>
        <w:rPr>
          <w:rFonts w:ascii="arial" w:eastAsia="arial" w:hAnsi="arial" w:cs="arial"/>
          <w:color w:val="000000"/>
          <w:sz w:val="20"/>
          <w:lang w:val="en-US" w:eastAsia="en-US" w:bidi="ar-SA"/>
        </w:rPr>
        <w:t xml:space="preserve"> has had a mixed reception in this court. Some decisions have treated </w:t>
      </w:r>
      <w:r>
        <w:rPr>
          <w:rFonts w:ascii="arial" w:eastAsia="arial" w:hAnsi="arial" w:cs="arial"/>
          <w:i/>
          <w:color w:val="000000"/>
          <w:sz w:val="20"/>
          <w:lang w:val="en-US" w:eastAsia="en-US" w:bidi="ar-SA"/>
        </w:rPr>
        <w:t>Gill</w:t>
      </w:r>
      <w:r>
        <w:rPr>
          <w:rFonts w:ascii="arial" w:eastAsia="arial" w:hAnsi="arial" w:cs="arial"/>
          <w:color w:val="000000"/>
          <w:sz w:val="20"/>
          <w:lang w:val="en-US" w:eastAsia="en-US" w:bidi="ar-SA"/>
        </w:rPr>
        <w:t xml:space="preserve"> as having created a new or modified threshold test for </w:t>
      </w:r>
      <w:r>
        <w:rPr>
          <w:rFonts w:ascii="arial" w:eastAsia="arial" w:hAnsi="arial" w:cs="arial"/>
          <w:i/>
          <w:color w:val="000000"/>
          <w:sz w:val="20"/>
          <w:lang w:val="en-US" w:eastAsia="en-US" w:bidi="ar-SA"/>
        </w:rPr>
        <w:t>Bullock</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Sanderson</w:t>
      </w:r>
      <w:r>
        <w:rPr>
          <w:rFonts w:ascii="arial" w:eastAsia="arial" w:hAnsi="arial" w:cs="arial"/>
          <w:color w:val="000000"/>
          <w:sz w:val="20"/>
          <w:lang w:val="en-US" w:eastAsia="en-US" w:bidi="ar-SA"/>
        </w:rPr>
        <w:t xml:space="preserve"> orders: see </w:t>
      </w:r>
      <w:r>
        <w:rPr>
          <w:rFonts w:ascii="arial" w:eastAsia="arial" w:hAnsi="arial" w:cs="arial"/>
          <w:i/>
          <w:color w:val="000000"/>
          <w:sz w:val="20"/>
          <w:lang w:val="en-US" w:eastAsia="en-US" w:bidi="ar-SA"/>
        </w:rPr>
        <w:t>Bratanich v. Daisley; Bratanich v. Lang</w:t>
      </w:r>
      <w:r>
        <w:rPr>
          <w:rFonts w:ascii="arial" w:eastAsia="arial" w:hAnsi="arial" w:cs="arial"/>
          <w:color w:val="000000"/>
          <w:sz w:val="20"/>
          <w:lang w:val="en-US" w:eastAsia="en-US" w:bidi="ar-SA"/>
        </w:rPr>
        <w:t xml:space="preserve">, </w:t>
      </w:r>
      <w:hyperlink r:id="rId401" w:history="1">
        <w:r>
          <w:rPr>
            <w:rFonts w:ascii="arial" w:eastAsia="arial" w:hAnsi="arial" w:cs="arial"/>
            <w:i/>
            <w:color w:val="0077CC"/>
            <w:sz w:val="20"/>
            <w:u w:val="single"/>
            <w:shd w:val="clear" w:color="auto" w:fill="FFFFFF"/>
            <w:lang w:val="en-US" w:eastAsia="en-US" w:bidi="ar-SA"/>
          </w:rPr>
          <w:t>2006 BCSC 843</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Houston v. O'Connor</w:t>
      </w:r>
      <w:r>
        <w:rPr>
          <w:rFonts w:ascii="arial" w:eastAsia="arial" w:hAnsi="arial" w:cs="arial"/>
          <w:color w:val="000000"/>
          <w:sz w:val="20"/>
          <w:lang w:val="en-US" w:eastAsia="en-US" w:bidi="ar-SA"/>
        </w:rPr>
        <w:t xml:space="preserve">, </w:t>
      </w:r>
      <w:hyperlink r:id="rId402" w:history="1">
        <w:r>
          <w:rPr>
            <w:rFonts w:ascii="arial" w:eastAsia="arial" w:hAnsi="arial" w:cs="arial"/>
            <w:i/>
            <w:color w:val="0077CC"/>
            <w:sz w:val="20"/>
            <w:u w:val="single"/>
            <w:shd w:val="clear" w:color="auto" w:fill="FFFFFF"/>
            <w:lang w:val="en-US" w:eastAsia="en-US" w:bidi="ar-SA"/>
          </w:rPr>
          <w:t>2011 BCSC 509</w:t>
        </w:r>
      </w:hyperlink>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Home Equity et al. v. Crow et al.,</w:t>
      </w:r>
      <w:r>
        <w:rPr>
          <w:rFonts w:ascii="arial" w:eastAsia="arial" w:hAnsi="arial" w:cs="arial"/>
          <w:color w:val="000000"/>
          <w:sz w:val="20"/>
          <w:lang w:val="en-US" w:eastAsia="en-US" w:bidi="ar-SA"/>
        </w:rPr>
        <w:t xml:space="preserve"> </w:t>
      </w:r>
      <w:hyperlink r:id="rId403" w:history="1">
        <w:r>
          <w:rPr>
            <w:rFonts w:ascii="arial" w:eastAsia="arial" w:hAnsi="arial" w:cs="arial"/>
            <w:i/>
            <w:color w:val="0077CC"/>
            <w:sz w:val="20"/>
            <w:u w:val="single"/>
            <w:shd w:val="clear" w:color="auto" w:fill="FFFFFF"/>
            <w:lang w:val="en-US" w:eastAsia="en-US" w:bidi="ar-SA"/>
          </w:rPr>
          <w:t>2005 BCSC 743</w:t>
        </w:r>
      </w:hyperlink>
      <w:r>
        <w:rPr>
          <w:rFonts w:ascii="arial" w:eastAsia="arial" w:hAnsi="arial" w:cs="arial"/>
          <w:color w:val="000000"/>
          <w:sz w:val="20"/>
          <w:lang w:val="en-US" w:eastAsia="en-US" w:bidi="ar-SA"/>
        </w:rPr>
        <w:t xml:space="preserve">, Justice Davies noted that </w:t>
      </w:r>
      <w:r>
        <w:rPr>
          <w:rFonts w:ascii="arial" w:eastAsia="arial" w:hAnsi="arial" w:cs="arial"/>
          <w:i/>
          <w:color w:val="000000"/>
          <w:sz w:val="20"/>
          <w:lang w:val="en-US" w:eastAsia="en-US" w:bidi="ar-SA"/>
        </w:rPr>
        <w:t>Grassi</w:t>
      </w:r>
      <w:r>
        <w:rPr>
          <w:rFonts w:ascii="arial" w:eastAsia="arial" w:hAnsi="arial" w:cs="arial"/>
          <w:color w:val="000000"/>
          <w:sz w:val="20"/>
          <w:lang w:val="en-US" w:eastAsia="en-US" w:bidi="ar-SA"/>
        </w:rPr>
        <w:t xml:space="preserve"> had not been considered in </w:t>
      </w:r>
      <w:r>
        <w:rPr>
          <w:rFonts w:ascii="arial" w:eastAsia="arial" w:hAnsi="arial" w:cs="arial"/>
          <w:i/>
          <w:color w:val="000000"/>
          <w:sz w:val="20"/>
          <w:lang w:val="en-US" w:eastAsia="en-US" w:bidi="ar-SA"/>
        </w:rPr>
        <w:t>Times Square</w:t>
      </w:r>
      <w:r>
        <w:rPr>
          <w:rFonts w:ascii="arial" w:eastAsia="arial" w:hAnsi="arial" w:cs="arial"/>
          <w:color w:val="000000"/>
          <w:sz w:val="20"/>
          <w:lang w:val="en-US" w:eastAsia="en-US" w:bidi="ar-SA"/>
        </w:rPr>
        <w:t xml:space="preserve">, and further noted that Low J.A. -- who had decided </w:t>
      </w:r>
      <w:r>
        <w:rPr>
          <w:rFonts w:ascii="arial" w:eastAsia="arial" w:hAnsi="arial" w:cs="arial"/>
          <w:i/>
          <w:color w:val="000000"/>
          <w:sz w:val="20"/>
          <w:lang w:val="en-US" w:eastAsia="en-US" w:bidi="ar-SA"/>
        </w:rPr>
        <w:t>Gill</w:t>
      </w:r>
      <w:r>
        <w:rPr>
          <w:rFonts w:ascii="arial" w:eastAsia="arial" w:hAnsi="arial" w:cs="arial"/>
          <w:color w:val="000000"/>
          <w:sz w:val="20"/>
          <w:lang w:val="en-US" w:eastAsia="en-US" w:bidi="ar-SA"/>
        </w:rPr>
        <w:t xml:space="preserve"> -- had been a member of the panel in </w:t>
      </w:r>
      <w:r>
        <w:rPr>
          <w:rFonts w:ascii="arial" w:eastAsia="arial" w:hAnsi="arial" w:cs="arial"/>
          <w:i/>
          <w:color w:val="000000"/>
          <w:sz w:val="20"/>
          <w:lang w:val="en-US" w:eastAsia="en-US" w:bidi="ar-SA"/>
        </w:rPr>
        <w:t>Times Square.</w:t>
      </w:r>
      <w:r>
        <w:rPr>
          <w:rFonts w:ascii="arial" w:eastAsia="arial" w:hAnsi="arial" w:cs="arial"/>
          <w:color w:val="000000"/>
          <w:sz w:val="20"/>
          <w:lang w:val="en-US" w:eastAsia="en-US" w:bidi="ar-SA"/>
        </w:rPr>
        <w:t xml:space="preserve"> He therefore held that </w:t>
      </w:r>
      <w:r>
        <w:rPr>
          <w:rFonts w:ascii="arial" w:eastAsia="arial" w:hAnsi="arial" w:cs="arial"/>
          <w:i/>
          <w:color w:val="000000"/>
          <w:sz w:val="20"/>
          <w:lang w:val="en-US" w:eastAsia="en-US" w:bidi="ar-SA"/>
        </w:rPr>
        <w:t>Grassi</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Gill</w:t>
      </w:r>
      <w:r>
        <w:rPr>
          <w:rFonts w:ascii="arial" w:eastAsia="arial" w:hAnsi="arial" w:cs="arial"/>
          <w:color w:val="000000"/>
          <w:sz w:val="20"/>
          <w:lang w:val="en-US" w:eastAsia="en-US" w:bidi="ar-SA"/>
        </w:rPr>
        <w:t xml:space="preserve"> should be followed, over </w:t>
      </w:r>
      <w:r>
        <w:rPr>
          <w:rFonts w:ascii="arial" w:eastAsia="arial" w:hAnsi="arial" w:cs="arial"/>
          <w:i/>
          <w:color w:val="000000"/>
          <w:sz w:val="20"/>
          <w:lang w:val="en-US" w:eastAsia="en-US" w:bidi="ar-SA"/>
        </w:rPr>
        <w:t>Times Square.</w:t>
      </w:r>
      <w:r>
        <w:rPr>
          <w:rFonts w:ascii="arial" w:eastAsia="arial" w:hAnsi="arial" w:cs="arial"/>
          <w:color w:val="000000"/>
          <w:sz w:val="20"/>
          <w:lang w:val="en-US" w:eastAsia="en-US" w:bidi="ar-SA"/>
        </w:rPr>
        <w:t xml:space="preserve"> He did not, however, consider the implications of </w:t>
      </w:r>
      <w:r>
        <w:rPr>
          <w:rFonts w:ascii="arial" w:eastAsia="arial" w:hAnsi="arial" w:cs="arial"/>
          <w:i/>
          <w:color w:val="000000"/>
          <w:sz w:val="20"/>
          <w:lang w:val="en-US" w:eastAsia="en-US" w:bidi="ar-SA"/>
        </w:rPr>
        <w:t>Grassi</w:t>
      </w:r>
      <w:r>
        <w:rPr>
          <w:rFonts w:ascii="arial" w:eastAsia="arial" w:hAnsi="arial" w:cs="arial"/>
          <w:color w:val="000000"/>
          <w:sz w:val="20"/>
          <w:lang w:val="en-US" w:eastAsia="en-US" w:bidi="ar-SA"/>
        </w:rPr>
        <w:t xml:space="preserve"> not having considered </w:t>
      </w:r>
      <w:r>
        <w:rPr>
          <w:rFonts w:ascii="arial" w:eastAsia="arial" w:hAnsi="arial" w:cs="arial"/>
          <w:i/>
          <w:color w:val="000000"/>
          <w:sz w:val="20"/>
          <w:lang w:val="en-US" w:eastAsia="en-US" w:bidi="ar-SA"/>
        </w:rPr>
        <w:t>Robertson</w:t>
      </w:r>
      <w:r>
        <w:rPr>
          <w:rFonts w:ascii="arial" w:eastAsia="arial" w:hAnsi="arial" w:cs="arial"/>
          <w:color w:val="000000"/>
          <w:sz w:val="20"/>
          <w:lang w:val="en-US" w:eastAsia="en-US" w:bidi="ar-SA"/>
        </w:rPr>
        <w:t xml:space="preserve">, or </w:t>
      </w:r>
      <w:r>
        <w:rPr>
          <w:rFonts w:ascii="arial" w:eastAsia="arial" w:hAnsi="arial" w:cs="arial"/>
          <w:i/>
          <w:color w:val="000000"/>
          <w:sz w:val="20"/>
          <w:lang w:val="en-US" w:eastAsia="en-US" w:bidi="ar-SA"/>
        </w:rPr>
        <w:t>Voest-Alpine</w:t>
      </w:r>
      <w:r>
        <w:rPr>
          <w:rFonts w:ascii="arial" w:eastAsia="arial" w:hAnsi="arial" w:cs="arial"/>
          <w:color w:val="000000"/>
          <w:sz w:val="20"/>
          <w:lang w:val="en-US" w:eastAsia="en-US" w:bidi="ar-SA"/>
        </w:rPr>
        <w:t xml:space="preserve">, or the Supreme Court of Canada's decision in </w:t>
      </w:r>
      <w:r>
        <w:rPr>
          <w:rFonts w:ascii="arial" w:eastAsia="arial" w:hAnsi="arial" w:cs="arial"/>
          <w:i/>
          <w:color w:val="000000"/>
          <w:sz w:val="20"/>
          <w:lang w:val="en-US" w:eastAsia="en-US" w:bidi="ar-SA"/>
        </w:rPr>
        <w:t>Hanson.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A different approach was taken by Justice Cole in </w:t>
      </w:r>
      <w:r>
        <w:rPr>
          <w:rFonts w:ascii="arial" w:eastAsia="arial" w:hAnsi="arial" w:cs="arial"/>
          <w:i/>
          <w:color w:val="000000"/>
          <w:sz w:val="20"/>
          <w:lang w:val="en-US" w:eastAsia="en-US" w:bidi="ar-SA"/>
        </w:rPr>
        <w:t>Bewza v. Kershaw</w:t>
      </w:r>
      <w:r>
        <w:rPr>
          <w:rFonts w:ascii="arial" w:eastAsia="arial" w:hAnsi="arial" w:cs="arial"/>
          <w:color w:val="000000"/>
          <w:sz w:val="20"/>
          <w:lang w:val="en-US" w:eastAsia="en-US" w:bidi="ar-SA"/>
        </w:rPr>
        <w:t xml:space="preserve">, </w:t>
      </w:r>
      <w:hyperlink r:id="rId404" w:history="1">
        <w:r>
          <w:rPr>
            <w:rFonts w:ascii="arial" w:eastAsia="arial" w:hAnsi="arial" w:cs="arial"/>
            <w:i/>
            <w:color w:val="0077CC"/>
            <w:sz w:val="20"/>
            <w:u w:val="single"/>
            <w:shd w:val="clear" w:color="auto" w:fill="FFFFFF"/>
            <w:lang w:val="en-US" w:eastAsia="en-US" w:bidi="ar-SA"/>
          </w:rPr>
          <w:t>2007 BCSC 775</w:t>
        </w:r>
      </w:hyperlink>
      <w:r>
        <w:rPr>
          <w:rFonts w:ascii="arial" w:eastAsia="arial" w:hAnsi="arial" w:cs="arial"/>
          <w:color w:val="000000"/>
          <w:sz w:val="20"/>
          <w:lang w:val="en-US" w:eastAsia="en-US" w:bidi="ar-SA"/>
        </w:rPr>
        <w:t xml:space="preserve">, a case in which one defendant was alleged to have intentionally injured the plaintiff with his motor vehicle, and the other to have injured the plaintiff in a physical confrontation that followed. The claim against the driver was allowed; the claim against the alleged assailant was dismissed. Before and after the trial, the plaintiff had proposed discontinuing against the alleged assailant, but the driver had withheld consent. Cole J. found that nothing in the conduct of the driver had caused the plaintiff to add the alleged assailant. Referencing </w:t>
      </w:r>
      <w:r>
        <w:rPr>
          <w:rFonts w:ascii="arial" w:eastAsia="arial" w:hAnsi="arial" w:cs="arial"/>
          <w:i/>
          <w:color w:val="000000"/>
          <w:sz w:val="20"/>
          <w:lang w:val="en-US" w:eastAsia="en-US" w:bidi="ar-SA"/>
        </w:rPr>
        <w:t>Robertson</w:t>
      </w:r>
      <w:r>
        <w:rPr>
          <w:rFonts w:ascii="arial" w:eastAsia="arial" w:hAnsi="arial" w:cs="arial"/>
          <w:color w:val="000000"/>
          <w:sz w:val="20"/>
          <w:lang w:val="en-US" w:eastAsia="en-US" w:bidi="ar-SA"/>
        </w:rPr>
        <w:t xml:space="preserve">, and quoting from passages in </w:t>
      </w:r>
      <w:r>
        <w:rPr>
          <w:rFonts w:ascii="arial" w:eastAsia="arial" w:hAnsi="arial" w:cs="arial"/>
          <w:i/>
          <w:color w:val="000000"/>
          <w:sz w:val="20"/>
          <w:lang w:val="en-US" w:eastAsia="en-US" w:bidi="ar-SA"/>
        </w:rPr>
        <w:t>Gill</w:t>
      </w:r>
      <w:r>
        <w:rPr>
          <w:rFonts w:ascii="arial" w:eastAsia="arial" w:hAnsi="arial" w:cs="arial"/>
          <w:color w:val="000000"/>
          <w:sz w:val="20"/>
          <w:lang w:val="en-US" w:eastAsia="en-US" w:bidi="ar-SA"/>
        </w:rPr>
        <w:t xml:space="preserve"> -- though, not </w:t>
      </w:r>
      <w:r>
        <w:rPr>
          <w:rFonts w:ascii="arial" w:eastAsia="arial" w:hAnsi="arial" w:cs="arial"/>
          <w:i/>
          <w:color w:val="000000"/>
          <w:sz w:val="20"/>
          <w:lang w:val="en-US" w:eastAsia="en-US" w:bidi="ar-SA"/>
        </w:rPr>
        <w:t>Gill</w:t>
      </w:r>
      <w:r>
        <w:rPr>
          <w:rFonts w:ascii="arial" w:eastAsia="arial" w:hAnsi="arial" w:cs="arial"/>
          <w:color w:val="000000"/>
          <w:sz w:val="20"/>
          <w:lang w:val="en-US" w:eastAsia="en-US" w:bidi="ar-SA"/>
        </w:rPr>
        <w:t xml:space="preserve">'s requirement that the driver be found to have brought about the claim against the co-defendant -- and emphasizing the language in </w:t>
      </w:r>
      <w:r>
        <w:rPr>
          <w:rFonts w:ascii="arial" w:eastAsia="arial" w:hAnsi="arial" w:cs="arial"/>
          <w:i/>
          <w:color w:val="000000"/>
          <w:sz w:val="20"/>
          <w:lang w:val="en-US" w:eastAsia="en-US" w:bidi="ar-SA"/>
        </w:rPr>
        <w:t>Bullock</w:t>
      </w:r>
      <w:r>
        <w:rPr>
          <w:rFonts w:ascii="arial" w:eastAsia="arial" w:hAnsi="arial" w:cs="arial"/>
          <w:color w:val="000000"/>
          <w:sz w:val="20"/>
          <w:lang w:val="en-US" w:eastAsia="en-US" w:bidi="ar-SA"/>
        </w:rPr>
        <w:t xml:space="preserve"> as to the "attitude" of the unsuccessful defendant, he held that the driver's failure to consent to the discontinuance warranted a </w:t>
      </w:r>
      <w:r>
        <w:rPr>
          <w:rFonts w:ascii="arial" w:eastAsia="arial" w:hAnsi="arial" w:cs="arial"/>
          <w:i/>
          <w:color w:val="000000"/>
          <w:sz w:val="20"/>
          <w:lang w:val="en-US" w:eastAsia="en-US" w:bidi="ar-SA"/>
        </w:rPr>
        <w:t>Bullock</w:t>
      </w:r>
      <w:r>
        <w:rPr>
          <w:rFonts w:ascii="arial" w:eastAsia="arial" w:hAnsi="arial" w:cs="arial"/>
          <w:color w:val="000000"/>
          <w:sz w:val="20"/>
          <w:lang w:val="en-US" w:eastAsia="en-US" w:bidi="ar-SA"/>
        </w:rPr>
        <w:t xml:space="preserve">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Another approach is suggested by the decision of Justice Burnyeat in </w:t>
      </w:r>
      <w:r>
        <w:rPr>
          <w:rFonts w:ascii="arial" w:eastAsia="arial" w:hAnsi="arial" w:cs="arial"/>
          <w:i/>
          <w:color w:val="000000"/>
          <w:sz w:val="20"/>
          <w:lang w:val="en-US" w:eastAsia="en-US" w:bidi="ar-SA"/>
        </w:rPr>
        <w:t>Camaso v. Egan</w:t>
      </w:r>
      <w:r>
        <w:rPr>
          <w:rFonts w:ascii="arial" w:eastAsia="arial" w:hAnsi="arial" w:cs="arial"/>
          <w:color w:val="000000"/>
          <w:sz w:val="20"/>
          <w:lang w:val="en-US" w:eastAsia="en-US" w:bidi="ar-SA"/>
        </w:rPr>
        <w:t xml:space="preserve">, </w:t>
      </w:r>
      <w:hyperlink r:id="rId405" w:history="1">
        <w:r>
          <w:rPr>
            <w:rFonts w:ascii="arial" w:eastAsia="arial" w:hAnsi="arial" w:cs="arial"/>
            <w:i/>
            <w:color w:val="0077CC"/>
            <w:sz w:val="20"/>
            <w:u w:val="single"/>
            <w:shd w:val="clear" w:color="auto" w:fill="FFFFFF"/>
            <w:lang w:val="en-US" w:eastAsia="en-US" w:bidi="ar-SA"/>
          </w:rPr>
          <w:t>2011 BCSC 954</w:t>
        </w:r>
      </w:hyperlink>
      <w:r>
        <w:rPr>
          <w:rFonts w:ascii="arial" w:eastAsia="arial" w:hAnsi="arial" w:cs="arial"/>
          <w:color w:val="000000"/>
          <w:sz w:val="20"/>
          <w:lang w:val="en-US" w:eastAsia="en-US" w:bidi="ar-SA"/>
        </w:rPr>
        <w:t xml:space="preserve">, a police shooting case in which the defendant police constable was found to have been negligent in shooting the deceased, and the defendant municipality vicariously liable, with claims against other defendants being dismissed. Burnyeat J. held that the police constable should be liable for the costs of one Morris, an emergency services attendant. Burnyeat J. considered </w:t>
      </w:r>
      <w:r>
        <w:rPr>
          <w:rFonts w:ascii="arial" w:eastAsia="arial" w:hAnsi="arial" w:cs="arial"/>
          <w:i/>
          <w:color w:val="000000"/>
          <w:sz w:val="20"/>
          <w:lang w:val="en-US" w:eastAsia="en-US" w:bidi="ar-SA"/>
        </w:rPr>
        <w:t>Robertson, Grassi</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Home Equity</w:t>
      </w:r>
      <w:r>
        <w:rPr>
          <w:rFonts w:ascii="arial" w:eastAsia="arial" w:hAnsi="arial" w:cs="arial"/>
          <w:color w:val="000000"/>
          <w:sz w:val="20"/>
          <w:lang w:val="en-US" w:eastAsia="en-US" w:bidi="ar-SA"/>
        </w:rPr>
        <w:t xml:space="preserve">, and found that the "defendant's conduct" component of the threshold test was satisfied simply through considering the nature of the constable's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[29] In accordance with the principle set out in </w:t>
      </w:r>
      <w:r>
        <w:rPr>
          <w:rFonts w:ascii="arial" w:eastAsia="arial" w:hAnsi="arial" w:cs="arial"/>
          <w:i/>
          <w:color w:val="000000"/>
          <w:sz w:val="20"/>
          <w:lang w:val="en-US" w:eastAsia="en-US" w:bidi="ar-SA"/>
        </w:rPr>
        <w:t>Grassi, supra</w:t>
      </w:r>
      <w:r>
        <w:rPr>
          <w:rFonts w:ascii="arial" w:eastAsia="arial" w:hAnsi="arial" w:cs="arial"/>
          <w:color w:val="000000"/>
          <w:sz w:val="20"/>
          <w:lang w:val="en-US" w:eastAsia="en-US" w:bidi="ar-SA"/>
        </w:rPr>
        <w:t>, I am satisfied that orders under Rule 14-1(18) are not limited to cases where one defendant has blamed the other. On the bases of the acts of Constable Dukeshire, it was reasonable for the Plaintiffs to join Mr. Morris in order that the question of liability for the death of Mr. Camaso could be "thoroughly threshed out". I am satisfied that this is not a case where the Plaintiffs alleged independent causes of action against two defendants, and that the two breaches of duty were in no way connected.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[30] ... The acts of Constable Dukeshire which caused Mr. Morris to be brought into the litigation as a Defendant were his partial reliance on Mr. Morris for information he had about Mr. Camaso, the failure of Constable Dukeshire to prohibit Mr. Morris from continuing his pursuit of Mr. Camaso, the failure to ascertain from Mr. Morris the emotional and physical state of Mr. Camaso, and the failure to ascertain from Mr. Morris the ability or inability of Mr. Camaso to understand English. In this regard, I take the statement of Southin J.A. in </w:t>
      </w:r>
      <w:r>
        <w:rPr>
          <w:rFonts w:ascii="arial" w:eastAsia="arial" w:hAnsi="arial" w:cs="arial"/>
          <w:i/>
          <w:color w:val="000000"/>
          <w:sz w:val="20"/>
          <w:lang w:val="en-US" w:eastAsia="en-US" w:bidi="ar-SA"/>
        </w:rPr>
        <w:t>Grassi, supra</w:t>
      </w:r>
      <w:r>
        <w:rPr>
          <w:rFonts w:ascii="arial" w:eastAsia="arial" w:hAnsi="arial" w:cs="arial"/>
          <w:color w:val="000000"/>
          <w:sz w:val="20"/>
          <w:lang w:val="en-US" w:eastAsia="en-US" w:bidi="ar-SA"/>
        </w:rPr>
        <w:t xml:space="preserve">, at para. 34, to include acts and omissions. In the unique circumstances of this case, I am satisfied that it is just and fair to make a </w:t>
      </w:r>
      <w:r>
        <w:rPr>
          <w:rFonts w:ascii="arial" w:eastAsia="arial" w:hAnsi="arial" w:cs="arial"/>
          <w:i/>
          <w:color w:val="000000"/>
          <w:sz w:val="20"/>
          <w:lang w:val="en-US" w:eastAsia="en-US" w:bidi="ar-SA"/>
        </w:rPr>
        <w:t>Sanderson</w:t>
      </w:r>
      <w:r>
        <w:rPr>
          <w:rFonts w:ascii="arial" w:eastAsia="arial" w:hAnsi="arial" w:cs="arial"/>
          <w:color w:val="000000"/>
          <w:sz w:val="20"/>
          <w:lang w:val="en-US" w:eastAsia="en-US" w:bidi="ar-SA"/>
        </w:rPr>
        <w:t xml:space="preserve"> Order or a </w:t>
      </w:r>
      <w:r>
        <w:rPr>
          <w:rFonts w:ascii="arial" w:eastAsia="arial" w:hAnsi="arial" w:cs="arial"/>
          <w:i/>
          <w:color w:val="000000"/>
          <w:sz w:val="20"/>
          <w:lang w:val="en-US" w:eastAsia="en-US" w:bidi="ar-SA"/>
        </w:rPr>
        <w:t>Bullock</w:t>
      </w:r>
      <w:r>
        <w:rPr>
          <w:rFonts w:ascii="arial" w:eastAsia="arial" w:hAnsi="arial" w:cs="arial"/>
          <w:color w:val="000000"/>
          <w:sz w:val="20"/>
          <w:lang w:val="en-US" w:eastAsia="en-US" w:bidi="ar-SA"/>
        </w:rPr>
        <w:t xml:space="preserve">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(The liability finding against the constable was overturned on appeal, and the court expressly declined to comment on the costs issues raised by the appellants: see </w:t>
      </w:r>
      <w:r>
        <w:rPr>
          <w:rFonts w:ascii="arial" w:eastAsia="arial" w:hAnsi="arial" w:cs="arial"/>
          <w:i/>
          <w:color w:val="000000"/>
          <w:sz w:val="20"/>
          <w:lang w:val="en-US" w:eastAsia="en-US" w:bidi="ar-SA"/>
        </w:rPr>
        <w:t>Camaso Estate v. Saanich (District)</w:t>
      </w:r>
      <w:r>
        <w:rPr>
          <w:rFonts w:ascii="arial" w:eastAsia="arial" w:hAnsi="arial" w:cs="arial"/>
          <w:color w:val="000000"/>
          <w:sz w:val="20"/>
          <w:lang w:val="en-US" w:eastAsia="en-US" w:bidi="ar-SA"/>
        </w:rPr>
        <w:t xml:space="preserve">, </w:t>
      </w:r>
      <w:hyperlink r:id="rId406" w:history="1">
        <w:r>
          <w:rPr>
            <w:rFonts w:ascii="arial" w:eastAsia="arial" w:hAnsi="arial" w:cs="arial"/>
            <w:i/>
            <w:color w:val="0077CC"/>
            <w:sz w:val="20"/>
            <w:u w:val="single"/>
            <w:shd w:val="clear" w:color="auto" w:fill="FFFFFF"/>
            <w:lang w:val="en-US" w:eastAsia="en-US" w:bidi="ar-SA"/>
          </w:rPr>
          <w:t>2013 BCCA 6</w:t>
        </w:r>
      </w:hyperlink>
      <w:r>
        <w:rPr>
          <w:rFonts w:ascii="arial" w:eastAsia="arial" w:hAnsi="arial" w:cs="arial"/>
          <w:color w:val="000000"/>
          <w:sz w:val="20"/>
          <w:lang w:val="en-US" w:eastAsia="en-US" w:bidi="ar-SA"/>
        </w:rPr>
        <w:t xml:space="preserve"> at para. 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Similarly, in </w:t>
      </w:r>
      <w:r>
        <w:rPr>
          <w:rFonts w:ascii="arial" w:eastAsia="arial" w:hAnsi="arial" w:cs="arial"/>
          <w:i/>
          <w:color w:val="000000"/>
          <w:sz w:val="20"/>
          <w:lang w:val="en-US" w:eastAsia="en-US" w:bidi="ar-SA"/>
        </w:rPr>
        <w:t>Bakker v. Nahanee</w:t>
      </w:r>
      <w:r>
        <w:rPr>
          <w:rFonts w:ascii="arial" w:eastAsia="arial" w:hAnsi="arial" w:cs="arial"/>
          <w:color w:val="000000"/>
          <w:sz w:val="20"/>
          <w:lang w:val="en-US" w:eastAsia="en-US" w:bidi="ar-SA"/>
        </w:rPr>
        <w:t xml:space="preserve">, </w:t>
      </w:r>
      <w:hyperlink r:id="rId407" w:history="1">
        <w:r>
          <w:rPr>
            <w:rFonts w:ascii="arial" w:eastAsia="arial" w:hAnsi="arial" w:cs="arial"/>
            <w:i/>
            <w:color w:val="0077CC"/>
            <w:sz w:val="20"/>
            <w:u w:val="single"/>
            <w:shd w:val="clear" w:color="auto" w:fill="FFFFFF"/>
            <w:lang w:val="en-US" w:eastAsia="en-US" w:bidi="ar-SA"/>
          </w:rPr>
          <w:t>2012 BCSC 825</w:t>
        </w:r>
      </w:hyperlink>
      <w:r>
        <w:rPr>
          <w:rFonts w:ascii="arial" w:eastAsia="arial" w:hAnsi="arial" w:cs="arial"/>
          <w:color w:val="000000"/>
          <w:sz w:val="20"/>
          <w:lang w:val="en-US" w:eastAsia="en-US" w:bidi="ar-SA"/>
        </w:rPr>
        <w:t xml:space="preserve">, a case of a motor vehicle accident involving a stolen vehicle, Justice Fitzpatrick, after reviewing </w:t>
      </w:r>
      <w:r>
        <w:rPr>
          <w:rFonts w:ascii="arial" w:eastAsia="arial" w:hAnsi="arial" w:cs="arial"/>
          <w:i/>
          <w:color w:val="000000"/>
          <w:sz w:val="20"/>
          <w:lang w:val="en-US" w:eastAsia="en-US" w:bidi="ar-SA"/>
        </w:rPr>
        <w:t>Robertson, Grassi</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Davidson</w:t>
      </w:r>
      <w:r>
        <w:rPr>
          <w:rFonts w:ascii="arial" w:eastAsia="arial" w:hAnsi="arial" w:cs="arial"/>
          <w:color w:val="000000"/>
          <w:sz w:val="20"/>
          <w:lang w:val="en-US" w:eastAsia="en-US" w:bidi="ar-SA"/>
        </w:rPr>
        <w:t>, appears to have found the "defendant's conduct" test to have been satisfied by the circumstances of the tort: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[59] The simple fact is that Mr. Nahanee stole Ms. Ang's car. By doing so, he squarely put in issue whether Ms. Ang and GMAC, as the lessee and lessor of that vehicle, were vicariously liable in those circumstances. In that sense, it was his conduct that caused them to be named. In my view, the causes of action were also related or connected in the sense that the actions of Mr. Nahanee gave rise to issues not only in relation to himself, but to Ms. Ang and GMAC. I consider that it was reasonable for Mr. Bakker to have named Ms. Ang and GMAC so that all potential parties who might be liable for the accident were brought into the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I note that in the current looseleaf edition of </w:t>
      </w:r>
      <w:r>
        <w:rPr>
          <w:rFonts w:ascii="arial" w:eastAsia="arial" w:hAnsi="arial" w:cs="arial"/>
          <w:i/>
          <w:color w:val="000000"/>
          <w:sz w:val="20"/>
          <w:lang w:val="en-US" w:eastAsia="en-US" w:bidi="ar-SA"/>
        </w:rPr>
        <w:t>The Conduct of Civil Litigation in British Columbia</w:t>
      </w:r>
      <w:r>
        <w:rPr>
          <w:rFonts w:ascii="arial" w:eastAsia="arial" w:hAnsi="arial" w:cs="arial"/>
          <w:color w:val="000000"/>
          <w:sz w:val="20"/>
          <w:lang w:val="en-US" w:eastAsia="en-US" w:bidi="ar-SA"/>
        </w:rPr>
        <w:t xml:space="preserve"> the authors summarize the state of the law as involving two threshold tests: whether it was reasonable for the plaintiff to join the ultimately successful defendant, in order that the matter might be thoroughly threshed out (citing </w:t>
      </w:r>
      <w:r>
        <w:rPr>
          <w:rFonts w:ascii="arial" w:eastAsia="arial" w:hAnsi="arial" w:cs="arial"/>
          <w:i/>
          <w:color w:val="000000"/>
          <w:sz w:val="20"/>
          <w:lang w:val="en-US" w:eastAsia="en-US" w:bidi="ar-SA"/>
        </w:rPr>
        <w:t>Besterman</w:t>
      </w:r>
      <w:r>
        <w:rPr>
          <w:rFonts w:ascii="arial" w:eastAsia="arial" w:hAnsi="arial" w:cs="arial"/>
          <w:color w:val="000000"/>
          <w:sz w:val="20"/>
          <w:lang w:val="en-US" w:eastAsia="en-US" w:bidi="ar-SA"/>
        </w:rPr>
        <w:t xml:space="preserve">); and, whether there was something the unsuccessful defendant did, such as asserting the other defendant was the culprit, to warrant the order (citing </w:t>
      </w:r>
      <w:r>
        <w:rPr>
          <w:rFonts w:ascii="arial" w:eastAsia="arial" w:hAnsi="arial" w:cs="arial"/>
          <w:i/>
          <w:color w:val="000000"/>
          <w:sz w:val="20"/>
          <w:lang w:val="en-US" w:eastAsia="en-US" w:bidi="ar-SA"/>
        </w:rPr>
        <w:t>Voest-Alpine, Grassi</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Gill</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Given that </w:t>
      </w:r>
      <w:r>
        <w:rPr>
          <w:rFonts w:ascii="arial" w:eastAsia="arial" w:hAnsi="arial" w:cs="arial"/>
          <w:i/>
          <w:color w:val="000000"/>
          <w:sz w:val="20"/>
          <w:lang w:val="en-US" w:eastAsia="en-US" w:bidi="ar-SA"/>
        </w:rPr>
        <w:t>Robertson</w:t>
      </w:r>
      <w:r>
        <w:rPr>
          <w:rFonts w:ascii="arial" w:eastAsia="arial" w:hAnsi="arial" w:cs="arial"/>
          <w:color w:val="000000"/>
          <w:sz w:val="20"/>
          <w:lang w:val="en-US" w:eastAsia="en-US" w:bidi="ar-SA"/>
        </w:rPr>
        <w:t xml:space="preserve"> has never been expressly overruled by the Court of Appeal, I do not, with the greatest respect, view </w:t>
      </w:r>
      <w:r>
        <w:rPr>
          <w:rFonts w:ascii="arial" w:eastAsia="arial" w:hAnsi="arial" w:cs="arial"/>
          <w:i/>
          <w:color w:val="000000"/>
          <w:sz w:val="20"/>
          <w:lang w:val="en-US" w:eastAsia="en-US" w:bidi="ar-SA"/>
        </w:rPr>
        <w:t>Grassi</w:t>
      </w:r>
      <w:r>
        <w:rPr>
          <w:rFonts w:ascii="arial" w:eastAsia="arial" w:hAnsi="arial" w:cs="arial"/>
          <w:color w:val="000000"/>
          <w:sz w:val="20"/>
          <w:lang w:val="en-US" w:eastAsia="en-US" w:bidi="ar-SA"/>
        </w:rPr>
        <w:t xml:space="preserve"> or </w:t>
      </w:r>
      <w:r>
        <w:rPr>
          <w:rFonts w:ascii="arial" w:eastAsia="arial" w:hAnsi="arial" w:cs="arial"/>
          <w:i/>
          <w:color w:val="000000"/>
          <w:sz w:val="20"/>
          <w:lang w:val="en-US" w:eastAsia="en-US" w:bidi="ar-SA"/>
        </w:rPr>
        <w:t>Gill</w:t>
      </w:r>
      <w:r>
        <w:rPr>
          <w:rFonts w:ascii="arial" w:eastAsia="arial" w:hAnsi="arial" w:cs="arial"/>
          <w:color w:val="000000"/>
          <w:sz w:val="20"/>
          <w:lang w:val="en-US" w:eastAsia="en-US" w:bidi="ar-SA"/>
        </w:rPr>
        <w:t xml:space="preserve"> as having created binding rules for the making of </w:t>
      </w:r>
      <w:r>
        <w:rPr>
          <w:rFonts w:ascii="arial" w:eastAsia="arial" w:hAnsi="arial" w:cs="arial"/>
          <w:i/>
          <w:color w:val="000000"/>
          <w:sz w:val="20"/>
          <w:lang w:val="en-US" w:eastAsia="en-US" w:bidi="ar-SA"/>
        </w:rPr>
        <w:t>Bullock</w:t>
      </w:r>
      <w:r>
        <w:rPr>
          <w:rFonts w:ascii="arial" w:eastAsia="arial" w:hAnsi="arial" w:cs="arial"/>
          <w:color w:val="000000"/>
          <w:sz w:val="20"/>
          <w:lang w:val="en-US" w:eastAsia="en-US" w:bidi="ar-SA"/>
        </w:rPr>
        <w:t xml:space="preserve"> or </w:t>
      </w:r>
      <w:r>
        <w:rPr>
          <w:rFonts w:ascii="arial" w:eastAsia="arial" w:hAnsi="arial" w:cs="arial"/>
          <w:i/>
          <w:color w:val="000000"/>
          <w:sz w:val="20"/>
          <w:lang w:val="en-US" w:eastAsia="en-US" w:bidi="ar-SA"/>
        </w:rPr>
        <w:t>Sanderson</w:t>
      </w:r>
      <w:r>
        <w:rPr>
          <w:rFonts w:ascii="arial" w:eastAsia="arial" w:hAnsi="arial" w:cs="arial"/>
          <w:color w:val="000000"/>
          <w:sz w:val="20"/>
          <w:lang w:val="en-US" w:eastAsia="en-US" w:bidi="ar-SA"/>
        </w:rPr>
        <w:t xml:space="preserve"> orders. There is, in my respectful view, the potential for rigid application of a rule requiring evidence that an unsuccessful defendant's conduct was responsible for a successful defendant having been sued or joined, as a threshold test in an application for a </w:t>
      </w:r>
      <w:r>
        <w:rPr>
          <w:rFonts w:ascii="arial" w:eastAsia="arial" w:hAnsi="arial" w:cs="arial"/>
          <w:i/>
          <w:color w:val="000000"/>
          <w:sz w:val="20"/>
          <w:lang w:val="en-US" w:eastAsia="en-US" w:bidi="ar-SA"/>
        </w:rPr>
        <w:t>Bullock</w:t>
      </w:r>
      <w:r>
        <w:rPr>
          <w:rFonts w:ascii="arial" w:eastAsia="arial" w:hAnsi="arial" w:cs="arial"/>
          <w:color w:val="000000"/>
          <w:sz w:val="20"/>
          <w:lang w:val="en-US" w:eastAsia="en-US" w:bidi="ar-SA"/>
        </w:rPr>
        <w:t xml:space="preserve"> or </w:t>
      </w:r>
      <w:r>
        <w:rPr>
          <w:rFonts w:ascii="arial" w:eastAsia="arial" w:hAnsi="arial" w:cs="arial"/>
          <w:i/>
          <w:color w:val="000000"/>
          <w:sz w:val="20"/>
          <w:lang w:val="en-US" w:eastAsia="en-US" w:bidi="ar-SA"/>
        </w:rPr>
        <w:t>Sanderson</w:t>
      </w:r>
      <w:r>
        <w:rPr>
          <w:rFonts w:ascii="arial" w:eastAsia="arial" w:hAnsi="arial" w:cs="arial"/>
          <w:color w:val="000000"/>
          <w:sz w:val="20"/>
          <w:lang w:val="en-US" w:eastAsia="en-US" w:bidi="ar-SA"/>
        </w:rPr>
        <w:t xml:space="preserve"> order, leading to an unjust result. Beyond that, requiring consideration of the unsuccessful defendant's "conduct" invites so broad an inquiry that it becomes meaningless as a threshold test. That test is effectively subsumed in the requirement that the trial judge reach a fair and just result through the judicial exercise of discretion.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post-</w:t>
      </w:r>
      <w:r>
        <w:rPr>
          <w:rFonts w:ascii="arial" w:eastAsia="arial" w:hAnsi="arial" w:cs="arial"/>
          <w:i/>
          <w:color w:val="000000"/>
          <w:sz w:val="20"/>
          <w:lang w:val="en-US" w:eastAsia="en-US" w:bidi="ar-SA"/>
        </w:rPr>
        <w:t>Robertson</w:t>
      </w:r>
      <w:r>
        <w:rPr>
          <w:rFonts w:ascii="arial" w:eastAsia="arial" w:hAnsi="arial" w:cs="arial"/>
          <w:color w:val="000000"/>
          <w:sz w:val="20"/>
          <w:lang w:val="en-US" w:eastAsia="en-US" w:bidi="ar-SA"/>
        </w:rPr>
        <w:t xml:space="preserve"> cases have, however, had the beneficial effect of highlighting the injustices that can potentially arise if proper considerations are not brought to bear in the exercise of the discretionary power that </w:t>
      </w:r>
      <w:r>
        <w:rPr>
          <w:rFonts w:ascii="arial" w:eastAsia="arial" w:hAnsi="arial" w:cs="arial"/>
          <w:i/>
          <w:color w:val="000000"/>
          <w:sz w:val="20"/>
          <w:lang w:val="en-US" w:eastAsia="en-US" w:bidi="ar-SA"/>
        </w:rPr>
        <w:t>Robertson</w:t>
      </w:r>
      <w:r>
        <w:rPr>
          <w:rFonts w:ascii="arial" w:eastAsia="arial" w:hAnsi="arial" w:cs="arial"/>
          <w:color w:val="000000"/>
          <w:sz w:val="20"/>
          <w:lang w:val="en-US" w:eastAsia="en-US" w:bidi="ar-SA"/>
        </w:rPr>
        <w:t xml:space="preserve"> confirmed exists. Although </w:t>
      </w:r>
      <w:r>
        <w:rPr>
          <w:rFonts w:ascii="arial" w:eastAsia="arial" w:hAnsi="arial" w:cs="arial"/>
          <w:i/>
          <w:color w:val="000000"/>
          <w:sz w:val="20"/>
          <w:lang w:val="en-US" w:eastAsia="en-US" w:bidi="ar-SA"/>
        </w:rPr>
        <w:t>Robertson</w:t>
      </w:r>
      <w:r>
        <w:rPr>
          <w:rFonts w:ascii="arial" w:eastAsia="arial" w:hAnsi="arial" w:cs="arial"/>
          <w:color w:val="000000"/>
          <w:sz w:val="20"/>
          <w:lang w:val="en-US" w:eastAsia="en-US" w:bidi="ar-SA"/>
        </w:rPr>
        <w:t xml:space="preserve"> cautioned against attempting to extract principles from the case law, I consider </w:t>
      </w:r>
      <w:r>
        <w:rPr>
          <w:rFonts w:ascii="arial" w:eastAsia="arial" w:hAnsi="arial" w:cs="arial"/>
          <w:i/>
          <w:color w:val="000000"/>
          <w:sz w:val="20"/>
          <w:lang w:val="en-US" w:eastAsia="en-US" w:bidi="ar-SA"/>
        </w:rPr>
        <w:t>Grassi</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Davidson</w:t>
      </w:r>
      <w:r>
        <w:rPr>
          <w:rFonts w:ascii="arial" w:eastAsia="arial" w:hAnsi="arial" w:cs="arial"/>
          <w:color w:val="000000"/>
          <w:sz w:val="20"/>
          <w:lang w:val="en-US" w:eastAsia="en-US" w:bidi="ar-SA"/>
        </w:rPr>
        <w:t>, and the cases that follow from it to have, in effect, provided guidelines for the proper exercise of discretion. The guidelines I deduce are as follows:</w:t>
      </w:r>
      <w:r>
        <w:rPr>
          <w:rFonts w:ascii="arial" w:eastAsia="arial" w:hAnsi="arial" w:cs="arial"/>
          <w:sz w:val="20"/>
          <w:lang w:val="en-US" w:eastAsia="en-US" w:bidi="ar-SA"/>
        </w:rPr>
        <w:cr/>
      </w:r>
    </w:p>
    <w:p>
      <w:pPr>
        <w:numPr>
          <w:numId w:val="2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threshold test on an application for a </w:t>
      </w:r>
      <w:r>
        <w:rPr>
          <w:rFonts w:ascii="arial" w:eastAsia="arial" w:hAnsi="arial" w:cs="arial"/>
          <w:i/>
          <w:color w:val="000000"/>
          <w:sz w:val="20"/>
          <w:lang w:val="en-US" w:eastAsia="en-US" w:bidi="ar-SA"/>
        </w:rPr>
        <w:t>Bullock</w:t>
      </w:r>
      <w:r>
        <w:rPr>
          <w:rFonts w:ascii="arial" w:eastAsia="arial" w:hAnsi="arial" w:cs="arial"/>
          <w:color w:val="000000"/>
          <w:sz w:val="20"/>
          <w:lang w:val="en-US" w:eastAsia="en-US" w:bidi="ar-SA"/>
        </w:rPr>
        <w:t xml:space="preserve"> or </w:t>
      </w:r>
      <w:r>
        <w:rPr>
          <w:rFonts w:ascii="arial" w:eastAsia="arial" w:hAnsi="arial" w:cs="arial"/>
          <w:i/>
          <w:color w:val="000000"/>
          <w:sz w:val="20"/>
          <w:lang w:val="en-US" w:eastAsia="en-US" w:bidi="ar-SA"/>
        </w:rPr>
        <w:t>Sanderson</w:t>
      </w:r>
      <w:r>
        <w:rPr>
          <w:rFonts w:ascii="arial" w:eastAsia="arial" w:hAnsi="arial" w:cs="arial"/>
          <w:color w:val="000000"/>
          <w:sz w:val="20"/>
          <w:lang w:val="en-US" w:eastAsia="en-US" w:bidi="ar-SA"/>
        </w:rPr>
        <w:t xml:space="preserve"> order is whether it was reasonable for the plaintiff to have joined as a defendant the party who has ultimately succeeded in their defence;</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Once that threshold test is satisfied, entitlement to the order is a matter for the trial judge's discretion, which must be exercised judicially. The trial judge must consider the order to be just and fair, with regard only to the circumstances of the case and not to extraneous considerations;</w:t>
      </w:r>
    </w:p>
    <w:p>
      <w:pPr>
        <w:numPr>
          <w:numId w:val="2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Among the circumstances of the case which the trial judge must consider is the conduct of the unsuccessful defendant in relation to the grounds of the successful defendant's alleged or potential liability. The conduct to be considered may encompass both the circumstances that are alleged to have given rise to the causes of action, and the defendant's actions before and after the commencement of litigation, including affirmative defences, positions taken in respect of settlement, and conduct during trial; and</w:t>
      </w:r>
    </w:p>
    <w:p>
      <w:pPr>
        <w:numPr>
          <w:numId w:val="3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 plaintiff has alleged independent causes of action against each defendant, and the two alleged breaches of duty alleged are unconnected, the order will not normally follow unless the conduct of the unsuccessful defendant is shown to have caused the plaintiff to commence or continue the action against the successful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In the present case, the threshold test is easily met. Given the circumstances, it was eminently reasonable for the plaintiff to have named all three sets of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 do not consider the Province's pleadings or its submissions in respect of the co-defendants' liability to weigh in favour of the order sought. Although couched in legal terms, the Province was doing little more than stating the obvious: that if the plaintiff had suffered recoverable losses due to the blockade, the responsibility for those losses lay with those responsible for the blockade.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 consider the following factors to weigh against requiring the Province to bear FNFN's costs:</w:t>
      </w:r>
      <w:r>
        <w:rPr>
          <w:rFonts w:ascii="arial" w:eastAsia="arial" w:hAnsi="arial" w:cs="arial"/>
          <w:sz w:val="20"/>
          <w:lang w:val="en-US" w:eastAsia="en-US" w:bidi="ar-SA"/>
        </w:rPr>
        <w:cr/>
      </w:r>
    </w:p>
    <w:p>
      <w:pPr>
        <w:numPr>
          <w:numId w:val="3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Province advanced no unique legal theory as to the liability of FNFN and Chief Logan. The plaintiff's decision to seek legal redress from those defendants appears to have been arrived at independent of any particular action on the Province's part;</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claim against FNFN and Chief Logan was based on the plaintiff's inability to access the cutblocks. The Province had sought to isolate itself from such claims, through the mechanism of the TSL Blockade Exemption;</w:t>
      </w:r>
    </w:p>
    <w:p>
      <w:pPr>
        <w:numPr>
          <w:numId w:val="3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claims that the Province, the Behn Defendants and FNFN were liable for losses resulting from its inability to access the TSL cutblocks did not succeed;</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ground on which the plaintiff did succeed against the Province, liability for lost opportunity based on breach of warranty and failure to warn, was less directly connected with the allegations against FNFN.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As significant as those factors may be, they are, in my view, outweighed by the circumstances that gave rise to the plaintiff's claims. As I stated above, there was some significant degree of overlap of the issues involving the Province and the other defendants. With reference to the negative formulation of the threshold test in </w:t>
      </w:r>
      <w:r>
        <w:rPr>
          <w:rFonts w:ascii="arial" w:eastAsia="arial" w:hAnsi="arial" w:cs="arial"/>
          <w:i/>
          <w:color w:val="000000"/>
          <w:sz w:val="20"/>
          <w:lang w:val="en-US" w:eastAsia="en-US" w:bidi="ar-SA"/>
        </w:rPr>
        <w:t>Mulready</w:t>
      </w:r>
      <w:r>
        <w:rPr>
          <w:rFonts w:ascii="arial" w:eastAsia="arial" w:hAnsi="arial" w:cs="arial"/>
          <w:color w:val="000000"/>
          <w:sz w:val="20"/>
          <w:lang w:val="en-US" w:eastAsia="en-US" w:bidi="ar-SA"/>
        </w:rPr>
        <w:t>, I would not find that the causes of action were 'in no way connected"; to the contrary, the connection was substantial. The inadequacy of the Province's consultation with FNFN created the potential for conflict between FNFN and the Province's licensees. When the Province failed to warn the plaintiff of Mr. Behn's expressed intention to stop logging, it put the plaintiff on a collision course with Mr. Behn and FNFN.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Taking all of these factors into account, I find that the order is warranted. The </w:t>
      </w:r>
      <w:r>
        <w:rPr>
          <w:rFonts w:ascii="arial" w:eastAsia="arial" w:hAnsi="arial" w:cs="arial"/>
          <w:i/>
          <w:color w:val="000000"/>
          <w:sz w:val="20"/>
          <w:lang w:val="en-US" w:eastAsia="en-US" w:bidi="ar-SA"/>
        </w:rPr>
        <w:t>Sanderson</w:t>
      </w:r>
      <w:r>
        <w:rPr>
          <w:rFonts w:ascii="arial" w:eastAsia="arial" w:hAnsi="arial" w:cs="arial"/>
          <w:color w:val="000000"/>
          <w:sz w:val="20"/>
          <w:lang w:val="en-US" w:eastAsia="en-US" w:bidi="ar-SA"/>
        </w:rPr>
        <w:t xml:space="preserve"> form of order is preferable as it avoids circuitousness. Subject to the rulings given above as to the scale of costs and as to the sanction imposed, the Province will pay the costs of FNFN and Chief Logan.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Costs of FNFN and Chief Logan respecting their Third Party Claim against the Province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FNFN and Chief Logan claimed indemnity from the Province, in the event of being found liable for participation in the blockade.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If these parties had been found liable to the plaintiff, I would have held that their participation in the blockade disentitled them to any claim for costs in indemnity proceedings, on the same grounds I have given in respect of the costs of the Behn Defendants. FNFN and Chief Logan will bear their own costs in respect of their third party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 SAUNDERS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Released: June 11, 2014</w:t>
      </w:r>
      <w:r>
        <w:rPr>
          <w:rFonts w:ascii="arial" w:eastAsia="arial" w:hAnsi="arial" w:cs="arial"/>
          <w:sz w:val="20"/>
          <w:lang w:val="en-US" w:eastAsia="en-US" w:bidi="ar-SA"/>
        </w:rPr>
        <w:cr/>
      </w:r>
    </w:p>
    <w:p>
      <w:pPr>
        <w:numPr>
          <w:numId w:val="35"/>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At paragraph 80, the word "being" has been inserted so that it now reads as follows:</w:t>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[80] FNFN and Chief Logan claimed indemnity from the Province, in the event of being found liable for participation in the blockade.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 SAUNDERS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26" style="position:absolute;z-index:25187635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08"/>
          <w:headerReference w:type="default" r:id="rId409"/>
          <w:footerReference w:type="even" r:id="rId410"/>
          <w:footerReference w:type="default" r:id="rId411"/>
          <w:headerReference w:type="first" r:id="rId412"/>
          <w:footerReference w:type="first" r:id="rId41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14" w:history="1">
        <w:r>
          <w:rPr>
            <w:rFonts w:ascii="arial" w:eastAsia="arial" w:hAnsi="arial" w:cs="arial"/>
            <w:b/>
            <w:bCs/>
            <w:i/>
            <w:color w:val="0077CC"/>
            <w:kern w:val="32"/>
            <w:sz w:val="28"/>
            <w:szCs w:val="32"/>
            <w:u w:val="single"/>
            <w:shd w:val="clear" w:color="auto" w:fill="FFFFFF"/>
            <w:lang w:val="en-US" w:eastAsia="en-US" w:bidi="ar-SA"/>
          </w:rPr>
          <w:t>Mullins v. Levy, [2005] B.C.J. No. 1878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R.R. Holmes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8 - 10, 2002; July 7 - 11, 14 - 18 and</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22 - 25, 2003; and April 5 - 8, 14 - 16 and 19 - 22,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September 27 - 30 and October 1,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25,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C982449</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[2005] B.C.J. No. 1878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2005 BCSC 1217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258 D.L.R. (4th) 460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33 C.C.L.T. (3d) 42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142 A.C.W.S. (3d) 90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Stephen Norman Mullins, plaintiff, and Dr. John Mark Levy, Dr. Joelle Materi, Dr. Rua Roxanne Mercier, Dr. Soma Ganesan, Vancouver Hospital &amp; Health Sciences Centre, Western Pacific Security Group Ltd., Geoff Brown, Donna Wright, Robert Coleman, Raymond Weipprecht and Cyrus Farivar, defendants, and British Columbia Schizophrenia Society, intervenor, and The Attorney General of British Columbia, pursuant to Notice of Constitutional Question</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(265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27" style="position:absolute;z-index:2516797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41" w:name="Keywords_20"/>
      <w:bookmarkEnd w:id="141"/>
      <w:r>
        <w:rPr>
          <w:rFonts w:ascii="arial" w:eastAsia="arial" w:hAnsi="arial" w:cs="arial"/>
          <w:b/>
          <w:color w:val="000000"/>
          <w:sz w:val="20"/>
          <w:lang w:val="en-US" w:eastAsia="en-US" w:bidi="ar-SA"/>
        </w:rPr>
        <w:t xml:space="preserve">Health law — Health care professionals — Liability (malpractice)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Particular professions — Doctors — Nurses — Psychiatrists, psychologists and therapists — Treatment, authorization for — Hospitals and health care facilities — Liability — Vicarious liability — Tort law — Abuse of legal procedure — False arrest or imprisonment — Defences — Statutory compliance — Immunity — Damages — Aggravated damages — When available — Constitutional law — Canadian Charter of Rights and Freedoms — Civil procedure — Parties — Standing.</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42" w:name="Case Summary_18"/>
            <w:bookmarkEnd w:id="14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Mullins against the defendant physicians, nurses, hospital, and security staff for damages. Mullins alleged that his constitutional rights were violated when he was assaulted, falsely arrested, and imprisoned by the defendants. The incident arose in connection with a voluntary visit to the emergency department of the hospital. Mullins sought treatment for body tremors and feelings of anxiety. He had suffered a panic attack on one prior occasion. An emergency physician found that Mullins was not certifiable and arranged for a psychiatric assessment later in the day. Mullins returned to the hospital and a resident conducted an assessment interview. She concluded that Mullins was suffering from a manic episode and required immediate treatment. She arranged for a quiet room, informed security personnel, and had a physician issue a certificate to involuntarily commit Mullins. When Mullins attempted to leave the interview room he was tackled by security staff, restrained, and taken to the quiet room where his clothes were cut off and he was injected with medication. Upon the completion of a second certificate, Mullins was detained against his will for five days and medicated against his express wish. He sought damages and challenged the constitutional validity of certain provisions of the Mental Health Act and the Health Care (Consent) and Care Facility (Admission) Act.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43" w:name="Holdings of Court_15"/>
            <w:bookmarkEnd w:id="143"/>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Mullins was falsely arrested and imprisoned by hospital security personnel. The resident was not negligent in her diagnosis of mania because Mullins exhibited the applicable symptoms. She was negligent in her recommendation for involuntary detention. No psychiatric examination had occurred and there was no indication that an emergency situation or threat of harm existed. Therefore, the requisite dual certification was far from completion prior to the involuntary committal. The physician that signed the first certificate abrogated her duties under the Mental Health Act. The physician that signed the second certificate was negligent in not taking appropriate action when he became aware of Mullins's seizure and detention. The second physician, in his role as supervisor, should have reviewed Mullins's chart which stated his wish that he not be medicated, and mentioned the initial assessment that concluded he was not certifiable. The hospital was vicariously liable for the negligent actions of its employees. The circumstances supported an award of aggravated damages. The action against certain nurses and physicians that examined Mullins subsequent to his detention was dismissed because they acted in good faith and in Mullins's best interests for his care and treatment. The committal provisions of the Mental Health were not unconstitutional. Mullins did not have standing for the remainder of his constitutional challenges.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44" w:name="Legislation Cited_15"/>
      <w:bookmarkEnd w:id="14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28" style="position:absolute;z-index:2517309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15(5)(ii), Rule 15(5)(iii), Rule 40(8), Rule 57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Canadian Charter of Rights and Freedoms, 1982, s. 7, s. 8, s. 9, s. 11, s. 12, s. 15(1)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Health Care (Consent) and Care Facility (Admission) Act, </w:t>
      </w:r>
      <w:hyperlink r:id="rId415" w:history="1">
        <w:r>
          <w:rPr>
            <w:rFonts w:ascii="arial" w:eastAsia="arial" w:hAnsi="arial" w:cs="arial"/>
            <w:i/>
            <w:color w:val="0077CC"/>
            <w:sz w:val="20"/>
            <w:u w:val="single"/>
            <w:shd w:val="clear" w:color="auto" w:fill="FFFFFF"/>
            <w:lang w:val="en-US" w:eastAsia="en-US" w:bidi="ar-SA"/>
          </w:rPr>
          <w:t>R.S.B.C. 1996, c. 181, s. 2</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Hospital Act, s. 51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Interpretation Act, </w:t>
      </w:r>
      <w:hyperlink r:id="rId416" w:history="1">
        <w:r>
          <w:rPr>
            <w:rFonts w:ascii="arial" w:eastAsia="arial" w:hAnsi="arial" w:cs="arial"/>
            <w:i/>
            <w:color w:val="0077CC"/>
            <w:sz w:val="20"/>
            <w:u w:val="single"/>
            <w:shd w:val="clear" w:color="auto" w:fill="FFFFFF"/>
            <w:lang w:val="en-US" w:eastAsia="en-US" w:bidi="ar-SA"/>
          </w:rPr>
          <w:t>R.S.B.C. 1996, c. 238, s. 8</w:t>
        </w:r>
      </w:hyperlink>
      <w:r>
        <w:rPr>
          <w:rFonts w:ascii="arial" w:eastAsia="arial" w:hAnsi="arial" w:cs="arial"/>
          <w:color w:val="000000"/>
          <w:sz w:val="20"/>
          <w:lang w:val="en-US" w:eastAsia="en-US" w:bidi="ar-SA"/>
        </w:rPr>
        <w:t>, s. 41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Limitation Act, s. 3, s. 3(2)(a), s. 3(2)(d), s. 4(1)(d), s. 6(4)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Mental Health Act, </w:t>
      </w:r>
      <w:hyperlink r:id="rId417" w:history="1">
        <w:r>
          <w:rPr>
            <w:rFonts w:ascii="arial" w:eastAsia="arial" w:hAnsi="arial" w:cs="arial"/>
            <w:i/>
            <w:color w:val="0077CC"/>
            <w:sz w:val="20"/>
            <w:u w:val="single"/>
            <w:shd w:val="clear" w:color="auto" w:fill="FFFFFF"/>
            <w:lang w:val="en-US" w:eastAsia="en-US" w:bidi="ar-SA"/>
          </w:rPr>
          <w:t>R.S.B.C. 1996, c. 288, s. 1</w:t>
        </w:r>
      </w:hyperlink>
      <w:r>
        <w:rPr>
          <w:rFonts w:ascii="arial" w:eastAsia="arial" w:hAnsi="arial" w:cs="arial"/>
          <w:color w:val="000000"/>
          <w:sz w:val="20"/>
          <w:lang w:val="en-US" w:eastAsia="en-US" w:bidi="ar-SA"/>
        </w:rPr>
        <w:t>, s. 1, s. 3, s. 8, s. 16, s. 16(f), s. 16(i), s. 22, s. 25, s. 31, s. 33, s. 43(2)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Mental Health Regulation, B.C. Reg. 155/97, s. 3, s. 6, s. 7(5)</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45" w:name="Counsel_20"/>
      <w:bookmarkEnd w:id="145"/>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29" style="position:absolute;z-index:2517821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Norman D. Mullins, Q.C.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Doctors: David W. Pilley S.K. Raab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Vancouver Hospital and others: Penny A. Washington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Attorney General of B.C.: Lisa Mrozinski Leah Greathead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Intervenor: Karen E. Jamieson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46" w:name="Judgment_20"/>
      <w:bookmarkEnd w:id="146"/>
      <w:r>
        <w:pict>
          <v:line id="_x0000_s1130" style="position:absolute;z-index:251833344"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A Corrigendum was released by the Court May 9, 2006. The corrections have been made to the text and the Corrigendum is appended to this document.]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5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47" w:name="R.R. HOLMES J."/>
            <w:bookmarkEnd w:id="147"/>
            <w:r>
              <w:rPr>
                <w:rFonts w:ascii="arial" w:eastAsia="arial" w:hAnsi="arial" w:cs="arial"/>
                <w:b/>
                <w:color w:val="000000"/>
                <w:sz w:val="30"/>
                <w:lang w:val="en-US" w:eastAsia="en-US" w:bidi="ar-SA"/>
              </w:rPr>
              <w:t>R.R. HOLMES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states his action is for "... certain determinations, constitutional declarations, general, special and punitive or exemplary damages for assault and battery, false arrest and false imprisonment, breaches of the Mental Health Act and Mental Health Regulation, various offences and crimes and infringement or denial of fundamental rights under the Canadian Charter of Rights and Freedoms. The pleadings do not accurately track this description but it does offer some explanation for the plaintiff's determination in pursuit of his action against the defendants.</w:t>
      </w:r>
      <w:r>
        <w:rPr>
          <w:rFonts w:ascii="arial" w:eastAsia="arial" w:hAnsi="arial" w:cs="arial"/>
          <w:sz w:val="20"/>
          <w:lang w:val="en-US" w:eastAsia="en-US" w:bidi="ar-SA"/>
        </w:rPr>
        <w:cr/>
      </w:r>
    </w:p>
    <w:p>
      <w:pPr>
        <w:spacing w:line="260" w:lineRule="atLeast"/>
        <w:ind w:left="360"/>
        <w:rPr>
          <w:rFonts w:ascii="arial" w:eastAsia="arial" w:hAnsi="arial" w:cs="arial"/>
          <w:sz w:val="20"/>
          <w:lang w:val="en-US" w:eastAsia="en-US" w:bidi="ar-SA"/>
        </w:rPr>
      </w:pPr>
      <w:r>
        <w:rPr>
          <w:rFonts w:ascii="arial" w:eastAsia="arial" w:hAnsi="arial" w:cs="arial"/>
          <w:color w:val="000000"/>
          <w:sz w:val="20"/>
          <w:lang w:val="en-US" w:eastAsia="en-US" w:bidi="ar-SA"/>
        </w:rPr>
        <w:t>SUMMARY OF EVENTS AND INTRODUCTION TO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This action arises from events that followed upon the plaintiff, a 42 year old West Vancouver resident, attending the emergency department of the Vancouver Hospital and Health Sciences Center ("VGH" or "the hospital") in the early morning of May 9, 1998. The plaintiff had awakened with body tremors and feelings of distress and he phoned the police who arranged for an ambulance to transport him to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plaintiff was examined by Dr. Doug McKnight, an emergency physician, who found the plaintiff was not certifiable under the Mental Health Act, </w:t>
      </w:r>
      <w:r>
        <w:rPr>
          <w:rFonts w:ascii="arial" w:eastAsia="arial" w:hAnsi="arial" w:cs="arial"/>
          <w:i/>
          <w:color w:val="000000"/>
          <w:sz w:val="20"/>
          <w:lang w:val="en-US" w:eastAsia="en-US" w:bidi="ar-SA"/>
        </w:rPr>
        <w:t>R.S.B.C. 1996, c. 288</w:t>
      </w:r>
      <w:r>
        <w:rPr>
          <w:rFonts w:ascii="arial" w:eastAsia="arial" w:hAnsi="arial" w:cs="arial"/>
          <w:color w:val="000000"/>
          <w:sz w:val="20"/>
          <w:lang w:val="en-US" w:eastAsia="en-US" w:bidi="ar-SA"/>
        </w:rPr>
        <w:t xml:space="preserve"> (the "Act"). It was arranged that the plaintiff would wait to see a doctor in the Psychiatric Assessment Unit (the "PAU") when it was staffed later in the morning.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later received Dr. McKnight's permission to leave the hospital and attend a charity run at UBC that he had intended to participate in. He travelled by taxi to the endowment lands at UBC, ran in the event, and returned about noon to the hospital emergency department.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defendant Rua Roxanne Mercier ("Dr. Mercier"), an emergency physician who replaced Dr. McKnight on the morning shift, was aware of the plaintiff's appointment with the PAU and she escorted him to an interview room.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At the interview room the plaintiff met the defendant Dr. Joelle Materi ("Dr. Materi"), a resident working that day in the PAU.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Dr. Materi had her degree in medicine but had not completed her residency training and was not qualified as a physician or psychiatrist. As a resident she was conducting preliminary patient assessment interviews.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Dr. Materi conducted an assessment interview with the plaintiff and she concluded that he was suffering a manic episode and required immediate treatment. Dr. Materi left the plaintiff in the interview room and initiated the process to have the plaintiff involuntarily committed to the PAU.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Dr. Materi made the arrangement for the plaintiff to be admitted to a PAU quiet room. She spoke with Dr. Mercier who then signed a Certificate under the Mental Health Act to involuntarily commit the plaintiff; she advised the defendant Geoff Brown, a security guard from the defendant Western Pacific Security Group who contracted security services to the VGH that the plaintiff was admitted to the hospital and that he was not to leave; she made some phone calls to try and obtain information about the plaintiff; and she met with Dr. Ganesan, her supervisor, who was the psychiatrist on duty in the PAU that day to request Dr. Ganesan attend to assess the plaintiff and to review her assessment with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defendant Brown believing that security was required to ensure the plaintiff did not leave the hospital arranged for a security team to assemble in the hallways near the plaintiff's interview room.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 heard the noise of the security personnel in the hallway and opened the door to see what was happening. He was ordered to stay in the room. When he tried to leave he was blocked and when he tried to push through he was tackled to the ground, restrained, and taken to the seclusion room in the PAU. His clothes were cut off and he was injected with medications.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Dr. Ganesan signed the second Certificate required under the Act to involuntarily confine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defendant Cyrus Farivar was the psychiatric nurse on duty and he signed a form for Consent to Treatment pursuant to the provisions of the Act which allowed for medications to be administered involuntarily.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plaintiff was detained for five days and medicated throughout that period against his express wish. The defendant Dr. John Mark Levy ("Dr. Levy"), a psychiatrist, was at the relevant time the Director or the Officer in Charge of the PAU and he assumed the treatment of the plaintiff on May 10,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As the defendant Dr. Levy denied the plaintiff's demands to be released from the PAU the plaintiff issued and served the Writ of Summons in this action on him seeking his release. Dr. Levy thus placed in a conflict arranged for Dr. Duke, another psychiatrist, to assess the plaintiff. Dr. Duke examined the plaintiff on May 14, 1998 and she agreed to his discharge on condition he continue the medications he was receiving and he remain under medical supervision. He came under the care of Dr. Long a psychiatrist in private practice following his release.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actions of the various defendants in respect to their alleged liability is intertwined but the alleged causes of actions against each must be considered separately.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These proceedings were originally adjourned to allow the plaintiff to issue a Notice of Constitutional Question to challenge the validity of committal and treatment provisions of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reason for the constitutional challenge taken by the plaintiff was in reaction of the defendants' reliance upon the immunity provisions of the Act as providing to them a defence against liability to the plaintiff if they were found to have acted in good faith and without an improper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It is clear however that the plaintiff seeks to challenge the Act as a person who does not suffer from a mental disorder. Therefore a very serious issue exists as to the standing of the plaintiff necessary to raise constitutional issues as to the validity of committal and treatment provisions of the Act as they apply to persons suffering from a mental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British Columbia Schizophrenia Society intervened in the proceeding to provide the perspective of the need for the legislation in providing vital community assistance to persons suffering from serous mental illness.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PLAINTIFF'S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Some background of the plaintiff is necessary for an understanding of his mental status and behaviour leading to his attendance at the VGH on the morning of May 9,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plaintiff was 42 years of age in May 1998. He has two brothers and his parents are alive. His father has been his legal counsel throughout this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plaintiff graduated from high school and attended UBC for one year, followed by two years at the British Columbia Institute of Technology where he received a diploma in Transportation and Marketing. He also attended a three month course in Main Frame Computer Operations at the Control Data Institute.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plaintiff was licensed to fly aircraft commencing in October 1973 and was continuously licensed until after May 1998. The plaintiff held commercial licenses for fixed wing, multi-engine planes, float planes and helicopters. He was qualified for instrument and night flying.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plaintiff has been steadily employed since leaving school primarily in the electronic and computer repair or sales fields. As of May 1998 the plaintiff operated his own company which involved sales and service of computers and was also partly aviation oriented involving consulting, design, service and sale of equipment for helipad installations.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plaintiff was involved in the design and equipping of the helipad at the VGH and other hospital and medical facilities in B.C. and Alberta, RCMP, Coast Guard, and commercial installations.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Through his school years and after the plaintiff was a volunteer with the North Shore Rescue Team which exposed him on occasion to the recovery of dead bodies and the rescue of seriously injured people. He had not been engaged in these activities for several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plaintiff felt very strongly of the need for a helicopter landing site at the Lions Gate Hospital in North Vancouver. He was active since the mid 1970's in trying to convince administrators and politicians of that need and was active in seeking community support for a helipad and increased air ambulance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plaintiff was also active with the Vancouver Regional Air Patrol Society in trying to raise funds for the purchase of two police helicopters that would do police patrols in the lower mainland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plaintiff believes his persistent activity seeking a helicopter landing pad at Lions Gate Hospital and increased air ambulance services, likely generated some political ill will against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PERCEIVED STRESSORS IN THE PLAINTIFF'S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plaintiff believes his work with the North Shore Rescue Team left him more susceptible to "critical incident stress" because of the cumulative effect of seeing and helping seriously injured, dying, or dead bodies, particularly when children were involved.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plaintiff felt very close to his grandfather Charles Mullins and his step-grandmother Rita Mullins ("Rita"). After his grandfather died Rita lived alone in Victoria but the plaintiff maintained regular contact with her by phone or visit. He worked for two years in Victoria and visited with her regularly.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April 1998, on the Easter week-end the plaintiff tried to contact Rita without success. He contacted the police who located her in a hospital suffering congestive heart failure. She had not wished anyone to know she was sick and dying. The plaintiff went to Victoria and secured her home. The plaintiff and family visited but she was very low. She died at the end of April about two days after the plaintiff's last visit with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plaintiff was also close to his uncle Orville Gordon Mullins ("Orville"). He had a business which made a deodorizing product from a natural stone. The material was processed, moulded into various shapes and shipped around the world. His uncle wanted the plaintiff to take over the business but he was too busy with his 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1998 Orville was elderly and had been in poor health for years. He was blind in one eye and had poor vision in the other; was hard of hearing, unstable in balance; unable to walk far, and suffered memory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Orville suffered a stroke and was hospitalized. He did not recover consciousness before he died.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plaintiff stepped in to the run his uncle's business as his cousins did not appear interested or capable. There were only two employees; a secretary and a man who moulded the product. The plaintiff put in long hours to try and determine the business assets, the clients, inventories, manufacturing requirements, orders, customers, and sales contacts and the like.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building housing the business was under the Pattullo Bridge, in a run-down, high-crime area of Surrey, close to the Turf Hotel.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building was small, one floor, and had no security. The interior he describes as a complete mess with a disarray of product, old materials, unlabelled chemicals, acids, radio active materials, bottles, pots and assorted chemicals.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plaintiff brought some order to the building and installed a simple coded alarm system. He had chemicals and waste removed.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plaintiff testified to what he considered several strange events occurring in relation of the business while he was involved that eventually led him to believe it was the Hell's Angels or some criminal group that were using the business, or trying to acquire the business, to facilitate some activity such as drug smuggling or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Some of the events related by the plaintiff include:</w:t>
      </w:r>
      <w:r>
        <w:rPr>
          <w:rFonts w:ascii="arial" w:eastAsia="arial" w:hAnsi="arial" w:cs="arial"/>
          <w:sz w:val="20"/>
          <w:lang w:val="en-US" w:eastAsia="en-US" w:bidi="ar-SA"/>
        </w:rPr>
        <w:cr/>
      </w:r>
    </w:p>
    <w:p>
      <w:pPr>
        <w:numPr>
          <w:numId w:val="9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man of who appeared to be a "biker" lived in a run down house across the street and he had come to the office after Orville's stroke to inquire what was happening with Orville and the business;</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business was close to the Turf Hotel which the plaintiff considered notorious for "biker" activity, fighting and drug dealing;</w:t>
      </w:r>
    </w:p>
    <w:p>
      <w:pPr>
        <w:numPr>
          <w:numId w:val="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was discovered that unknown to any family, employees, or friends Orville had married about three months before his stroke. He married an immigrant Chinese woman much younger than himself who was working illegally as a waitress at the Turf Hotel;</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wife sent various people to investigate the business and on one occasion when she attended herself she acted suspiciously and the plaintiff saw her remove keys to Orville's car, apartment and office, from a brief case;</w:t>
      </w:r>
    </w:p>
    <w:p>
      <w:pPr>
        <w:numPr>
          <w:numId w:val="5"/>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Chinese man who had in the past been an associate for a time with Orville appeared to be very close to the wife;</w:t>
      </w:r>
    </w:p>
    <w:p>
      <w:pPr>
        <w:numPr>
          <w:numId w:val="6"/>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wife and former business associate met with an American businessman from California who had done business with Orville in the past. They were trying to take over and run the business;</w:t>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was one contentious meeting that lasted many hours into the night with the plaintiff, a couple of his cousins, the new wife, the Chinese associate, the American businessman and lawyers. The meeting was extremely acrimonious and the purpose was to try and have the plaintiff removed so the wife and her business associates could take it over;</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were three attempted break-ins at the business premises but only one old photocopy machine was stolen;</w:t>
      </w:r>
    </w:p>
    <w:p>
      <w:pPr>
        <w:numPr>
          <w:numId w:val="9"/>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was a possible attempt at arson. The wife had entered the premises with a key but did not know the alarm code. When the plaintiff attended the next morning a can of highly inflammable acetone was found sitting open on the floor.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plaintiff also believes there were attempts to break into his apartment and parents home. The plaintiff suffered a panic attack on May 1, 1998 and thereafter he dropped his activity in Orville's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Unknown to the plaintiff at the time his uncle had died on the evening of May 8, 1998 just prior to his attending at the VGH in relation to the incident at issue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detailed evidence of the plaintiff concerning the events surrounding his uncle's business is quite bizarre. The factual events are uncontradicted, however the inferences the plaintiff appears to have drawn from most of the facts are not ones I am prepared to accept without more convincing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HEALTH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Prior to May 1998 the plaintiff's health was good and in order to maintain his pilot's license he had regular medical examinations none of which had indicated any physical or mental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plaintiff's mother could recall only one health incident of concern which had occurred in 1965 when the plaintiff was about 10 years old during the course of a cross country car trip. The plaintiff had awakened her with a gurgling sound in his throat and he was thrashing about and she thought it resembled a seizure. The plaintiff was tested at a hospital in Ottawa because of the incident but no result came from the test. He never had a reoccurrence or similar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A health incident of concern however did occur on May 1, 1998. The plaintiff had spent the day alone at his parent's West Vancouver home phoning people about his grandmother Rita's death.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plaintiff suddenly experienced rapid heart beat, difficulty breathing, and he was sweating and shaking. He could not communicate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He was able to call the fire department, to seek first response help, as he knew they responded much faster than could an ambulance. He awaited the fire truck by lying on the grass outside the house. The fire department arrived and provided basic care, moving him into the house and keeping him warm until the ambulance arrived.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plaintiff wished to be taken to VGH rather than Lions Gate Hospital because of his belief that VGH had a far superior care capability. The ambulance refused to take him to the VGH and they left.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plaintiff called the West Vancouver police and requested they drive him to the VGH. The police arrived and immediately handcuffed the plaintiff and placed him in the back of their vehicle and then talked with assembled friends and neighbours. The plaintiff found the closed vehicle stifling hot and without ventilation. He kicked at the door and window to get the police to open the door or window and provide fresh air. The police took him to the West Vancouver Police station where they were met by an ambulance which transported him to VGH. He arrived by stretcher at the VGH emergency department between 8:00 p.m. and 9:00 p.m. and was given a physical exam and blood samples were taken. He was advised he had suffered a panic attack and that he could go home. He was given one Ativan pill at the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MENTAL HEALTH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primary underlying issue in this action is whether the plaintiff was admitted to the PAU in conformity with the requirements of the Mental Health Act. I agree with the assessment of plaintiff's counsel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Mental Health Act is a badly drafted piece of legislation and appears to suffer from periodic ad hoc amendments made with little attention to their over-all effects on the statute.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On May 9, 1998 the operative section of the Act relating to the involuntary detention of a person provided: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22(1) On receiving 2 medical certificates completed by 2 physicians in accordance with subsection (2), the director of a Provincial mental health facility may admit a person to the facility and detain the person in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detention of the plaintiff here was in the PAU of the VGH. Section 1 of the Act defines a "Provincial mental health facility" as "... a Provincial mental health facility designated under this Act." It defines "psychiatric unit" as "... a public hospital or a part of it designated by the minister as a psychiatric unit".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power to designate distinguishes among three different types of facility of which the PAU is one.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3(1) The minister may designate a building or premises as a Provincial mental health facility.</w:t>
      </w:r>
    </w:p>
    <w:p>
      <w:pPr>
        <w:numPr>
          <w:numId w:val="10"/>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minister may designate a public hospital or a part of it, not being a Provincial mental health facility, as an observation unit or a psychiatric unit.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Section 22 of the Act therefore permits that: "... on receipt of 2 medical certificates completed by 2 physicians in accordance with sub-section 2 ... the director of a [psychiatric unit] may admit a person to the [unit] and detain the person in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plaintiff argues that Dr. Levy was not the Director of the PAU and the plaintiff was not admitted to the PAU by a director as required by the Act. This however is contrary to the plaintiff's own pleading that Dr. Levy "... at all relevant times, practiced in, and was Director of, the PAU of the Hospital." [Third Amended Statement of Claim, paragraphs 2 and 29]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Act in section 1 provides a definition: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"director" means a person who is appointed in charge of a Provincial mental health facility and includes a person authorized by the director to exercise a power or carry out a duty conferred or imposed on the director under this Act or under the Patients Property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evidence of the defendant doctors regarding their understanding of the Director of the PAU in 1998 varied. Dr. Ganesan understood Dr. Levy was the Clinical Director of the PAU, sometimes referred to as the Clinical Manager.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In respect of admissions all patients admitted to the PAU were admitted under Dr. Levy's name regardless of which psychiatrist arranged the admission.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Dr. Ganesan understood when Dr. Levy was unavailable that he could, and did, delegate his Director's function to another psychiatrist.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Dr. Levy's evidence was that in 1998 he was the Clinical Director of the PAU and his duties were really as Medical Manager. He believed the reference in the Act to director would be to the head of the Psychiatric Department and in 1998 the department head was Dr. Diane Watson.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Dr. Materi believed that Dr. Levy was the Director.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The Act contains no express provision for the appointment of directors and s. 43(2) gave no authority for making regulations for such appointments; however the Lieutenant Governor in Council was authorized to make regulations referred to in s. 41 of the Interpretation Act, </w:t>
      </w:r>
      <w:r>
        <w:rPr>
          <w:rFonts w:ascii="arial" w:eastAsia="arial" w:hAnsi="arial" w:cs="arial"/>
          <w:i/>
          <w:color w:val="000000"/>
          <w:sz w:val="20"/>
          <w:lang w:val="en-US" w:eastAsia="en-US" w:bidi="ar-SA"/>
        </w:rPr>
        <w:t>R.S.B.C. 1996, c. 238</w:t>
      </w:r>
      <w:r>
        <w:rPr>
          <w:rFonts w:ascii="arial" w:eastAsia="arial" w:hAnsi="arial" w:cs="arial"/>
          <w:color w:val="000000"/>
          <w:sz w:val="20"/>
          <w:lang w:val="en-US" w:eastAsia="en-US" w:bidi="ar-SA"/>
        </w:rPr>
        <w:t xml:space="preserve"> which included: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41(1) If an enactment provides that the Lieutenant Governor in Council or any other person may make regulations, the enactment must be construed as empowering the Lieutenant Governor in Council or that other person, for the purpose of carrying out the enactment according to its intent, to</w:t>
      </w:r>
    </w:p>
    <w:p>
      <w:pPr>
        <w:numPr>
          <w:numId w:val="11"/>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make regulations as are considered necessary and advisable, are ancillary to it, and are not inconsistent with it,</w:t>
      </w:r>
    </w:p>
    <w:p>
      <w:pPr>
        <w:numPr>
          <w:numId w:val="11"/>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provide for administrative and procedural matters for which no express, or only partial, provision has been made,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Mental Health Regulation [B.C. Reg. 155/97] makes no provision for appointment of directors but does permit</w:t>
      </w:r>
      <w:r>
        <w:rPr>
          <w:rFonts w:ascii="arial" w:eastAsia="arial" w:hAnsi="arial" w:cs="arial"/>
          <w:sz w:val="20"/>
          <w:lang w:val="en-US" w:eastAsia="en-US" w:bidi="ar-SA"/>
        </w:rPr>
        <w:cr/>
      </w:r>
    </w:p>
    <w:p>
      <w:pPr>
        <w:numPr>
          <w:numId w:val="12"/>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minister designates a public hospital or part of it as a psychiatric unit ..., the board of the hospital must appoint an officer in charge and may also appoint alternates.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Section 8 of the Act therefore imposes obligations on a Director and makes those obligations applicable to an Officer in Charge; nowhere does it give authority to an officer in charge to admit patients to the PAU.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legislation is unclear as to who appoints a director and how a director is appointed.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definition of "director means a person ..." (not "the person") is an indication there may be more than one person appointed as a Director of a facility. The wording of the definition can also be read as allowing a designant of a director to in turn delegate to another the duties of a Director.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Dr. Levy's functions were those of a Director with responsibility for medical staff resources, quality improvement, and the designation of a person to sign Consent to Treatment forms.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role of a director or an officer in charge is defined in s. 8 of the Act and is consistent with Dr. Levy's role.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Any of the divergent views of the defendant doctors in their evidence regarding how Dr. Levy had authority as a Director can support that position. Dr. Levy believed he was a designant of Dr. Watson. Dr. Ganesan believed Dr. Levy was a Clinical Director having the special responsibility of the patients being admitted under his name. Dr. Materi understood that Dr. Levy was the Director.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In the present circumstances I will accept both Dr. Levy and Dr. Watson were directors.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plaintiff was admitted by Drs. Materi and Ganesan who were designants of Dr. Levy for purposes of admission under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REQUIREMENT FOR TWO CERTIFICATES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plaintiff was admitted and detained in the PAU prior to the medical certificate of Dr. Ganesan being completed contrary to the express requirement of s. 22 that a person may only be detained on receipt of two completed medical certificates.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defendant doctors argue that "on receipt ..." does not necessarily mean "after" and that it has a less temporal meaning that encompasses a meaning of "simultaneously with" or "approximately simultaneously with". Section 8 of the Interpretation Act provides:</w:t>
      </w:r>
      <w:r>
        <w:rPr>
          <w:rFonts w:ascii="arial" w:eastAsia="arial" w:hAnsi="arial" w:cs="arial"/>
          <w:sz w:val="20"/>
          <w:lang w:val="en-US" w:eastAsia="en-US" w:bidi="ar-SA"/>
        </w:rPr>
        <w:cr/>
      </w:r>
    </w:p>
    <w:p>
      <w:pPr>
        <w:numPr>
          <w:numId w:val="13"/>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Every enactment must be construed as being remedial, and must be given such fair, large and liberal construction and interpretation as best ensures the attainment of its objects.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I accept that as Mr. Justice Donald observed in McCorkell v. Riverview Hospital (Director) </w:t>
      </w:r>
      <w:hyperlink r:id="rId418" w:history="1">
        <w:r>
          <w:rPr>
            <w:rFonts w:ascii="arial" w:eastAsia="arial" w:hAnsi="arial" w:cs="arial"/>
            <w:i/>
            <w:color w:val="0077CC"/>
            <w:sz w:val="20"/>
            <w:u w:val="single"/>
            <w:shd w:val="clear" w:color="auto" w:fill="FFFFFF"/>
            <w:lang w:val="en-US" w:eastAsia="en-US" w:bidi="ar-SA"/>
          </w:rPr>
          <w:t>(1993), 81 B.C.L.R. (2d) 273</w:t>
        </w:r>
      </w:hyperlink>
      <w:r>
        <w:rPr>
          <w:rFonts w:ascii="arial" w:eastAsia="arial" w:hAnsi="arial" w:cs="arial"/>
          <w:color w:val="000000"/>
          <w:sz w:val="20"/>
          <w:lang w:val="en-US" w:eastAsia="en-US" w:bidi="ar-SA"/>
        </w:rPr>
        <w:t xml:space="preserve"> (at 296):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purpose of the Act is manifestly plain: the treatment of the mentally disordered who need protection and care in a provincial psychiatric hospital. Commenting on a similar statute for Prince Edward Island, McQuaid J., speaking for the Supreme Court of that province, in the case of Re Jenkins </w:t>
      </w:r>
      <w:hyperlink r:id="rId419" w:history="1">
        <w:r>
          <w:rPr>
            <w:rFonts w:ascii="arial" w:eastAsia="arial" w:hAnsi="arial" w:cs="arial"/>
            <w:i/>
            <w:color w:val="0077CC"/>
            <w:sz w:val="20"/>
            <w:u w:val="single"/>
            <w:shd w:val="clear" w:color="auto" w:fill="FFFFFF"/>
            <w:lang w:val="en-US" w:eastAsia="en-US" w:bidi="ar-SA"/>
          </w:rPr>
          <w:t>(1984), 5 D.L.R. (4th) 577</w:t>
        </w:r>
      </w:hyperlink>
      <w:r>
        <w:rPr>
          <w:rFonts w:ascii="arial" w:eastAsia="arial" w:hAnsi="arial" w:cs="arial"/>
          <w:color w:val="000000"/>
          <w:sz w:val="20"/>
          <w:lang w:val="en-US" w:eastAsia="en-US" w:bidi="ar-SA"/>
        </w:rPr>
        <w:t xml:space="preserve"> at pp. 589-590 said: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thrust of the Mental Health Act, including its predecessors, has been the safety, support and succour of those who suffer from, or appear to suffer from, a debilitating mental disability or disorder and who, as a consequence, require hospitalization, whether voluntary or otherwise, for their own safety or the safety of others. In this context the word "safety" goes beyond mere protection from the infliction of physical injury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Historically, the law in the English tradition has had a special care and regard for all subjects who suffered from mental disturbance. Although one might question some of the earlier methods countenanced by the law of an earlier day, none the less, the intent was benign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point to be made here is that from the earliest days of English legal history those originally termed "lunatics", now more euphemistically "persons suffering from a mental disorder", were treated as a separate class, requiring and deserving of special care and consideration by the Crown itself but, by reason of their infirmity, subject to certain restrictions as to their freedom of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 agree a liberal interpretation is required to prevent the absurd result of a "race to the door" competition between doctors filling in Certificates to detain and patient's refusing to remain.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 am of the view however the delay here was more than temporal. The certification process was far from complete. There had been no examination by a psychiatrist which presumably was the purpose of the plaintiff's referral to the PAU and Dr. McKnight the who had first examined the plaintiff had already found he was not certifiable under the Act. Dr. Materi should in my view of the evidence also been aware that there was no indication Dr. Mercier had conducted an examination in compliance with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I also accept that the common law doctrine of necessity in emergency situations could have application in certain circumstances. That would be particularly applicable in situations where it was necessary to protect the patient from harming himself or others. [Conway v. Fleming, </w:t>
      </w:r>
      <w:hyperlink r:id="rId420" w:history="1">
        <w:r>
          <w:rPr>
            <w:rFonts w:ascii="arial" w:eastAsia="arial" w:hAnsi="arial" w:cs="arial"/>
            <w:i/>
            <w:color w:val="0077CC"/>
            <w:sz w:val="20"/>
            <w:u w:val="single"/>
            <w:shd w:val="clear" w:color="auto" w:fill="FFFFFF"/>
            <w:lang w:val="en-US" w:eastAsia="en-US" w:bidi="ar-SA"/>
          </w:rPr>
          <w:t>[1996] O.J. No. 1242</w:t>
        </w:r>
      </w:hyperlink>
      <w:r>
        <w:rPr>
          <w:rFonts w:ascii="arial" w:eastAsia="arial" w:hAnsi="arial" w:cs="arial"/>
          <w:color w:val="000000"/>
          <w:sz w:val="20"/>
          <w:lang w:val="en-US" w:eastAsia="en-US" w:bidi="ar-SA"/>
        </w:rPr>
        <w:t xml:space="preserve"> (Gen. Div.)]</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 am not satisfied on the evidence there was an emergency situation here that could reasonably justify a modification of the requirement to detain only "on receipt" of two certificates. There was no indication the plaintiff posed any threat to others and the threat of any harm to himself was not immediate. The plaintiff's history had been one of complete co-operation and he was apparently at Dr. Materi's request placidly waiting her return when he was arrested and detained. He was apparently not even asked if he would mind waiting a few minutes until a psychiatrist could see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Section 22 of the Act clearly mandates the content of the two certificates required. Each must be completed and signed by a physician. The date of the examination must be specified. An opinion that the person is a mentally disordered person must be stated. A summary of the reason for the opinion must be given. There must be a statement that the person requires medical treatment in a Provincial mental health facility and requires care, supervision and control in a Provincial mental health facility for the persons own protection or for the protection of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opinions required of psychiatrists certifying a patient to be properly informed will require review and consideration of available medical history, information on patient interview and personal 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 plaintiff's allegation is that he was seized by security staff, placed in the isolation cell and drugged without his consent in the absence of any examination of him by either Drs. Mercier or Ganesan. The evidence is that Dr. Mercier had signed a Certificate for involuntary committal of the plaintiff just prior to his seizure by the security guards and that Dr. Ganesan signed a Certificate upon his detention and medication in the isolation cell.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DR. MERCIER 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plaintiff does not recall seeing Dr. Mercier at the hospital. Dr. Mercier recalls being present at the time the plaintiff spoke with Dr. McKnight to obtain permission to go on the charity run. She later escorted the plaintiff after the run from the Emergency department to the interview room to meet Dr. Materi.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Dr. Mercier testified she did not agree with Dr. McKnight's approval of the plaintiff going on the run but said nothing. She did not disagree with Dr. McKnight's opinion that the plaintiff was not a person meeting the involuntary certification criteria of the Act at that time. Dr. Mercier's exposure to the plaintiff was very brief and any consideration of an involuntary committal would have required an examination and review process she did not consider taking.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Dr. Mercier said she had viewed his chart and Dr. McKnight's notes during the time the plaintiff was absent on the run. From her observations she would not consider he was suffering mania but was hypomanic which is less serious.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It is of import that there is no notation by Dr. Mercier in the hospital chart concerning the plaintiff. I would expect any relevant difference from Dr. McKnight's conclusion in respect of a patient would have been recorded so that the psychiatrist on referral would have the appropriate information. I would not consider Dr. Mercier's unrecorded observations to be an examination of the plaintiff as contemplated under Section 22 of the Act. I do not believe Dr. Mercier herself considered that she was "examining"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 evidence is that Dr. Mercier signed the Certificate for the plaintiff's involuntary committal after Dr. Materi approached her, told her the plaintiff was "escalating" and asked if she would give a certification.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Dr. Mercier did not see, interview or examine the plaintiff before signing the certificate. Dr. Mercier decided to rely upon the opinion of Dr. Materi and in doing so completely abrogated her duty under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 cannot accept that Dr. Mercier conducted an examination of the plaintiff, within any reasonable meaning of that term in s. 22 of the Act. Dr. Mercier had some knowledge of the plaintiff from her prior brief interaction and review of his chart but chose to accept the plaintiff was "escalating" without attempting to verify this suggestion and without even observing the plaintiff again.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It is also difficult to understand how in the circumstances Dr. Materi could have possibly believed Dr. Mercier was a physician who could provide a certificate in respect of the plaintiff without conducting an examination. Dr. Materi had reviewed the plaintiff's chart and it contained no indication Dr. Mercier had examined the plaintiff, or indeed made any observations of him. She was aware Dr. Mercier was not going to examine the plaintiff before signing a Certificate however Dr. Ganesan would be lead to believe it was the opinion of another physician who had examined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DR. GANESAN 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Dr. Ganesan was Dr. Materi's supervisor and he was intending to review her interview and her plan for the plaintiff and then to assess the plaintiff himself. However the plaintiff was seized by the security guards and brought under restraint to the isolation cell before he could do so. Dr. Ganesan wished to interview the plaintiff as he certainly appreciated the value of an in person interview and observed behaviour which he considered was 50% of the examination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Dr. Ganesan did try to interview the plaintiff in the seclusion cell however the plaintiff was unable or unwilling to participate. He was in an extremely agitated condition resulting from his seizure and detention and thereafter being heavily medicated. Dr. Ganesan may have attempted to initiate an interview while the guards were still present in the cell and restraining the plaintiff or possibly more immediately after they left.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An examination under s. 22 of the Act cannot be thwarted by a patient refusing to be interviewed despite reasonable effort on the part of the examiner. That interpretation would lead to the absurd result that a patient could never be certified regardless of the degree to which that was required unless he or she chose to co-operate.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I accept that Dr. Ganesan in the circumstances did conduct an examination of the plaintiff within the meaning of the Act prior to signing the Certificate. He believed one Certificate had been signed, the plaintiff's chart was available to him, Dr. Materi was present and he had her report and diagnosis, and he personally was able to observe the plaintiff in his distressed condition, and he tried to communicate with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The circumstances of his Certificate, together with his supervisory responsibility in respect of Dr. Materi, and the most unusual circumstances concerning the plaintiff's apprehension should have been of concern to him and certification considered on an interim basis only until he could better investigate and reach a more informed decision. I conclude Dr. Ganesan was negligent in not taking appropriate action when he became aware of the plaintiff's seizure and detention.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As Dr. Materi's supervisor, a review of the plaintiff's chart and a discussion with Dr. Materi would raise a number of concerns to Dr. Ganesan.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The plaintiff had been assessed by an emergency physician who found no need of involuntary committal. The one certificate that had been signed was from Dr. Mercier and there was no record of any examination by her, no interview of any kind, not even any note of observation or concern. Dr. Ganesan made no attempt to talk to her and if he had would likely have realized she had really not done an examination as required under the Act and her certificate was really invalid.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The hospital chart contained the plaintiff's notes which specifically set out his direction not to be medicated. If the notes were missing by that time it was information Dr. Materi was aware of. In the circumstances Dr. Ganesan could have delayed the commencement of the medication for a period to allow the plaintiff to calm down and permit assessment and his reasoning for not wishing 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Dr. Ganesan would have learned the plaintiff had left the hospital, with permission, for several hours and participated in a 10km charity run, and that he had returned after completion to keep his appointment with the PAU. He was therefore clearly attending voluntarily, was not violent, and was expecting to see a psychiatrist or at least have someone discuss his problem with him and what treatment or assistance was available.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Dr. Ganesan would have learned that no one had discussed the possibility of hospital based treatment with him, or addressed his express concerns about medications. No consideration had apparently been given to the fact he was already receiving some community based treatment and possibility he could receive treatment for his current problem in the community from private practitioners.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It must have been apparent to Dr. Ganesan in review of the background material that having the plaintiff presented forcibly and under duress in the seclusion cell as occurred indicated something had gone terribly wrong and required him to investigate the matter quickly and thoroughly to justify the detention.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THE PERSON IS A MENTALLY DISORDERED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A mentally disordered person under s. 1 of the Act is defined to mean a mentally ill person 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 person who has a disorder of the mind that requires treatment and seriously impairs the person's ability</w:t>
      </w:r>
    </w:p>
    <w:p>
      <w:pPr>
        <w:numPr>
          <w:numId w:val="14"/>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to react appropriately to the person's environment, or</w:t>
      </w:r>
    </w:p>
    <w:p>
      <w:pPr>
        <w:numPr>
          <w:numId w:val="14"/>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to associate with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Dr. Mercier, at trial, expressed a concern that the plaintiff was at risk of inadvertent physical harm to himself as patients suffering mania or hypomania can escalate in their behaviour and in an extreme situation could place himself in danger, as an example, by running through traffic inappropriately. Given Dr. Mercier's lack of acting upon any concern she had, having observed the plaintiff, read his chart, and speaking with Dr. McKnight, having recorded no information on the plaintiffs chart to assist others who would be seeing him, and not attending upon the plaintiff to verify any change in his condition as reported by Dr. Materi I must consider her views and analysis has been coloured by hindsight rather than being indicative of foresight on her part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Dr. Ganesan was of the opinion persons with mania or hypomania can be unpredictable and behave in a manner destructive or harmful to themselves. Dr. Ganesan's view is that persons with bipolar disorder are most dangerous to themselves during a manic phase. Dr. Ganesan's personal observations of the plaintiff caused him concern the plaintiff might injure himself but he of course was witness to the violent nature of apprehension and confinement taking place. Dr. Materi's findings were of hypomania with escalation occurring.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In my view because of the detailed report and findings of Dr. Materi coupled with the visual observation and attempt to communicate with the plaintiff he had a reasonable basis to consider the plaintiff met the criteria of a mentally ill person requiring "care, supervision and control of the person necessary for the person's protection", at the time and at least until a more comprehensive review and assessment was 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Conversely I do not find Dr. Mercier at the time she signed the Certificate and without further examination of the plaintiff had an appropriate basis to form that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RIGHT TO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Section 6 of the Regulations and the Act provides "... immediately on admission or transfer or as soon as the person is capable of comprehension ..." the director or officer in charge must inform the patient of the reasons for his or her detention, right to retain and instruct counsel without delay, the right to have the validity of the detention determined by way of habeas corpus, the right to a hearing under s. 25 of the Act, and the right of application to the Supreme Court pursuant to s. 33 of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The plaintiff in the initial stages of his false arrest and imprisonment repeatedly and aggressively made known his wish to speak to a lawyer. His requests were ignored or refused. I find his right to counsel was wrongfully refused. It may be that he was not "capable of comprehension" of some of detail of matters referred to in s. 6 of the Regulation but he was capable of comprehending the right to contact and instruct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The plaintiff should have been advised if he cooperated that he could make a call to a lawyer but no opportunity was afforded. In this context I am of the view the denial was more egregious because of the medication being administered before an ability to consult counsel. Initially some tranquillizing medication could have been given to calm the plaintiff but postpone the giving of the anti-psychotic drugs until his status could be more carefully considered.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The inadvertent mitigating factor which fortunately occurred however was that the plaintiff's parents were notified of his confinement at the PAU and the plaintiff's father Norman Mullins, Q.C. in fact visited with his son within four hours of his confinement and denial of the ability to contact counsel. The denial of the right to counsel although troubling caused the plaintiff no harm or prejudice.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CRIMINAL CODE ALLEGATIONS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Counsel for the plaintiff in argument made allegations of several breaches by the defendants of Criminal Code offences including threats, assault, assault with a weapon, aggravated assault, torture, kidnapping and hostage taking, fraud and forgery.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This is a civil action and defendants are not on trial for any criminal offence. The plaintiff did not plead the offences but seeks to raise them in argument. I agree with counsel for the defendants that not be allowed. I attribute the plaintiff's use of the offences in argument as a method of grandiose emphasis in argument of the civil causes of action that are pleaded.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DIAGNOSIS OF DR. MATERI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Dr. Materi's preliminary diagnosis following her examination and interview of the plaintiff was of mania. She considered it might be bipolar disorder mania but she was unsure and as she was unconvinced she limited her diagnosis to the simpler and more easily understood mania. Her evidence was that she "... felt that Mr. Mullins was suffering from a manic episode. There are a number of reasons why that might have been".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Dr. Materi had received her medical degree however on May 9, 1998 was unable to sign a Certificate under Section 22 of the Act because she was not licensed to practice as a physician. I find her status however had no practical effect in regard to her diagnosis. Dr. Materi in fact became qualified to practice as a physician July 1, 1998, less than two months after the events of May 9, 1998 that are in issue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The plaintiff is correct that Dr. Materi's diagnosis was "... to a lesser or greater degree, accepted and acted upon by Drs. Mercier, Ganesan, Levy, Duke and Long". That however is in the context that the assessment and observations of each of the doctors were confirmatory of her diagnosis. It is not correct that the other doctors simply accepted her diagnosis in the abstract.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The plaintiff attacks Dr. Materi's diagnosis as being wrong and suggests that the plaintiff was correct in believing he suffered only from "Critical Incident Stress".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The plaintiff suggests it is inconceivable that the plaintiff who was assessed by an experienced emergency physicians Drs. McKnight and Mercier as not being a person to be certified under the Act when he left the hospital at approximately 8:30 a.m. with explicit permission to enter a charity run would approximately four hours later after participating in the charity run and returning to the hospital become a "mentally ill person" who was seriously impaired in his ability to react appropriately to his environment or associate with others and that it was necessary he receive immediate medical treatment and be placed under control for his own protection.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The plaintiff, against the advice of Dr. Long, discontinued medication within two months of his release from the PAU. He has experienced no episodes of mania since leaving hospital. His only treatment has been counselling for "Critical Incident Stress".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The issue cannot, however, be resolved that easily. The evidence is that an episode of mania can come on quickly. The evidence is that Dr. Mercier considered the plaintiff was suffering hypomania from her brief encounter with him and Dr. McKnight certainly observed indications of hypomania and his finding against Certification was only his belief that the plaintiff's status was not serious enough on his observation to warrant involuntary confinement, not that escalation might not occur worsening or endangering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There are many symptoms in common between Critical Incident Stress, hypomania and mania. In particular mania which is the most serious, is most unlikely to be confused with Critical Incident Stress. The term "critical incident stress" is used by psychologists and is treated by stress counselling. Mania is a term used by psychiatrists and, if serious, is treated by hospitalization and drug 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The Court is not in a position to diagnose the plaintiff. That is a medical mental health issue that must be based on the evidence of persons of expertise.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Dr. Materi gave her evidence by video deposition which required several days. She was extensively and meticulously cross examined. I found her to be articulate, responsive to questions, and knowledgeable regarding her examination of the plaintiff. She seemed thorough in her collection of information needed to reach a considered diagnosis. Her reaction to some of the plaintiff's actions, mannerisms, explanations, and speech were matters observed by others. The evidence of Dr. Materi appeared to be fair in the sense she fully acknowledged factors that were contrary to her ultimate finding of a diagnosis of mania.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Dr. Remick, an experienced psychiatrist with expertise in the diagnosis and treatment of mood disorders with emphasis on hypomania, mania and bipolar disorder provided some guideposts to the diagnosis of mania.</w:t>
      </w:r>
      <w:r>
        <w:rPr>
          <w:rFonts w:ascii="arial" w:eastAsia="arial" w:hAnsi="arial" w:cs="arial"/>
          <w:sz w:val="20"/>
          <w:lang w:val="en-US" w:eastAsia="en-US" w:bidi="ar-SA"/>
        </w:rPr>
        <w:cr/>
      </w:r>
    </w:p>
    <w:p>
      <w:pPr>
        <w:numPr>
          <w:numId w:val="1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Inflated self-esteem or grandiosity</w:t>
      </w:r>
    </w:p>
    <w:p>
      <w:pPr>
        <w:numPr>
          <w:numId w:val="1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Decreased need for sleep</w:t>
      </w:r>
    </w:p>
    <w:p>
      <w:pPr>
        <w:numPr>
          <w:numId w:val="1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More talkative than usual or pressure to keep talking</w:t>
      </w:r>
    </w:p>
    <w:p>
      <w:pPr>
        <w:numPr>
          <w:numId w:val="1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Flight of ideas (or subjective sense that one's thoughts are racing)</w:t>
      </w:r>
    </w:p>
    <w:p>
      <w:pPr>
        <w:numPr>
          <w:numId w:val="1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Distractibility</w:t>
      </w:r>
    </w:p>
    <w:p>
      <w:pPr>
        <w:numPr>
          <w:numId w:val="1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Increased involvement in goal-directed activities and/or psychomotor agitation</w:t>
      </w:r>
    </w:p>
    <w:p>
      <w:pPr>
        <w:numPr>
          <w:numId w:val="1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Excessive involvement in pleasurable activities with an increased risk of painful consequences (e.g. buying sprees, sexual indiscretions, foolish business investments).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All these symptoms or criteria were observed or reported in respect of the plaintiff. Of significance are three prime indicators differentiating hypomania from mania; with mania being the most serious.</w:t>
      </w:r>
      <w:r>
        <w:rPr>
          <w:rFonts w:ascii="arial" w:eastAsia="arial" w:hAnsi="arial" w:cs="arial"/>
          <w:sz w:val="20"/>
          <w:lang w:val="en-US" w:eastAsia="en-US" w:bidi="ar-SA"/>
        </w:rPr>
        <w:cr/>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Evidence of impairment in judgment</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Psychotic symptoms (hallucinations, delusions)</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Requires hospital care for treatment of the syndrome.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The evidence indicates the presence of all three in the case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Dr. Remick was of the view that it was entirely reasonable on the information known for Dr. Materi to conclude the plaintiff was experiencing mania.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The evidence of Drs. Ganesan, Levy, Duke and Long all support the provisional diagnosis of the defendant Dr. Materi.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Dr. Materi's interview of the plaintiff was variously estimated at 15 to 45 minutes. I accept it was likely in the 30 minute range and it appeared for her part to have been well structured and comprehensive.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Dr. Materi was fully capable of recognizing "pressured speech" and not confusing it with speaking quickly or caused by a nervous reaction. The plaintiff clearly exhibited "flight of thought" with a jumble of relevant information mixed with unsolicited information and ideas that were neither appropriate nor relevant.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The evidence supports a great deal of grandiosity on the part of the plaintiff. He exhibited a need to impress, inflate importance and focus attention on his accomplishments. Whether matters suspect of grandiosity are true, or partly true, is not the issue. It is whether the reason for raising the matter, the manner in which they are raised, and the undue focus on them is what is telling.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In my view Dr. Materi was right in her concern about the plaintiff's account of his uncle's business, the new wife, the Hell's Angels, criminal conspiracy and related matters. I do not find the facts reported support the extreme paranoid assumptions the plaintiff was making.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The plaintiff was describing a pattern of over working, sporadic eating habits, and sleep deprivation.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I am of the view Dr. Materi was entitled to reach her diagnosis and it was not unreasonable in the circumstances. I do not however accept that the plaintiff's situation was so serious that he could not have been asked to wait and see Dr. Ganesan or that it was necessary to act immediately to effectively place him under control and prevent his leaving the interview room prior to her preliminary diagnosis being reviewed with Dr. Ganesan and his examination taking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The plaintiff had co-operated fully with hospital and medical staff. He was referred to the Psychiatry department by Dr. McKnight who did not find him within certification criteria but wished him to see what assistance a psychiatrist could offer. The plaintiff was free to leave the hospital but he wanted to see a psychiatrist as Dr. McKnight wished. He asked specifically for permission to leave and go on a charity run, and he returned immediately thereafter. The plaintiff wanted to see a psychiatrist and he gave no indication to the contrary and I do not find the circumstances before Dr. Materi suggested he would leave the hospital before seeing Dr. Ganesan. Indeed the evidence is he was intending to have a nap while waiting.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In the circumstances Dr. Materi could have arranged quickly for Dr. Ganesan to conduct his interview and make the decision on whether the extreme use of an involuntary admission was required. Her actions were negligent and led to the plaintiff being apprehended and detained without compliance with s. 22 of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LIABILITY OF FARIVAR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The defendant Farivar was a registered nurse employed by the Hospital and was on duty May 1998 in the PAU at the time the plaintiff was admitted.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The defendant Farivar signed the Form 5 (Ex. 60) to Act which permitted administering medication without consent to a patient involuntarily committed. The plaintiff in paragraphs 24, 25 and 30 makes broad allegations against him of falsely stating Dr. Materi explained to him the reasons and likely consequences of the treatments ordered for the plaintiff; that to his knowledge Dr. Materi was not authorized or was incompetent to give the explanation; that he acted in bad faith, was negligent, and acted against the will of the plaintiff administering harmful and injurious medications.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Section 31 of the Act provided that treatment authorized by the director to persons detained under s. 22 of the Act was deemed given with the consent of the person. Section 7(5) of the Regulations provided a Form authorizing that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I have found the defendant Dr. Levy was a director of the PAU for the purpose of the Act and had the power to delegate.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On May 9, 1998 the defendant Farivar was the charge nurse on duty in the PAU and was authorized by the defendant Levy as director to sign Part B of the Form 5 Consent to Treatment. That authorization is recorded in writing in a memorandum issued by the defendant Dr. Levy dated July 16, 1997 and is Exhibit 60 entered into evidence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The defendant Farivar recalls Dr. Materi had completed and signed the physicians portion of the Form 5 before he received it. Dr. Materi recalled in her examination for discovery, read into evidence by the plaintiff, of speaking to the defendant Farivar about the plan for the plaintiff's management as an involuntary admission under the Act, transfer to the quiet room, her provisional diagnosis, and that "... probably we discussed the medications that I had ordered to decrease anxiety, agitation, or paranoid thought processes.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The defendant Farivar did not become a party in this action until after two years from the event. He did not give evidence at trial but answered interrogatories.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The Form 5, Exhibit 60, introduced in evidence by the plaintiff contained the signed statement of the defendant Farivar that "The nature of the condition, the reasons for and the likely consequence(s) of the treatment(s) have been explained to me by Dr. Materi". The statement is itself evidence and it is not contradicted.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I am satisfied there was an explanation provided to the defendant Farivar by the defendant Dr. Materi during their discussion as to the nature of the plaintiff's condition, the reason for treatments and the likely consequence of the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There is no substance to the plaintiff's allegations that the defendant Farivar knew or should have known Dr. Materi was not qualified to provide the explanation he required, or that she lacked competence in any degree. I accept the evidence of Dr. Levy and Dr. Ganesan which is entirely to the contrary. I dismiss the action against the defendant Farivar.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DR. LEVY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Dr. Levy is a well qualified psychiatrist and was a director of the PAU and the Medical Manager of the Unit at the time of the plaintiff's admission May 9,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Dr. Levy was not present in the PAU on the day the plaintiff was admitted and he first came to his attention on the following day, May 10, when he reviewed the plaintiff's chart and conducted an interview and assessment. The defendant Dr. Levy again interviewed and assessed the plaintiff on May 11 but on May 12 and 13 the plaintiff refused to speak with him in the absence of legal counsel. Dr. Levy on the basis of the history and his personal examination of the plaintiff found he did require treatment for mania and his continued hospitalization was necessary for his own protection. He found the medication treatment was generally appropriate but he made some modification for improvement. He met and discussed the plaintiff's condition with his parents but did not accede to his father's demand for the plaintiff's release from the PAU as it was his considered opinion the plaintiff remained a danger to himself and that further treatment was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When the defendant Levy was served with the Writ of Summons in this matter on May 13, 1998 he perceived that placed him in a conflict of interest and his ability to continue to be responsible for the plaintiff's care and treatment was compromised. He arranged for Dr. Duke to assess the plaintiff in his stead.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In my view, unlike Dr. Ganesan, the defendant Dr. Levy was entitled to assume the certificates signed pursuant to Section 22 of the Act by Drs. Mercier and Ganesen were valid and he was entitled to rely upon them without undertaking a review.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I find Dr. Levy is entitled to the benefit of s. 16(f) of the Act that exempts a person from liability in damages if acting in good faith and with reasonable care in "... taking charge of a person on the authority of properly completed ... (i) medical certificates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I find the defendant Dr. Levy acted in what he believed were the plaintiff's best interests for his care and treatment, including arranging for another doctor to be responsible when a litigation conflict of interest arose. I find no evidence that would support a view that he acted in bad faith. The care he provided was reasonable and consistent with good medical practice for a person suffering hypomania or mania as was the overwhelming effect of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SECURITY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The plaintiff alleges that the defendant security guards Geoff Brown, Donna Wright, Robert Coleman; Raymond Weipprecht, an orderly; and Western Pacific Security Group Ltd. ("Western") as employers are liable for the torts of assault and battery, false imprisonment, breaches of the Act and breaches of Charter rights for their role on May 9, 1998 in the plaintiff's apprehension and detention.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The defendant Brown on May 9, 1998 was the officer or team leader on duty to deal with emergency department security matters including incidents of aggression. He had been employed at VGH since 1995 and had received training at the hospital in aggressive behaviour management, on violent crisis intervention and handcuff training.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The defendant Wright was a staff/sgt and had responsibility for supervision and dispatch of security personnel.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The defendant Coleman was a security officer, but at the time in question was not officially on duty but had arrived at work early. He was asked by the defendant Brown to assist.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The defendant Weipprecht, a hospital orderly, was in the vicinity of the interview room at the time of the incident in issue. He heard a "Code White" alert and stopped to assist in the restraint of the plaintiff and his delivery to the PAU isolation room.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The security personnel's involvement occurred as a result of the direction of the defendant Dr. Materi. She told the defendant Brown the plaintiff was in the interview room and that he was admitted to the PAU seclusion room and that he was not to leave the hospital. The defendant Brown understood the plaintiff was barricaded in the interview room and that he would "not be happy" about staying in the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The defendant Brown understood the plaintiff had been "pinked", or perhaps was in the process of being "pinked", a reference by reason of the colour of the form of the Certificate for Involuntary Admission under the Act. The defendant Dr. Materi's recollection was that she advised the defendant Brown that the plaintiff was in the interview room, was going to be admitted, and she was arranging the admission and would be returning. Her evidence is that she did not say he had been certified and she had not really turned her mind to him leaving the hospital. Whatever the precise nature of the discussion between the defendant Dr. Materi and the defendant Brown I accept it was clear that the defendant Dr. Materi was directing that the plaintiff be detained until her return. Her direction was more than just a request that they "stand by" in case they would later be needed.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It is also clear that the security personnel were not trained in respect of the requirements of the Act, nor were they required to be assured there were two signed certificates for an involuntary admission and detention under the Act before they would detain a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The defendant security personnel did not ask to see the certificates before seizing and detaining the plaintiff with assaults committed in the process. There is no evidence to suggest the security personnel had any reason to believe the plaintiff was dangerous or violent, or had even been told not to leave the hospital. That a person "may not be happy" to learn he is to remain in hospital is not an appropriate basis to first imprison and physically restrain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The evidence is that the security personnel act on the direction of doctors in restraining and detaining patients. They do not appear to question, seek verification, or exercise independent analysis in respect of implementation of involuntary admissions and detentions under the Act. That is what the defendant hospital wishes them to do and they must therefore stand fully responsible as employer for their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These defendants argue that a brief period of detention before the second certificate [Dr. Ganesan's] was completed is justified on the basis of the common law defence of necessity. I reject that argument as I did in relation to the defendant Dr. Materi. When Dr. Materi first spoke to the defendant Brown possibly no certificates had been signed and they knew of no facts justifying necessity for arrest and detention, however the intention of the security personnel team assembled from that point on was that the plaintiff was to be confined to the interview room - forcibly if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The defendant security personnel also seek to rely upon the exemption under s. 16 of the Act that they were acting in "... good faith and with reasonable care in (f) ... transporting or taking charge of a person on the authority of properly completed medical certificates ...". The entire involvement of the security personnel however had clearly occurred prior to there being two signed medical certificates as required by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The defendants also apply for a dismissal of the action against them pursuant to Rule 40(8) and Rule 57 on the basis of a Limitation Act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The defendants Brown, Wright, Coleman and Weipprecht were added or substituted as defendants by the Order of Master Donaldson on November 28, 2000 and that Order reserved to trial the issue of a limitation defence. The defence is pled at paragraph 15 of the Statement of Defence of these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The claims against the individual defendants under s. 3(2)(a) and (d) of the Limitation Act in respect of damages for injury to person or property or for false imprisonment were limited to two years from the date the right to commence an action arose which would have occurred on or about May 15, 1998 when the plaintiff was released from the PAU.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Section 6(4) of the Limitation Act provides that time does not begin to run until the identity of the defendant is known to the plaintiff and:</w:t>
      </w:r>
      <w:r>
        <w:rPr>
          <w:rFonts w:ascii="arial" w:eastAsia="arial" w:hAnsi="arial" w:cs="arial"/>
          <w:sz w:val="20"/>
          <w:lang w:val="en-US" w:eastAsia="en-US" w:bidi="ar-SA"/>
        </w:rPr>
        <w:cr/>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Time does not begin to run against a plaintiff with respect to an action referred to in subsection (3) until the identity of the defendant is known to the plaintiff and those facts within the plaintiff's means of knowledge are such that a reasonable person, knowing those facts and having taken the appropriate advice a reasonable person would seek on those facts, would regard those facts as showing that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person whose means of knowledge is in question ought, in the person's own interests and taking the person's circumstances into account, to be able to bring an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xml:space="preserve">  A demonstration of due diligence in seeking the identification of a person sought to be added to an action after the expiration of a limitation is required. [Krusel v. Firth </w:t>
      </w:r>
      <w:hyperlink r:id="rId421" w:history="1">
        <w:r>
          <w:rPr>
            <w:rFonts w:ascii="arial" w:eastAsia="arial" w:hAnsi="arial" w:cs="arial"/>
            <w:i/>
            <w:color w:val="0077CC"/>
            <w:sz w:val="20"/>
            <w:u w:val="single"/>
            <w:shd w:val="clear" w:color="auto" w:fill="FFFFFF"/>
            <w:lang w:val="en-US" w:eastAsia="en-US" w:bidi="ar-SA"/>
          </w:rPr>
          <w:t>(1991), 58 B.C.L.R. (2d) 145</w:t>
        </w:r>
      </w:hyperlink>
      <w:r>
        <w:rPr>
          <w:rFonts w:ascii="arial" w:eastAsia="arial" w:hAnsi="arial" w:cs="arial"/>
          <w:color w:val="000000"/>
          <w:sz w:val="20"/>
          <w:lang w:val="en-US" w:eastAsia="en-US" w:bidi="ar-SA"/>
        </w:rPr>
        <w:t xml:space="preserve"> (C.A.); Tutinka v. Mainland Sand &amp; Gravel Ltd. </w:t>
      </w:r>
      <w:hyperlink r:id="rId422" w:history="1">
        <w:r>
          <w:rPr>
            <w:rFonts w:ascii="arial" w:eastAsia="arial" w:hAnsi="arial" w:cs="arial"/>
            <w:i/>
            <w:color w:val="0077CC"/>
            <w:sz w:val="20"/>
            <w:u w:val="single"/>
            <w:shd w:val="clear" w:color="auto" w:fill="FFFFFF"/>
            <w:lang w:val="en-US" w:eastAsia="en-US" w:bidi="ar-SA"/>
          </w:rPr>
          <w:t>(1993), 86 B.C.L.R. (2d) 145</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xml:space="preserve">  The defendant's argue that the identities of parties could have been easily ascertained within the two year time limited. The defendants further argue that the plaintiff had facts within his means of knowledge, that on an objective basis a reasonable person, knowing the facts, and upon the taking of appropriate advise, would have regarded the facts as showing that an action would have a reasonable prospect of success viewed in light of his particular circumstances and in his own interest the plaintiff could reasonably have brought an action. [Vance v. Peglar </w:t>
      </w:r>
      <w:hyperlink r:id="rId423" w:history="1">
        <w:r>
          <w:rPr>
            <w:rFonts w:ascii="arial" w:eastAsia="arial" w:hAnsi="arial" w:cs="arial"/>
            <w:i/>
            <w:color w:val="0077CC"/>
            <w:sz w:val="20"/>
            <w:u w:val="single"/>
            <w:shd w:val="clear" w:color="auto" w:fill="FFFFFF"/>
            <w:lang w:val="en-US" w:eastAsia="en-US" w:bidi="ar-SA"/>
          </w:rPr>
          <w:t>(1996), 138 D.L.R. (4th) 711</w:t>
        </w:r>
      </w:hyperlink>
      <w:r>
        <w:rPr>
          <w:rFonts w:ascii="arial" w:eastAsia="arial" w:hAnsi="arial" w:cs="arial"/>
          <w:color w:val="000000"/>
          <w:sz w:val="20"/>
          <w:lang w:val="en-US" w:eastAsia="en-US" w:bidi="ar-SA"/>
        </w:rPr>
        <w:t xml:space="preserve"> (B.C.C.A.); Novak v. Bond, </w:t>
      </w:r>
      <w:hyperlink r:id="rId424" w:history="1">
        <w:r>
          <w:rPr>
            <w:rFonts w:ascii="arial" w:eastAsia="arial" w:hAnsi="arial" w:cs="arial"/>
            <w:i/>
            <w:color w:val="0077CC"/>
            <w:sz w:val="20"/>
            <w:u w:val="single"/>
            <w:shd w:val="clear" w:color="auto" w:fill="FFFFFF"/>
            <w:lang w:val="en-US" w:eastAsia="en-US" w:bidi="ar-SA"/>
          </w:rPr>
          <w:t>[1999] 1 S.C.R. 808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The Writ of Summons and Statement of Claim was issued hastily May 12, 1998. There were several errors in the names and spelling of names requiring amendment. There were six "John Doe"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The defendant VGH delivered its first List of Documents and the documents including 68 pages of hospital chart were delivered October 30, 1998. I accept the information recorded on the hospital charts is not easily read and comprehended because of coding, symbols, medical terminology, slang, short forming and illegible writing.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Dr. Levy was first examined for discovery January 20, 1999 and April 19, 1999 and an Order was made correcting names of existing defendants, adding two defendants (Drs. Mercier and Ganesan); John Doe 5 was deleted and Jane Doe was substituted for John Doe 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Further examinations of the defendants Dr. Levy and Dr. Materi were held In October and November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The application to substitute the defendants Brown, Wright, Coleman and to add defendants Weipprecht and Farivar was by Motion of September 28, 2000 but not heard until November 28,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The identity, involvement, and ability of counsel to have converted by substitution or adding of defendants the security personnel, the orderly Weipprecht and the nurse Farivar was available well within the limitation period prior to May 2000 and I find the plaintiff has given no basis for an extension of the limitation under s. 6(4) of the Limitation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Section 4(1)(d) of the Limitation Act however provides that expiration of time under s. 3 of the Act is not an absolute bar to adding or substituting new defendants to an existing action "... with respect to any claim related to or connection with the subject matter of the original action". The expiration of the applicable limitation period is however a factor to be considered in the Court's discretion to add or substitute a party under Rule 15 of the Rules of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xml:space="preserve">  In Lui v. West Granville Manor Ltd. </w:t>
      </w:r>
      <w:hyperlink r:id="rId425" w:history="1">
        <w:r>
          <w:rPr>
            <w:rFonts w:ascii="arial" w:eastAsia="arial" w:hAnsi="arial" w:cs="arial"/>
            <w:i/>
            <w:color w:val="0077CC"/>
            <w:sz w:val="20"/>
            <w:u w:val="single"/>
            <w:shd w:val="clear" w:color="auto" w:fill="FFFFFF"/>
            <w:lang w:val="en-US" w:eastAsia="en-US" w:bidi="ar-SA"/>
          </w:rPr>
          <w:t>(1987) 11 B.C.L.R. (2d) 273</w:t>
        </w:r>
      </w:hyperlink>
      <w:r>
        <w:rPr>
          <w:rFonts w:ascii="arial" w:eastAsia="arial" w:hAnsi="arial" w:cs="arial"/>
          <w:color w:val="000000"/>
          <w:sz w:val="20"/>
          <w:lang w:val="en-US" w:eastAsia="en-US" w:bidi="ar-SA"/>
        </w:rPr>
        <w:t xml:space="preserve"> at 302, Lambert J.A. held that even though a fully accrued limitation defence would be defeated and an extinguished cause of action reversed: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court has power to permit or prevent proceedings which would bring in a new party by counterclaim, third party proceedings, or the addition or substitution of a party, and that the power is granted in wide enough terms to permit consideration of whether a limitation defence will be removed by its exercise; and, second, on the relevant guideline governing the exercise of the power, that the removal of a limitation defence is a factor that the court may consider in deciding how to exercise its power to permit or prevent proceedings which have the effect of bringing a new party into an existing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Certainly the plaintiff's claims and allegations involving the security personnel are so intertwined with his claims against the doctors and hospital that there exists "... a real and substantial connection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The security personnel were effectively an extension or agent of the doctors who directed them in their involvement with the plaintiff. They also seek the same protection under the Act sought by the doctors who direct them. The hospital sanctioned the policy and procedures of the security personnel involvement.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The delay here in adding and substituting security personnel was not lengthy, the motion to add being launched only four months past the primary two year limitation period. The presence of the John and Jane Doe defendants always signalled an intention there would be additional defendants and I do not see there is any significant prejudice to the defendants. The VGH as employer has been a party from inception and therefore well able to conduct necessary investigations and preserved needed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I will exercise my discretion under Rule 15(5)(a)(ii) and (iii) and confirm the Order of Master Donaldson of November 28, 2000 adding and substituting the security defendants and the defendants Weipprecht and Farivar as necessary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It is argued on behalf of the defendant Coleman that he took no part in the apprehension and detainment of the plaintiff but was just helping out by positioning himself to keep the public from entering a hallway which could be a possible exit to the plaintiff. I disagree with this view of the defendant Coleman's role. He was an integral part of the team plan as deployed to confine the plaintiff to the interview room. The plaintiff was in fact being confined to the interview room before he himself was aware of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The implication is clear that as part of the team implementing the plan to control and confine the plaintiff the defendant Coleman was prepared to follow the direction of the team leader Brown.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I do not accept the defendants argument they were simply "... meeting VGH's common law obligation to maintain a reasonable level of supervision and security for patients and visitors and to contain any dangerous or violent situations on the premises". There was no dangerous or violent situation prior to the defendant Dr. Materi ordering their intervention.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The actions taken by the security guards may be explained, but not legally justified, by the orders under which they were operating. The force used may only have been commensurate with that needed to safely restrain and detain the plaintiff in the circumstances. They however had no right to restrain and detain him. They chose to act entirely on the view of the instructing doctor and where that doctor has no foundation for the detention that cannot excuse the action of these defendants cannot be excused.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CONSTITUTIONAL CHALLENGE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The plaintiff's position is that he was misdiagnosed by the medical defendants as suffering a serious mental disorder and his apprehension and detention in the PAU was unlawful for which he seeks an award of general, aggravated and punitive or exemplary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The defendants, inter alia, seek the protection of the immunity from liability provisions of s. 16 of the Act on the basis they acted reasonably and in good faith.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The plaintiff reacts that the Act must be invalid if it could authorize the involuntary committal and treatment of persons, as he viewed himself, not suffering a serious mental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xml:space="preserve">  In this fashion has a private dispute between the plaintiff and the defendants evolved to include a public law dispute as to the validity of British Columbia's mental health legislative scheme. The plaintiff's challenge is however misguided, as if defendants acted in accordance with the Act, in good faith and for no improper purpose they would not be held liable in damages even if the Act were subsequently held invalid. [Schachter v. Canada, </w:t>
      </w:r>
      <w:r>
        <w:rPr>
          <w:rFonts w:ascii="arial" w:eastAsia="arial" w:hAnsi="arial" w:cs="arial"/>
          <w:i/>
          <w:color w:val="000000"/>
          <w:sz w:val="20"/>
          <w:lang w:val="en-US" w:eastAsia="en-US" w:bidi="ar-SA"/>
        </w:rPr>
        <w:t>[1992] 2 S.C.R. 679</w:t>
      </w:r>
      <w:r>
        <w:rPr>
          <w:rFonts w:ascii="arial" w:eastAsia="arial" w:hAnsi="arial" w:cs="arial"/>
          <w:color w:val="000000"/>
          <w:sz w:val="20"/>
          <w:lang w:val="en-US" w:eastAsia="en-US" w:bidi="ar-SA"/>
        </w:rPr>
        <w:t xml:space="preserve"> at 719-20; Mackin v. New Brunswick (Minister of Finance), </w:t>
      </w:r>
      <w:hyperlink r:id="rId426" w:history="1">
        <w:r>
          <w:rPr>
            <w:rFonts w:ascii="arial" w:eastAsia="arial" w:hAnsi="arial" w:cs="arial"/>
            <w:i/>
            <w:color w:val="0077CC"/>
            <w:sz w:val="20"/>
            <w:u w:val="single"/>
            <w:shd w:val="clear" w:color="auto" w:fill="FFFFFF"/>
            <w:lang w:val="en-US" w:eastAsia="en-US" w:bidi="ar-SA"/>
          </w:rPr>
          <w:t>[2002] 1 S.C.R. 405</w:t>
        </w:r>
      </w:hyperlink>
      <w:r>
        <w:rPr>
          <w:rFonts w:ascii="arial" w:eastAsia="arial" w:hAnsi="arial" w:cs="arial"/>
          <w:color w:val="000000"/>
          <w:sz w:val="20"/>
          <w:lang w:val="en-US" w:eastAsia="en-US" w:bidi="ar-SA"/>
        </w:rPr>
        <w:t xml:space="preserve"> at [paragraph] 78-81; Guimond v. Quebec (Attorney General), </w:t>
      </w:r>
      <w:hyperlink r:id="rId427" w:history="1">
        <w:r>
          <w:rPr>
            <w:rFonts w:ascii="arial" w:eastAsia="arial" w:hAnsi="arial" w:cs="arial"/>
            <w:i/>
            <w:color w:val="0077CC"/>
            <w:sz w:val="20"/>
            <w:u w:val="single"/>
            <w:shd w:val="clear" w:color="auto" w:fill="FFFFFF"/>
            <w:lang w:val="en-US" w:eastAsia="en-US" w:bidi="ar-SA"/>
          </w:rPr>
          <w:t>[1996] 3 S.C.R. 347</w:t>
        </w:r>
      </w:hyperlink>
      <w:r>
        <w:rPr>
          <w:rFonts w:ascii="arial" w:eastAsia="arial" w:hAnsi="arial" w:cs="arial"/>
          <w:color w:val="000000"/>
          <w:sz w:val="20"/>
          <w:lang w:val="en-US" w:eastAsia="en-US" w:bidi="ar-SA"/>
        </w:rPr>
        <w:t xml:space="preserve"> at [paragraph] 18-19; Quebec (Human Rights Commission) v. City of Montreal, </w:t>
      </w:r>
      <w:hyperlink r:id="rId428" w:history="1">
        <w:r>
          <w:rPr>
            <w:rFonts w:ascii="arial" w:eastAsia="arial" w:hAnsi="arial" w:cs="arial"/>
            <w:i/>
            <w:color w:val="0077CC"/>
            <w:sz w:val="20"/>
            <w:u w:val="single"/>
            <w:shd w:val="clear" w:color="auto" w:fill="FFFFFF"/>
            <w:lang w:val="en-US" w:eastAsia="en-US" w:bidi="ar-SA"/>
          </w:rPr>
          <w:t>[2004] 1 S.C.R. 789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The constitutional challenge need not therefore be considered when the purpose for it being raised is to obtain damages, as at best it would result in a bare declaration of invalidity.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The plaintiff's constitutional challenge is based upon whether the Act is constitutionally invalid if it authorizes his detention and treatment even though he does not suffer from a mental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In broad measure the plaintiff challenges the Act as being an unjustifiable violation of ss. 7, 8, 9, 11 &amp; 12 of the Charter as it:</w:t>
      </w:r>
      <w:r>
        <w:rPr>
          <w:rFonts w:ascii="arial" w:eastAsia="arial" w:hAnsi="arial" w:cs="arial"/>
          <w:sz w:val="20"/>
          <w:lang w:val="en-US" w:eastAsia="en-US" w:bidi="ar-SA"/>
        </w:rPr>
        <w:cr/>
      </w:r>
    </w:p>
    <w:p>
      <w:pPr>
        <w:numPr>
          <w:numId w:val="1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includes committal criteria that are vague and overbroad;</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lacks sufficient procedural safeguards for review of the detention of persons involuntarily committed;</w:t>
      </w:r>
    </w:p>
    <w:p>
      <w:pPr>
        <w:numPr>
          <w:numId w:val="2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lacks criteria necessary to protect persons from the arbitrary actions of physicians;</w:t>
      </w:r>
    </w:p>
    <w:p>
      <w:pPr>
        <w:numPr>
          <w:numId w:val="2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fails to protect persons from the stigma of being declared mentally ill;</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fails to promote conditions which would guarantee the dignity of persons who have been committed;</w:t>
      </w:r>
    </w:p>
    <w:p>
      <w:pPr>
        <w:numPr>
          <w:numId w:val="2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fails to protect against unreasonable search and seizure, cruel and unusual punishment and arbitrary detention; and</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fails to properly provide for the right to counsel upon detention.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xml:space="preserve">  The plaintiff also by amendment to his Notice of Constitutional Question adds s. 2 of the Health Care (Consent) and Care Facility (Admission) Act, </w:t>
      </w:r>
      <w:r>
        <w:rPr>
          <w:rFonts w:ascii="arial" w:eastAsia="arial" w:hAnsi="arial" w:cs="arial"/>
          <w:i/>
          <w:color w:val="000000"/>
          <w:sz w:val="20"/>
          <w:lang w:val="en-US" w:eastAsia="en-US" w:bidi="ar-SA"/>
        </w:rPr>
        <w:t>R.S.B.C. 1996, c. 181</w:t>
      </w:r>
      <w:r>
        <w:rPr>
          <w:rFonts w:ascii="arial" w:eastAsia="arial" w:hAnsi="arial" w:cs="arial"/>
          <w:color w:val="000000"/>
          <w:sz w:val="20"/>
          <w:lang w:val="en-US" w:eastAsia="en-US" w:bidi="ar-SA"/>
        </w:rPr>
        <w:t xml:space="preserve"> ("HCCA") as unjustifiably infringing on s. 15(1) of the Charter as excluding persons with mental disorder from provisions requiring physicians to obtain a patient's informal consent to treatment, or alternatively the informed consent of a substitute decision maker.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The plaintiff questions the validity of the Act for not requiring physicians to obtain a mentally disordered patients informed consent to treatment, or that of a substitute decision maker, like the requirement under the HCCA for persons who suffer from a physical illness.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The plaintiff added during argument that the Act violates s. 15(1) on the ground that persons found not criminally responsible by reason of a mental disorder ("NCRMD") under the Criminal Code receive more favourable treatment than does a law abiding mentally disordered person who meets the Act's criteria for committal.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In relation to the plaintiff's challenge of the validity of the Act on grounds it wrongly authorizes detention and treatment of persons who allegedly do not suffer from a mental illness. I have found the evidence does not support the plaintiff's contention that he was misdiagnosed. The provisional diagnosis of Dr. Materi was more likely correct as it was supported by the medical opinion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Even if the plaintiff was misdiagnosed that error and resultant committal, detention and treatment cannot be said to be authorized by the Act, as the Act only applies to a person suffering a mental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The question in this case is not whether the Act violates the constitutional rights of persons suffering a mental disorder but is whether the Act is constitutionally invalid as explicitly or impliedly authorizing involuntary committal and treatment of persons not suffering from a mental disorder. In the present context therefore the focus must be whether the Act was drafted so as to authorize infringement of the constitutional rights of persons who do not suffer a mental disorder and ought not to be affected by the Mental Health legislation.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STANDING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The plaintiff denies he suffered from a mental illness or disorder for the purposes of the Act. That position determines the plaintiff has a lack of standing to litigate a constitutional challenge to the Act as it affects persons who do suffer from a mental disorder. The plaintiff seeks to litigate the Charter rights of others and that absent the exception of a public interest standing he cannot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xml:space="preserve">  Charter rights should be adjudicated upon only when necessary to ensure they are approached incrementally and within proper contest. [Abrams v. Collins, </w:t>
      </w:r>
      <w:hyperlink r:id="rId429" w:history="1">
        <w:r>
          <w:rPr>
            <w:rFonts w:ascii="arial" w:eastAsia="arial" w:hAnsi="arial" w:cs="arial"/>
            <w:i/>
            <w:color w:val="0077CC"/>
            <w:sz w:val="20"/>
            <w:u w:val="single"/>
            <w:shd w:val="clear" w:color="auto" w:fill="FFFFFF"/>
            <w:lang w:val="en-US" w:eastAsia="en-US" w:bidi="ar-SA"/>
          </w:rPr>
          <w:t>[2002] B.C.J. No. 2917</w:t>
        </w:r>
      </w:hyperlink>
      <w:r>
        <w:rPr>
          <w:rFonts w:ascii="arial" w:eastAsia="arial" w:hAnsi="arial" w:cs="arial"/>
          <w:color w:val="000000"/>
          <w:sz w:val="20"/>
          <w:lang w:val="en-US" w:eastAsia="en-US" w:bidi="ar-SA"/>
        </w:rPr>
        <w:t xml:space="preserve">, </w:t>
      </w:r>
      <w:hyperlink r:id="rId429" w:history="1">
        <w:r>
          <w:rPr>
            <w:rFonts w:ascii="arial" w:eastAsia="arial" w:hAnsi="arial" w:cs="arial"/>
            <w:i/>
            <w:color w:val="0077CC"/>
            <w:sz w:val="20"/>
            <w:u w:val="single"/>
            <w:shd w:val="clear" w:color="auto" w:fill="FFFFFF"/>
            <w:lang w:val="en-US" w:eastAsia="en-US" w:bidi="ar-SA"/>
          </w:rPr>
          <w:t>2002 BCSC 1774</w:t>
        </w:r>
      </w:hyperlink>
      <w:r>
        <w:rPr>
          <w:rFonts w:ascii="arial" w:eastAsia="arial" w:hAnsi="arial" w:cs="arial"/>
          <w:color w:val="000000"/>
          <w:sz w:val="20"/>
          <w:lang w:val="en-US" w:eastAsia="en-US" w:bidi="ar-SA"/>
        </w:rPr>
        <w:t xml:space="preserve">, aff'd </w:t>
      </w:r>
      <w:hyperlink r:id="rId430" w:history="1">
        <w:r>
          <w:rPr>
            <w:rFonts w:ascii="arial" w:eastAsia="arial" w:hAnsi="arial" w:cs="arial"/>
            <w:i/>
            <w:color w:val="0077CC"/>
            <w:sz w:val="20"/>
            <w:u w:val="single"/>
            <w:shd w:val="clear" w:color="auto" w:fill="FFFFFF"/>
            <w:lang w:val="en-US" w:eastAsia="en-US" w:bidi="ar-SA"/>
          </w:rPr>
          <w:t>[2004] B.C.J. No. 376</w:t>
        </w:r>
      </w:hyperlink>
      <w:r>
        <w:rPr>
          <w:rFonts w:ascii="arial" w:eastAsia="arial" w:hAnsi="arial" w:cs="arial"/>
          <w:color w:val="000000"/>
          <w:sz w:val="20"/>
          <w:lang w:val="en-US" w:eastAsia="en-US" w:bidi="ar-SA"/>
        </w:rPr>
        <w:t xml:space="preserve">, </w:t>
      </w:r>
      <w:hyperlink r:id="rId430" w:history="1">
        <w:r>
          <w:rPr>
            <w:rFonts w:ascii="arial" w:eastAsia="arial" w:hAnsi="arial" w:cs="arial"/>
            <w:i/>
            <w:color w:val="0077CC"/>
            <w:sz w:val="20"/>
            <w:u w:val="single"/>
            <w:shd w:val="clear" w:color="auto" w:fill="FFFFFF"/>
            <w:lang w:val="en-US" w:eastAsia="en-US" w:bidi="ar-SA"/>
          </w:rPr>
          <w:t>2004 BCCA 96</w:t>
        </w:r>
      </w:hyperlink>
      <w:r>
        <w:rPr>
          <w:rFonts w:ascii="arial" w:eastAsia="arial" w:hAnsi="arial" w:cs="arial"/>
          <w:color w:val="000000"/>
          <w:sz w:val="20"/>
          <w:lang w:val="en-US" w:eastAsia="en-US" w:bidi="ar-SA"/>
        </w:rPr>
        <w:t xml:space="preserve">; Canadian Council of Churches v. Canada (Minister of Employment and Immigration), </w:t>
      </w:r>
      <w:r>
        <w:rPr>
          <w:rFonts w:ascii="arial" w:eastAsia="arial" w:hAnsi="arial" w:cs="arial"/>
          <w:i/>
          <w:color w:val="000000"/>
          <w:sz w:val="20"/>
          <w:lang w:val="en-US" w:eastAsia="en-US" w:bidi="ar-SA"/>
        </w:rPr>
        <w:t>[1992] 1 S.C.R. 236</w:t>
      </w:r>
      <w:r>
        <w:rPr>
          <w:rFonts w:ascii="arial" w:eastAsia="arial" w:hAnsi="arial" w:cs="arial"/>
          <w:color w:val="000000"/>
          <w:sz w:val="20"/>
          <w:lang w:val="en-US" w:eastAsia="en-US" w:bidi="ar-SA"/>
        </w:rPr>
        <w:t xml:space="preserve">; Borowski v. Canada (Attorney General), </w:t>
      </w:r>
      <w:hyperlink r:id="rId431" w:history="1">
        <w:r>
          <w:rPr>
            <w:rFonts w:ascii="arial" w:eastAsia="arial" w:hAnsi="arial" w:cs="arial"/>
            <w:i/>
            <w:color w:val="0077CC"/>
            <w:sz w:val="20"/>
            <w:u w:val="single"/>
            <w:shd w:val="clear" w:color="auto" w:fill="FFFFFF"/>
            <w:lang w:val="en-US" w:eastAsia="en-US" w:bidi="ar-SA"/>
          </w:rPr>
          <w:t>[1989] 1 S.C.R. 342</w:t>
        </w:r>
      </w:hyperlink>
      <w:r>
        <w:rPr>
          <w:rFonts w:ascii="arial" w:eastAsia="arial" w:hAnsi="arial" w:cs="arial"/>
          <w:color w:val="000000"/>
          <w:sz w:val="20"/>
          <w:lang w:val="en-US" w:eastAsia="en-US" w:bidi="ar-SA"/>
        </w:rPr>
        <w:t xml:space="preserve">; Phillips v. Nova Scotia (Commission of Inquiry into the Westray Mine Tragedy), </w:t>
      </w:r>
      <w:hyperlink r:id="rId432" w:history="1">
        <w:r>
          <w:rPr>
            <w:rFonts w:ascii="arial" w:eastAsia="arial" w:hAnsi="arial" w:cs="arial"/>
            <w:i/>
            <w:color w:val="0077CC"/>
            <w:sz w:val="20"/>
            <w:u w:val="single"/>
            <w:shd w:val="clear" w:color="auto" w:fill="FFFFFF"/>
            <w:lang w:val="en-US" w:eastAsia="en-US" w:bidi="ar-SA"/>
          </w:rPr>
          <w:t>[1995] 2 S.C.R. 97</w:t>
        </w:r>
      </w:hyperlink>
      <w:r>
        <w:rPr>
          <w:rFonts w:ascii="arial" w:eastAsia="arial" w:hAnsi="arial" w:cs="arial"/>
          <w:color w:val="000000"/>
          <w:sz w:val="20"/>
          <w:lang w:val="en-US" w:eastAsia="en-US" w:bidi="ar-SA"/>
        </w:rPr>
        <w:t xml:space="preserve">; Edmonton Journal v. Alberta (Attorney General), </w:t>
      </w:r>
      <w:hyperlink r:id="rId433" w:history="1">
        <w:r>
          <w:rPr>
            <w:rFonts w:ascii="arial" w:eastAsia="arial" w:hAnsi="arial" w:cs="arial"/>
            <w:i/>
            <w:color w:val="0077CC"/>
            <w:sz w:val="20"/>
            <w:u w:val="single"/>
            <w:shd w:val="clear" w:color="auto" w:fill="FFFFFF"/>
            <w:lang w:val="en-US" w:eastAsia="en-US" w:bidi="ar-SA"/>
          </w:rPr>
          <w:t>[1989] 2 S.C.R. 1326</w:t>
        </w:r>
      </w:hyperlink>
      <w:r>
        <w:rPr>
          <w:rFonts w:ascii="arial" w:eastAsia="arial" w:hAnsi="arial" w:cs="arial"/>
          <w:color w:val="000000"/>
          <w:sz w:val="20"/>
          <w:lang w:val="en-US" w:eastAsia="en-US" w:bidi="ar-SA"/>
        </w:rPr>
        <w:t xml:space="preserve"> at 1326-1334, 1351-1356; and MacKay v. Manitoba, </w:t>
      </w:r>
      <w:hyperlink r:id="rId434" w:history="1">
        <w:r>
          <w:rPr>
            <w:rFonts w:ascii="arial" w:eastAsia="arial" w:hAnsi="arial" w:cs="arial"/>
            <w:i/>
            <w:color w:val="0077CC"/>
            <w:sz w:val="20"/>
            <w:u w:val="single"/>
            <w:shd w:val="clear" w:color="auto" w:fill="FFFFFF"/>
            <w:lang w:val="en-US" w:eastAsia="en-US" w:bidi="ar-SA"/>
          </w:rPr>
          <w:t>[1989] 2 S.C.R. 357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The plaintiff not only questions the applicability of the Act to him, but he alternatively argues that if the provisions of the Act and Regulations are properly construed in his case they are as a consequence constitutionally invalid. It is the alternate argument which raises the question of standing.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The plaintiff's case is based upon his denial that he is not a mentally disordered person for purposes of the Act and there is no alternative pleading that if he is found to have been a mentally disordered person for purposes of the Act, it is nonetheless invalid on constitutional grounds.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The plaintiff therefore claims no direct interest in the operations of the Act as they relate to persons with mental disorders; rather his interest is to challenge the Act if it authorizes the committal and treatment of persons who do not suffer form mental disorders.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I conclude the plaintiff does lack private interest standing and must satisfy the test for public interest standing to proceed with his constitutional challenge.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In Canadian Council of Churches v. Canada (Minister of Employment and Immigration), supra p. 253 the Court delineates considerations of whether:</w:t>
      </w:r>
      <w:r>
        <w:rPr>
          <w:rFonts w:ascii="arial" w:eastAsia="arial" w:hAnsi="arial" w:cs="arial"/>
          <w:sz w:val="20"/>
          <w:lang w:val="en-US" w:eastAsia="en-US" w:bidi="ar-SA"/>
        </w:rPr>
        <w:cr/>
      </w:r>
    </w:p>
    <w:p>
      <w:pPr>
        <w:numPr>
          <w:numId w:val="2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 serious issue to be tried;</w:t>
      </w:r>
    </w:p>
    <w:p>
      <w:pPr>
        <w:numPr>
          <w:numId w:val="2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established that the plaintiff is directly affected by the legislation or has a genuine interest in its validity; and</w:t>
      </w:r>
    </w:p>
    <w:p>
      <w:pPr>
        <w:numPr>
          <w:numId w:val="2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 other reasonable and effective way to bring the issues before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The plaintiff cannot meet the criteria to obtain standing on the basis "... there is no other reasonable and effective way to bring the issues before the court", when anyone who actually does suffer from a mental disorder or mental illness pursuant to the Act is clearly in a position to bring the challenge.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VIOLATION OF S. 7 OF THE CHARTER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The plaintiff's challenge raises the question of whether the Act is constitutionally invalid by authorizing the committal and treatment of persons who do not suffer from mental disorders.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xml:space="preserve">  A plain reading of the Act does not found an authorization for the committal and treatment of anyone other than those persons suffering from a serious mental illness. The Act can clearly be read so it complies with the Charter where what is at issue is the constitutional right not to be detained or treated unless they suffer from a serious mental illness. [Bell ExpressVu Limited Partnership v. Rex, </w:t>
      </w:r>
      <w:hyperlink r:id="rId435" w:history="1">
        <w:r>
          <w:rPr>
            <w:rFonts w:ascii="arial" w:eastAsia="arial" w:hAnsi="arial" w:cs="arial"/>
            <w:i/>
            <w:color w:val="0077CC"/>
            <w:sz w:val="20"/>
            <w:u w:val="single"/>
            <w:shd w:val="clear" w:color="auto" w:fill="FFFFFF"/>
            <w:lang w:val="en-US" w:eastAsia="en-US" w:bidi="ar-SA"/>
          </w:rPr>
          <w:t>[2002] 2 S.C.R. 559</w:t>
        </w:r>
      </w:hyperlink>
      <w:r>
        <w:rPr>
          <w:rFonts w:ascii="arial" w:eastAsia="arial" w:hAnsi="arial" w:cs="arial"/>
          <w:color w:val="000000"/>
          <w:sz w:val="20"/>
          <w:lang w:val="en-US" w:eastAsia="en-US" w:bidi="ar-SA"/>
        </w:rPr>
        <w:t xml:space="preserve">; Slaight Communications Inc. v. Davidson, </w:t>
      </w:r>
      <w:hyperlink r:id="rId436" w:history="1">
        <w:r>
          <w:rPr>
            <w:rFonts w:ascii="arial" w:eastAsia="arial" w:hAnsi="arial" w:cs="arial"/>
            <w:i/>
            <w:color w:val="0077CC"/>
            <w:sz w:val="20"/>
            <w:u w:val="single"/>
            <w:shd w:val="clear" w:color="auto" w:fill="FFFFFF"/>
            <w:lang w:val="en-US" w:eastAsia="en-US" w:bidi="ar-SA"/>
          </w:rPr>
          <w:t>[1989] 1 S.C.R. 1038</w:t>
        </w:r>
      </w:hyperlink>
      <w:r>
        <w:rPr>
          <w:rFonts w:ascii="arial" w:eastAsia="arial" w:hAnsi="arial" w:cs="arial"/>
          <w:color w:val="000000"/>
          <w:sz w:val="20"/>
          <w:lang w:val="en-US" w:eastAsia="en-US" w:bidi="ar-SA"/>
        </w:rPr>
        <w:t xml:space="preserve"> at 1065-1084; Eldridge v. British Columbia (Attorney General), </w:t>
      </w:r>
      <w:hyperlink r:id="rId437" w:history="1">
        <w:r>
          <w:rPr>
            <w:rFonts w:ascii="arial" w:eastAsia="arial" w:hAnsi="arial" w:cs="arial"/>
            <w:i/>
            <w:color w:val="0077CC"/>
            <w:sz w:val="20"/>
            <w:u w:val="single"/>
            <w:shd w:val="clear" w:color="auto" w:fill="FFFFFF"/>
            <w:lang w:val="en-US" w:eastAsia="en-US" w:bidi="ar-SA"/>
          </w:rPr>
          <w:t>[1997] 3 S.C.R. 624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The allegations that the plaintiff makes as being violations of ss. 7, 8, 9, 11 and 12 of the Charter may be viewed as if they were violations of s. 7 as it is of broad application and encompasses each of alleged violations. [McCorkell v. Riverview Hospital (Director), supra at [paragraph] 41]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xml:space="preserve">  The onus in a s. 7 Charter analysis lies upon the plaintiff to demonstrate a deprivation of the right to "life, liberty and security of the person" and secondly that the deprivation is contrary to the principles of fundamental justice. If the onus is met the Crown must then show the infringement is demonstrably justifiable in a free and democratic society. [R. v. Beare, </w:t>
      </w:r>
      <w:hyperlink r:id="rId438" w:history="1">
        <w:r>
          <w:rPr>
            <w:rFonts w:ascii="arial" w:eastAsia="arial" w:hAnsi="arial" w:cs="arial"/>
            <w:i/>
            <w:color w:val="0077CC"/>
            <w:sz w:val="20"/>
            <w:u w:val="single"/>
            <w:shd w:val="clear" w:color="auto" w:fill="FFFFFF"/>
            <w:lang w:val="en-US" w:eastAsia="en-US" w:bidi="ar-SA"/>
          </w:rPr>
          <w:t>[1988] 2 S.C.R. 387</w:t>
        </w:r>
      </w:hyperlink>
      <w:r>
        <w:rPr>
          <w:rFonts w:ascii="arial" w:eastAsia="arial" w:hAnsi="arial" w:cs="arial"/>
          <w:color w:val="000000"/>
          <w:sz w:val="20"/>
          <w:lang w:val="en-US" w:eastAsia="en-US" w:bidi="ar-SA"/>
        </w:rPr>
        <w:t>, at [paragraph] 401]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xml:space="preserve">  The plaintiff's liberty was clearly curtailed allegedly pursuant to the Act. The remaining question is whether the deprivation accords with the principles of natural justice. The requirement of fundamental justice will vary in accord with the context. [Pearlman v. Manitoba Law Society Judicial Committee, </w:t>
      </w:r>
      <w:hyperlink r:id="rId439" w:history="1">
        <w:r>
          <w:rPr>
            <w:rFonts w:ascii="arial" w:eastAsia="arial" w:hAnsi="arial" w:cs="arial"/>
            <w:i/>
            <w:color w:val="0077CC"/>
            <w:sz w:val="20"/>
            <w:u w:val="single"/>
            <w:shd w:val="clear" w:color="auto" w:fill="FFFFFF"/>
            <w:lang w:val="en-US" w:eastAsia="en-US" w:bidi="ar-SA"/>
          </w:rPr>
          <w:t>[1991] 2 S.C.R. 869</w:t>
        </w:r>
      </w:hyperlink>
      <w:r>
        <w:rPr>
          <w:rFonts w:ascii="arial" w:eastAsia="arial" w:hAnsi="arial" w:cs="arial"/>
          <w:color w:val="000000"/>
          <w:sz w:val="20"/>
          <w:lang w:val="en-US" w:eastAsia="en-US" w:bidi="ar-SA"/>
        </w:rPr>
        <w:t xml:space="preserve"> at 884]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xml:space="preserve">  The context of the purpose of the Act and Regulations is detention of persons only for the purpose of treatment. [McCorkell, supra at [paragraph] 51; British Columbia (British Columbia (Forensic Psychiatric Services Commission) v. British Columbia (Mental Health Act Review Panel), </w:t>
      </w:r>
      <w:hyperlink r:id="rId440" w:history="1">
        <w:r>
          <w:rPr>
            <w:rFonts w:ascii="arial" w:eastAsia="arial" w:hAnsi="arial" w:cs="arial"/>
            <w:i/>
            <w:color w:val="0077CC"/>
            <w:sz w:val="20"/>
            <w:u w:val="single"/>
            <w:shd w:val="clear" w:color="auto" w:fill="FFFFFF"/>
            <w:lang w:val="en-US" w:eastAsia="en-US" w:bidi="ar-SA"/>
          </w:rPr>
          <w:t>[2001] B.C.J. No. 2518</w:t>
        </w:r>
      </w:hyperlink>
      <w:r>
        <w:rPr>
          <w:rFonts w:ascii="arial" w:eastAsia="arial" w:hAnsi="arial" w:cs="arial"/>
          <w:color w:val="000000"/>
          <w:sz w:val="20"/>
          <w:lang w:val="en-US" w:eastAsia="en-US" w:bidi="ar-SA"/>
        </w:rPr>
        <w:t xml:space="preserve">, </w:t>
      </w:r>
      <w:hyperlink r:id="rId440" w:history="1">
        <w:r>
          <w:rPr>
            <w:rFonts w:ascii="arial" w:eastAsia="arial" w:hAnsi="arial" w:cs="arial"/>
            <w:i/>
            <w:color w:val="0077CC"/>
            <w:sz w:val="20"/>
            <w:u w:val="single"/>
            <w:shd w:val="clear" w:color="auto" w:fill="FFFFFF"/>
            <w:lang w:val="en-US" w:eastAsia="en-US" w:bidi="ar-SA"/>
          </w:rPr>
          <w:t>2001 BCSC 1658</w:t>
        </w:r>
      </w:hyperlink>
      <w:r>
        <w:rPr>
          <w:rFonts w:ascii="arial" w:eastAsia="arial" w:hAnsi="arial" w:cs="arial"/>
          <w:color w:val="000000"/>
          <w:sz w:val="20"/>
          <w:lang w:val="en-US" w:eastAsia="en-US" w:bidi="ar-SA"/>
        </w:rPr>
        <w:t>, at [paragraph] 42]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The plaintiff alleges the Act is vague but failed to present evidence or argument in support. The plaintiff did not identify words or phrases in the Act as being so vague as to be unconstitutional.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I do not find that the definition of mental disorder, or the criteria for involuntary committal or treatment under the Act fails a test of vagueness.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To suggest the legislation must ensure no mistake of diagnosis could ever occur is not an appropriate requirement. The purpose of the legislation must be fostered by the language employed and not defeated by it. The procedural requirements including those of certification for involuntary committal, reviews, and rights to counsel and advice must be viewed to determine the fair and appropriate balance between liberty rights of persons with mental disorder (or someone who might possibly be misdiagnosed) and the interest of the public in protecting persons with mental disorder and assuring public safety.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OVERBREADTH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I agree with counsel for the Attorney General that this allegation lacks clarity in the Notice of Constitutional Question and written submissions but the "tenor of the case" appears to suggest that:</w:t>
      </w:r>
      <w:r>
        <w:rPr>
          <w:rFonts w:ascii="arial" w:eastAsia="arial" w:hAnsi="arial" w:cs="arial"/>
          <w:sz w:val="20"/>
          <w:lang w:val="en-US" w:eastAsia="en-US" w:bidi="ar-SA"/>
        </w:rPr>
        <w:cr/>
      </w:r>
    </w:p>
    <w:p>
      <w:pPr>
        <w:numPr>
          <w:numId w:val="2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legislators have overreached their intended purpose or target;</w:t>
      </w:r>
    </w:p>
    <w:p>
      <w:pPr>
        <w:numPr>
          <w:numId w:val="3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Act is "overbroad" because detention can only be justified on grounds of dangerousness.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I see no evidence nor rational argument to support the first proposition. As to the second the plaintiff has no standing to argue for persons suffering a mental disorder who are not to be detained or treated unless they represent a danger to themselves or others as he disavows being a person with a mental disability.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In any event I support the finding of Mr. Justice Donald in McCorkell, supra at [paragraph] 71 (a case where the plaintiff was suffering a mental disorder) that the committal criteria under the Act is constitutionally valid.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The plaintiff's allegation regarding damages attributable to the stigma of being associated with mental illness is badly misconceived and has no application to an argument of constitutional law. It is not appropriate to a consideration of the validity of the Mental Health legislative regime. If the Act and Regulations were concerned with stigma the legislation would fail to be of assistance to those in need of protection and be an attack on the dignity of those who suffer mental illness.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The right to counsel in the present case must be viewed in the context of reasonable delay where the doctors involved were of the opinion the plaintiff was incapable of the rational thought process inherent in instructing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In the present context the right to counsel is a red herring in that the plaintiff was in fact visited by counsel within four hours of his detention.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The plaintiff alleges cruel and unusual punishment. I agree entirely with submissions of counsel that he plaintiff was not being subjected to punishment at all. I have found that he was not detained in accordance with the Act, but that was not in any sense to punish him and the intention was clearly to aid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I find no evidence in support of the view that the Act or Regulations permits or authorizes cruel or unusual punishment. It permits medical treatment for the mentally disordered and that is the treatment that was accorded the plaintiff by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I dismiss the plaintiff's claims for constitutional remedies based upon his standing as a person who does not claim to be mentally ill or suffer a mental disorder. As previously indicated I reject the plaintiff has standing to bring a constitutional challenge on behalf of persons suffering a mental illness or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The constitutional issues are far too important to persons who have the appropriate standing to decide them in this proceeding. I decline to grant the plaintiff's application for declaratory relief on the ground that relief is both unnecessary and unavailable in the circumstances of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I have found the defendants Dr. Materi, Dr. Mercier, and Dr. Ganesan negligent and responsible for the apprehension and false imprisonment of the plaintiff. The defendant security personnel and the orderly Weipprecht are liable for the false arrest and imprisonment of the plaintiff and for assault and battery during his apprehension, restraint and custody.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The defendant hospital is vicariously liable as employer for the liability of all these defendants save Drs. Ganesan and Mercier who I accept were independent contractors.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xml:space="preserve">  I accept that Dr. Ganesan and Dr. Mercier were not employees of the defendant VGH and the hospital is not vicariously liable for their torts. [Yepremian et al v. Scarborough General Hospital et al. </w:t>
      </w:r>
      <w:hyperlink r:id="rId441" w:history="1">
        <w:r>
          <w:rPr>
            <w:rFonts w:ascii="arial" w:eastAsia="arial" w:hAnsi="arial" w:cs="arial"/>
            <w:i/>
            <w:color w:val="0077CC"/>
            <w:sz w:val="20"/>
            <w:u w:val="single"/>
            <w:shd w:val="clear" w:color="auto" w:fill="FFFFFF"/>
            <w:lang w:val="en-US" w:eastAsia="en-US" w:bidi="ar-SA"/>
          </w:rPr>
          <w:t>(1980), 110 D.L.R. (3d) 513</w:t>
        </w:r>
      </w:hyperlink>
      <w:r>
        <w:rPr>
          <w:rFonts w:ascii="arial" w:eastAsia="arial" w:hAnsi="arial" w:cs="arial"/>
          <w:color w:val="000000"/>
          <w:sz w:val="20"/>
          <w:lang w:val="en-US" w:eastAsia="en-US" w:bidi="ar-SA"/>
        </w:rPr>
        <w:t xml:space="preserve"> (Ont. C.A.); as followed in British Columbia in Postnikoff v. White, </w:t>
      </w:r>
      <w:hyperlink r:id="rId442" w:history="1">
        <w:r>
          <w:rPr>
            <w:rFonts w:ascii="arial" w:eastAsia="arial" w:hAnsi="arial" w:cs="arial"/>
            <w:i/>
            <w:color w:val="0077CC"/>
            <w:sz w:val="20"/>
            <w:u w:val="single"/>
            <w:shd w:val="clear" w:color="auto" w:fill="FFFFFF"/>
            <w:lang w:val="en-US" w:eastAsia="en-US" w:bidi="ar-SA"/>
          </w:rPr>
          <w:t>[1998] B.C.J. No. 1032</w:t>
        </w:r>
      </w:hyperlink>
      <w:r>
        <w:rPr>
          <w:rFonts w:ascii="arial" w:eastAsia="arial" w:hAnsi="arial" w:cs="arial"/>
          <w:color w:val="000000"/>
          <w:sz w:val="20"/>
          <w:lang w:val="en-US" w:eastAsia="en-US" w:bidi="ar-SA"/>
        </w:rPr>
        <w:t xml:space="preserve"> (S.C.) at [paragraph] 33; Zeledon v. Kelowna General Hospital, </w:t>
      </w:r>
      <w:hyperlink r:id="rId443" w:history="1">
        <w:r>
          <w:rPr>
            <w:rFonts w:ascii="arial" w:eastAsia="arial" w:hAnsi="arial" w:cs="arial"/>
            <w:i/>
            <w:color w:val="0077CC"/>
            <w:sz w:val="20"/>
            <w:u w:val="single"/>
            <w:shd w:val="clear" w:color="auto" w:fill="FFFFFF"/>
            <w:lang w:val="en-US" w:eastAsia="en-US" w:bidi="ar-SA"/>
          </w:rPr>
          <w:t>[1996] B.C.J. No. 2868</w:t>
        </w:r>
      </w:hyperlink>
      <w:r>
        <w:rPr>
          <w:rFonts w:ascii="arial" w:eastAsia="arial" w:hAnsi="arial" w:cs="arial"/>
          <w:color w:val="000000"/>
          <w:sz w:val="20"/>
          <w:lang w:val="en-US" w:eastAsia="en-US" w:bidi="ar-SA"/>
        </w:rPr>
        <w:t xml:space="preserve"> (S.C.) at [paragraph] 50-52; Stewart v. Noone, </w:t>
      </w:r>
      <w:hyperlink r:id="rId444" w:history="1">
        <w:r>
          <w:rPr>
            <w:rFonts w:ascii="arial" w:eastAsia="arial" w:hAnsi="arial" w:cs="arial"/>
            <w:i/>
            <w:color w:val="0077CC"/>
            <w:sz w:val="20"/>
            <w:u w:val="single"/>
            <w:shd w:val="clear" w:color="auto" w:fill="FFFFFF"/>
            <w:lang w:val="en-US" w:eastAsia="en-US" w:bidi="ar-SA"/>
          </w:rPr>
          <w:t>[1992] B.C.J. No. 1017</w:t>
        </w:r>
      </w:hyperlink>
      <w:r>
        <w:rPr>
          <w:rFonts w:ascii="arial" w:eastAsia="arial" w:hAnsi="arial" w:cs="arial"/>
          <w:color w:val="000000"/>
          <w:sz w:val="20"/>
          <w:lang w:val="en-US" w:eastAsia="en-US" w:bidi="ar-SA"/>
        </w:rPr>
        <w:t xml:space="preserve"> (S.C.) at p. 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Dr. Ganesan and Dr. Mercier are akin to independent contractors and although appointed to the medical "staff" on an annual basis they were paid on the basis of sessional agreements to attend the hospital for a specified block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Dr. Ganesan was paid from the Health Ministry for patients who were without medical coverage and billed on a fee basis for patients with coverage. He worked through his personal corporation for income purposes.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Dr. Mercier was one of a number of emergency physicians who contracted as a group to provide services to the hospital emergency department.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The plaintiff claims for general damages, aggravated damages, punitive or exemplary damages and special damages although he failed to plead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The plaintiff in May 1998 was 42, single, self employed, and in good health when he first had symptoms of the nature which led him to the hospital at the time in question and that he attributes to Critical Incident Stress.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His attendance at hospital a week earlier was attributed by the Emergency physician to a panic attack. On the May 9, 1998 occasion now in question Dr. McKnight did not find he was suffering any serious mental disorder requiring involuntary committal but suggested he wait to see a psychiatrist for further assistance.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The plaintiff was therefore attending for an interview at the PAU voluntarily and to seek assistance. He wrote out some notes to assist in providing background. He had strong views against medication and wrote instructions that he did not wish to be medicated. He was co-operative in his interview with the Defendant Dr. Materi. She did not discuss treatment options nor request or suggest he stay as a patient.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238</w:t>
      </w:r>
      <w:r>
        <w:rPr>
          <w:rFonts w:ascii="arial" w:eastAsia="arial" w:hAnsi="arial" w:cs="arial"/>
          <w:color w:val="000000"/>
          <w:sz w:val="20"/>
          <w:lang w:val="en-US" w:eastAsia="en-US" w:bidi="ar-SA"/>
        </w:rPr>
        <w:t>  The plaintiff had been at the hospital overnight and then participated in a 10 km charity run and he was tired. When Dr. Materi left him to arrange to see another psychiatrist or to decide on recommendations he wanted to sleep and he locked the door for privacy. There was no suggestion he wished to barricade himself. There is no truth to the suggestion that somehow arose that he was in the habit of "walking away".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239</w:t>
      </w:r>
      <w:r>
        <w:rPr>
          <w:rFonts w:ascii="arial" w:eastAsia="arial" w:hAnsi="arial" w:cs="arial"/>
          <w:color w:val="000000"/>
          <w:sz w:val="20"/>
          <w:lang w:val="en-US" w:eastAsia="en-US" w:bidi="ar-SA"/>
        </w:rPr>
        <w:t>  The plaintiff was awakened by the noise of security personnel assembling in the hallway and the chatter from their radios. When he opened the door he saw the assembled and uniformed security personnel and he was ordered to remain in the room. He was naturally shocked, alarmed, and undoubtedly whatever his mental condition had been it was now severely aggreviated.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240</w:t>
      </w:r>
      <w:r>
        <w:rPr>
          <w:rFonts w:ascii="arial" w:eastAsia="arial" w:hAnsi="arial" w:cs="arial"/>
          <w:color w:val="000000"/>
          <w:sz w:val="20"/>
          <w:lang w:val="en-US" w:eastAsia="en-US" w:bidi="ar-SA"/>
        </w:rPr>
        <w:t>  The plaintiff was blocked by security personnel when he tried to leave. He struggled to be free of them and he was forced to the floor and pinned face down by several acting in concert. He was pulled to his feet, restrained by the arm on each side, and still struggling to be free he was manoeuvred down the hall and into the isolation cell at the PAU.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241</w:t>
      </w:r>
      <w:r>
        <w:rPr>
          <w:rFonts w:ascii="arial" w:eastAsia="arial" w:hAnsi="arial" w:cs="arial"/>
          <w:color w:val="000000"/>
          <w:sz w:val="20"/>
          <w:lang w:val="en-US" w:eastAsia="en-US" w:bidi="ar-SA"/>
        </w:rPr>
        <w:t>  The isolation cell is an austere concrete walled cell, with no windows and a secure door with only a small observation window. It is of drab colour and without any furnishing except for a raised concrete platform with a mattress that serves as a bed and a wall mounted combination stainless steel toilet and sink. It is meant to be drab so that it provides no stimulation to an occupant. It achieves that goal. It is as unpleasant as most jail cells.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242</w:t>
      </w:r>
      <w:r>
        <w:rPr>
          <w:rFonts w:ascii="arial" w:eastAsia="arial" w:hAnsi="arial" w:cs="arial"/>
          <w:color w:val="000000"/>
          <w:sz w:val="20"/>
          <w:lang w:val="en-US" w:eastAsia="en-US" w:bidi="ar-SA"/>
        </w:rPr>
        <w:t>  The plaintiff was held face down on the mattress, de-nuded by having his clothes cut from his body, sedated by injection, and his feet tied with a sheet to provide a temporary mobility restraint to allow the security personnel to exit the cell and lock the door.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243</w:t>
      </w:r>
      <w:r>
        <w:rPr>
          <w:rFonts w:ascii="arial" w:eastAsia="arial" w:hAnsi="arial" w:cs="arial"/>
          <w:color w:val="000000"/>
          <w:sz w:val="20"/>
          <w:lang w:val="en-US" w:eastAsia="en-US" w:bidi="ar-SA"/>
        </w:rPr>
        <w:t>  The plaintiff was later moved to a bedroom unit with a locked door. The plaintiff was initially medicated by injection because he would not agree to voluntarily take medications. Later he agreed to take medication but only on threat that if he did not he would be injected by force.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244</w:t>
      </w:r>
      <w:r>
        <w:rPr>
          <w:rFonts w:ascii="arial" w:eastAsia="arial" w:hAnsi="arial" w:cs="arial"/>
          <w:color w:val="000000"/>
          <w:sz w:val="20"/>
          <w:lang w:val="en-US" w:eastAsia="en-US" w:bidi="ar-SA"/>
        </w:rPr>
        <w:t>  I do not find the security personnel used more force, or severe restraint techniques, than was appropriate to confine a person of the plaintiff's substantial stature and strength who was actively resisting his arrest. They did not however have the authority to arrest and detain him. The entire incident was a violent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245</w:t>
      </w:r>
      <w:r>
        <w:rPr>
          <w:rFonts w:ascii="arial" w:eastAsia="arial" w:hAnsi="arial" w:cs="arial"/>
          <w:color w:val="000000"/>
          <w:sz w:val="20"/>
          <w:lang w:val="en-US" w:eastAsia="en-US" w:bidi="ar-SA"/>
        </w:rPr>
        <w:t>  The forced confinement of the plaintiff and the assault and battery by the involuntary giving of medication continued for a period of five days with his ultimate release by Dr. Duke only allowed on condition he continue the medication under the supervision of a private physician.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246</w:t>
      </w:r>
      <w:r>
        <w:rPr>
          <w:rFonts w:ascii="arial" w:eastAsia="arial" w:hAnsi="arial" w:cs="arial"/>
          <w:color w:val="000000"/>
          <w:sz w:val="20"/>
          <w:lang w:val="en-US" w:eastAsia="en-US" w:bidi="ar-SA"/>
        </w:rPr>
        <w:t>  A further component of the general damages claimed by the plaintiff is that he has suffered recreational use loss, and a loss of earning capacity, because of his lapsed pilot licence and the consequent inability to fly aircraft which he attributes to the wrong diagnosis of mania.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247</w:t>
      </w:r>
      <w:r>
        <w:rPr>
          <w:rFonts w:ascii="arial" w:eastAsia="arial" w:hAnsi="arial" w:cs="arial"/>
          <w:color w:val="000000"/>
          <w:sz w:val="20"/>
          <w:lang w:val="en-US" w:eastAsia="en-US" w:bidi="ar-SA"/>
        </w:rPr>
        <w:t>  The loss of earning capacity relates to an inability by him to earn income by flying commercial aircraft or by interference with his business of selling helipad equipment and related aeronautic supplies due to the necessity that he keep up to date with problems of pilots and familiarity with the products available to provide solutions.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248</w:t>
      </w:r>
      <w:r>
        <w:rPr>
          <w:rFonts w:ascii="arial" w:eastAsia="arial" w:hAnsi="arial" w:cs="arial"/>
          <w:color w:val="000000"/>
          <w:sz w:val="20"/>
          <w:lang w:val="en-US" w:eastAsia="en-US" w:bidi="ar-SA"/>
        </w:rPr>
        <w:t>  Damages in respect of this component have not been proven. No qualified person gave evidence that his admission to the PAU now prevents him being licensed. There is no evidence the plaintiff's inability to be licensed is other than his refusal to provide the required medical examinations and information. I do not accept the suggestion that he cannot take the required examination until he first shows Dr. Materi was wrong in her diagnosis, however even if that is so he has failed to prove she was wrong.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249</w:t>
      </w:r>
      <w:r>
        <w:rPr>
          <w:rFonts w:ascii="arial" w:eastAsia="arial" w:hAnsi="arial" w:cs="arial"/>
          <w:color w:val="000000"/>
          <w:sz w:val="20"/>
          <w:lang w:val="en-US" w:eastAsia="en-US" w:bidi="ar-SA"/>
        </w:rPr>
        <w:t>  In any event the plaintiff offers no evidence as to diminution of earnings or capacity attributable to his ability to market helipads or aeronautic products.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250</w:t>
      </w:r>
      <w:r>
        <w:rPr>
          <w:rFonts w:ascii="arial" w:eastAsia="arial" w:hAnsi="arial" w:cs="arial"/>
          <w:color w:val="000000"/>
          <w:sz w:val="20"/>
          <w:lang w:val="en-US" w:eastAsia="en-US" w:bidi="ar-SA"/>
        </w:rPr>
        <w:t xml:space="preserve">  The criteria to found an impairment to earning ability and the evidence to assess diminution of earning capacity was simply not addressed in the evidence. [Palmer v. Goodall </w:t>
      </w:r>
      <w:hyperlink r:id="rId82" w:history="1">
        <w:r>
          <w:rPr>
            <w:rFonts w:ascii="arial" w:eastAsia="arial" w:hAnsi="arial" w:cs="arial"/>
            <w:i/>
            <w:color w:val="0077CC"/>
            <w:sz w:val="20"/>
            <w:u w:val="single"/>
            <w:shd w:val="clear" w:color="auto" w:fill="FFFFFF"/>
            <w:lang w:val="en-US" w:eastAsia="en-US" w:bidi="ar-SA"/>
          </w:rPr>
          <w:t>(1991), 53 B.C.L.R. (2d) 44</w:t>
        </w:r>
      </w:hyperlink>
      <w:r>
        <w:rPr>
          <w:rFonts w:ascii="arial" w:eastAsia="arial" w:hAnsi="arial" w:cs="arial"/>
          <w:color w:val="000000"/>
          <w:sz w:val="20"/>
          <w:lang w:val="en-US" w:eastAsia="en-US" w:bidi="ar-SA"/>
        </w:rPr>
        <w:t xml:space="preserve"> (C.A.); Brown v. Golaiy </w:t>
      </w:r>
      <w:hyperlink r:id="rId81"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251</w:t>
      </w:r>
      <w:r>
        <w:rPr>
          <w:rFonts w:ascii="arial" w:eastAsia="arial" w:hAnsi="arial" w:cs="arial"/>
          <w:color w:val="000000"/>
          <w:sz w:val="20"/>
          <w:lang w:val="en-US" w:eastAsia="en-US" w:bidi="ar-SA"/>
        </w:rPr>
        <w:t>  In a similar fashion the plaintiff seeks as a component of general damages compensation for an inability to obtain life and accident insurance. There is again simply no evidence that his admission to the PAU has impacted his ability to obtain life or accident insurance.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252</w:t>
      </w:r>
      <w:r>
        <w:rPr>
          <w:rFonts w:ascii="arial" w:eastAsia="arial" w:hAnsi="arial" w:cs="arial"/>
          <w:color w:val="000000"/>
          <w:sz w:val="20"/>
          <w:lang w:val="en-US" w:eastAsia="en-US" w:bidi="ar-SA"/>
        </w:rPr>
        <w:t>  The plaintiff's claim for punitive or exemplary damages is completely devoid of merit. Those damages are to punish the defendants and to deter like future conduct. It was not pleaded and certainly not supported by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253</w:t>
      </w:r>
      <w:r>
        <w:rPr>
          <w:rFonts w:ascii="arial" w:eastAsia="arial" w:hAnsi="arial" w:cs="arial"/>
          <w:color w:val="000000"/>
          <w:sz w:val="20"/>
          <w:lang w:val="en-US" w:eastAsia="en-US" w:bidi="ar-SA"/>
        </w:rPr>
        <w:t>  The standard to base a claim of punitive damages requires: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kind of conduct that attracts exemplary damages has been described with a wide variety of colourful words and phrases. These include: malicious, high-handed, arbitrary, oppressive, deliberate, vicious, brutal ... evil, outrageous, callous, disgraceful, wilful, [and] wanton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254</w:t>
      </w:r>
      <w:r>
        <w:rPr>
          <w:rFonts w:ascii="arial" w:eastAsia="arial" w:hAnsi="arial" w:cs="arial"/>
          <w:color w:val="000000"/>
          <w:sz w:val="20"/>
          <w:lang w:val="en-US" w:eastAsia="en-US" w:bidi="ar-SA"/>
        </w:rPr>
        <w:t>  I find the circumstances here do however support allowing for a component of aggravated damages to account for aggravating features of the plaintiff's apprehension, false imprisonment, and subjection to medication by force.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255</w:t>
      </w:r>
      <w:r>
        <w:rPr>
          <w:rFonts w:ascii="arial" w:eastAsia="arial" w:hAnsi="arial" w:cs="arial"/>
          <w:color w:val="000000"/>
          <w:sz w:val="20"/>
          <w:lang w:val="en-US" w:eastAsia="en-US" w:bidi="ar-SA"/>
        </w:rPr>
        <w:t>  The goal of aggravated damages are appropriate where there has been humiliating or undignified circumstances, and that is the case here. He was seized without explanation, assaulted and physically overpowered in the hallway of a public hospital; dragged to a cell, stripped naked by cutting off his clothes, forcibly medicated, and his continued compliance assured by jail like security.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256</w:t>
      </w:r>
      <w:r>
        <w:rPr>
          <w:rFonts w:ascii="arial" w:eastAsia="arial" w:hAnsi="arial" w:cs="arial"/>
          <w:color w:val="000000"/>
          <w:sz w:val="20"/>
          <w:lang w:val="en-US" w:eastAsia="en-US" w:bidi="ar-SA"/>
        </w:rPr>
        <w:t>  The defendants seek mitigation of damages to a nominal level on the basis the false imprisonment occurred in circumstances of their acting reasonably and in good faith.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257</w:t>
      </w:r>
      <w:r>
        <w:rPr>
          <w:rFonts w:ascii="arial" w:eastAsia="arial" w:hAnsi="arial" w:cs="arial"/>
          <w:color w:val="000000"/>
          <w:sz w:val="20"/>
          <w:lang w:val="en-US" w:eastAsia="en-US" w:bidi="ar-SA"/>
        </w:rPr>
        <w:t>  I do not quarrel generally with the good intention of the defendants in their work and with their lack of malice or ill will toward the plaintiff but I have found their actions were not reasonable and were in fact negligent, in breach of the Act, that the plaintiff was wrongfully apprehended, detained, assaulted, and their actions not found capable of immunity under s. 16 of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258</w:t>
      </w:r>
      <w:r>
        <w:rPr>
          <w:rFonts w:ascii="arial" w:eastAsia="arial" w:hAnsi="arial" w:cs="arial"/>
          <w:color w:val="000000"/>
          <w:sz w:val="20"/>
          <w:lang w:val="en-US" w:eastAsia="en-US" w:bidi="ar-SA"/>
        </w:rPr>
        <w:t xml:space="preserve">  The defendants suggest general damages within a range of $1,000 to $5,000 [Ketchum v. Morris, </w:t>
      </w:r>
      <w:hyperlink r:id="rId445" w:history="1">
        <w:r>
          <w:rPr>
            <w:rFonts w:ascii="arial" w:eastAsia="arial" w:hAnsi="arial" w:cs="arial"/>
            <w:i/>
            <w:color w:val="0077CC"/>
            <w:sz w:val="20"/>
            <w:u w:val="single"/>
            <w:shd w:val="clear" w:color="auto" w:fill="FFFFFF"/>
            <w:lang w:val="en-US" w:eastAsia="en-US" w:bidi="ar-SA"/>
          </w:rPr>
          <w:t>[1977] B.C.J. No. 456</w:t>
        </w:r>
      </w:hyperlink>
      <w:r>
        <w:rPr>
          <w:rFonts w:ascii="arial" w:eastAsia="arial" w:hAnsi="arial" w:cs="arial"/>
          <w:color w:val="000000"/>
          <w:sz w:val="20"/>
          <w:lang w:val="en-US" w:eastAsia="en-US" w:bidi="ar-SA"/>
        </w:rPr>
        <w:t xml:space="preserve"> (S.C.); N.H. (Guardian ad litem of) v. Latimer, </w:t>
      </w:r>
      <w:hyperlink r:id="rId446" w:history="1">
        <w:r>
          <w:rPr>
            <w:rFonts w:ascii="arial" w:eastAsia="arial" w:hAnsi="arial" w:cs="arial"/>
            <w:i/>
            <w:color w:val="0077CC"/>
            <w:sz w:val="20"/>
            <w:u w:val="single"/>
            <w:shd w:val="clear" w:color="auto" w:fill="FFFFFF"/>
            <w:lang w:val="en-US" w:eastAsia="en-US" w:bidi="ar-SA"/>
          </w:rPr>
          <w:t>[1999] B.C.J. No. 1779</w:t>
        </w:r>
      </w:hyperlink>
      <w:r>
        <w:rPr>
          <w:rFonts w:ascii="arial" w:eastAsia="arial" w:hAnsi="arial" w:cs="arial"/>
          <w:color w:val="000000"/>
          <w:sz w:val="20"/>
          <w:lang w:val="en-US" w:eastAsia="en-US" w:bidi="ar-SA"/>
        </w:rPr>
        <w:t xml:space="preserve"> (S.C.); and Lebel v. Roe, </w:t>
      </w:r>
      <w:hyperlink r:id="rId447" w:history="1">
        <w:r>
          <w:rPr>
            <w:rFonts w:ascii="arial" w:eastAsia="arial" w:hAnsi="arial" w:cs="arial"/>
            <w:i/>
            <w:color w:val="0077CC"/>
            <w:sz w:val="20"/>
            <w:u w:val="single"/>
            <w:shd w:val="clear" w:color="auto" w:fill="FFFFFF"/>
            <w:lang w:val="en-US" w:eastAsia="en-US" w:bidi="ar-SA"/>
          </w:rPr>
          <w:t>[1994] Y.J. No. 62</w:t>
        </w:r>
      </w:hyperlink>
      <w:r>
        <w:rPr>
          <w:rFonts w:ascii="arial" w:eastAsia="arial" w:hAnsi="arial" w:cs="arial"/>
          <w:color w:val="000000"/>
          <w:sz w:val="20"/>
          <w:lang w:val="en-US" w:eastAsia="en-US" w:bidi="ar-SA"/>
        </w:rPr>
        <w:t xml:space="preserve">]. The plaintiff seeks damages in a range of $50,000 to $100,000. [Y. (A.D.) v. Y. (M.Y.) </w:t>
      </w:r>
      <w:hyperlink r:id="rId448" w:history="1">
        <w:r>
          <w:rPr>
            <w:rFonts w:ascii="arial" w:eastAsia="arial" w:hAnsi="arial" w:cs="arial"/>
            <w:i/>
            <w:color w:val="0077CC"/>
            <w:sz w:val="20"/>
            <w:u w:val="single"/>
            <w:shd w:val="clear" w:color="auto" w:fill="FFFFFF"/>
            <w:lang w:val="en-US" w:eastAsia="en-US" w:bidi="ar-SA"/>
          </w:rPr>
          <w:t>(1994), 90 B.C.L.R. (2d) 145</w:t>
        </w:r>
      </w:hyperlink>
      <w:r>
        <w:rPr>
          <w:rFonts w:ascii="arial" w:eastAsia="arial" w:hAnsi="arial" w:cs="arial"/>
          <w:color w:val="000000"/>
          <w:sz w:val="20"/>
          <w:lang w:val="en-US" w:eastAsia="en-US" w:bidi="ar-SA"/>
        </w:rPr>
        <w:t xml:space="preserve"> (S.C.); Norberg v. Wynrib, </w:t>
      </w:r>
      <w:hyperlink r:id="rId449" w:history="1">
        <w:r>
          <w:rPr>
            <w:rFonts w:ascii="arial" w:eastAsia="arial" w:hAnsi="arial" w:cs="arial"/>
            <w:i/>
            <w:color w:val="0077CC"/>
            <w:sz w:val="20"/>
            <w:u w:val="single"/>
            <w:shd w:val="clear" w:color="auto" w:fill="FFFFFF"/>
            <w:lang w:val="en-US" w:eastAsia="en-US" w:bidi="ar-SA"/>
          </w:rPr>
          <w:t>[1992] 2 S.C.R. 226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259</w:t>
      </w:r>
      <w:r>
        <w:rPr>
          <w:rFonts w:ascii="arial" w:eastAsia="arial" w:hAnsi="arial" w:cs="arial"/>
          <w:color w:val="000000"/>
          <w:sz w:val="20"/>
          <w:lang w:val="en-US" w:eastAsia="en-US" w:bidi="ar-SA"/>
        </w:rPr>
        <w:t>  I consider the defendant's range in the circumstances extraordinarily low and the plaintiff's unrealistically high.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260</w:t>
      </w:r>
      <w:r>
        <w:rPr>
          <w:rFonts w:ascii="arial" w:eastAsia="arial" w:hAnsi="arial" w:cs="arial"/>
          <w:color w:val="000000"/>
          <w:sz w:val="20"/>
          <w:lang w:val="en-US" w:eastAsia="en-US" w:bidi="ar-SA"/>
        </w:rPr>
        <w:t>  In the circumstances here and with aggravated damages taken into account I assess the plaintiff's general damages as $15,000.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261</w:t>
      </w:r>
      <w:r>
        <w:rPr>
          <w:rFonts w:ascii="arial" w:eastAsia="arial" w:hAnsi="arial" w:cs="arial"/>
          <w:color w:val="000000"/>
          <w:sz w:val="20"/>
          <w:lang w:val="en-US" w:eastAsia="en-US" w:bidi="ar-SA"/>
        </w:rPr>
        <w:t>  The plaintiff also claims special damages for the cost of his destroyed clothing and the cost of post-release medication required to reduce his dependence acquired during his enforced stay in the PAU. I allow those expenses and would expect counsel can agree as to the amount. In the event they cannot agree as to amount they have leave to apply.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262</w:t>
      </w:r>
      <w:r>
        <w:rPr>
          <w:rFonts w:ascii="arial" w:eastAsia="arial" w:hAnsi="arial" w:cs="arial"/>
          <w:color w:val="000000"/>
          <w:sz w:val="20"/>
          <w:lang w:val="en-US" w:eastAsia="en-US" w:bidi="ar-SA"/>
        </w:rPr>
        <w:t>  I do not allow the cost of other post-release medical treatment or post release stress debriefing as being proven causally related to any problem the plaintiff did not have prior to his admission.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263</w:t>
      </w:r>
      <w:r>
        <w:rPr>
          <w:rFonts w:ascii="arial" w:eastAsia="arial" w:hAnsi="arial" w:cs="arial"/>
          <w:color w:val="000000"/>
          <w:sz w:val="20"/>
          <w:lang w:val="en-US" w:eastAsia="en-US" w:bidi="ar-SA"/>
        </w:rPr>
        <w:t>  The order the plaintiff seeks against the hospital for the delivery up and destruction of the hospital records is dismissed. It is not relief sought in the Statement of Claim. It is contrary to s. 51 of the Hospital Act, and so far as I am aware without precedent. The preservation of hospital and patient records is very important to the protection of a persons future health requirements as well as determination of legal matters.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264</w:t>
      </w:r>
      <w:r>
        <w:rPr>
          <w:rFonts w:ascii="arial" w:eastAsia="arial" w:hAnsi="arial" w:cs="arial"/>
          <w:color w:val="000000"/>
          <w:sz w:val="20"/>
          <w:lang w:val="en-US" w:eastAsia="en-US" w:bidi="ar-SA"/>
        </w:rPr>
        <w:t>  It appears in any event to have been a constitutional challenge remedy which is not now in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265</w:t>
      </w:r>
      <w:r>
        <w:rPr>
          <w:rFonts w:ascii="arial" w:eastAsia="arial" w:hAnsi="arial" w:cs="arial"/>
          <w:color w:val="000000"/>
          <w:sz w:val="20"/>
          <w:lang w:val="en-US" w:eastAsia="en-US" w:bidi="ar-SA"/>
        </w:rPr>
        <w:t>  The plaintiff is entitled to costs on scale 3 from the defendants found liable. The parties will bear their separate costs in relation the Constitutional Question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R.R. HOLMES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Released: May 9,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 My Reasons for Judgment dated August 25, 2005 ( 2005 BCSC 1217) are hereby amended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 The Attorney General of British Columbia is deleted from the style of cause as a Defendant and is to be shown as a party "Pursuant to Notice of Constitutional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 The dates of trial as set out on page 2 of the Judgment are corrected to read: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April 8-10, 2002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July 7-11, 14-18, 22-25, 2004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April 5-8, 14-16, 19-22, 2004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September 27-30, October 1,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5"/>
        <w:gridCol w:w="836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w:t>
            </w:r>
          </w:p>
        </w:tc>
        <w:tc>
          <w:tcPr>
            <w:tcW w:w="819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following typographical errors are corrected: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3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paragraph 9, line 8: "physiatrist" is changed to "Psychiatrist";</w:t>
      </w:r>
    </w:p>
    <w:p>
      <w:pPr>
        <w:numPr>
          <w:numId w:val="3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paragraph 38, line 1: "Patullo" is changed to "Pattullo";</w:t>
      </w:r>
    </w:p>
    <w:p>
      <w:pPr>
        <w:numPr>
          <w:numId w:val="3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paragraph 87, line 3: "serous" is changed to "serious";</w:t>
      </w:r>
    </w:p>
    <w:p>
      <w:pPr>
        <w:numPr>
          <w:numId w:val="3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paragraph 91, line 3: "form" is changed to "from";</w:t>
      </w:r>
    </w:p>
    <w:p>
      <w:pPr>
        <w:numPr>
          <w:numId w:val="3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paragraph 91, line 4: "attempt" is changed to "attempting";</w:t>
      </w:r>
    </w:p>
    <w:p>
      <w:pPr>
        <w:numPr>
          <w:numId w:val="3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paragraph 96, line 3: "plaintiffs" is changed to "plaintiff's";</w:t>
      </w:r>
    </w:p>
    <w:p>
      <w:pPr>
        <w:numPr>
          <w:numId w:val="3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paragraph 99, line 4: "an" is changed to "any";</w:t>
      </w:r>
    </w:p>
    <w:p>
      <w:pPr>
        <w:numPr>
          <w:numId w:val="3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paragraph 103, line 2: "forcibility" is changed to "forcibly";</w:t>
      </w:r>
    </w:p>
    <w:p>
      <w:pPr>
        <w:numPr>
          <w:numId w:val="3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paragraph 110, line 4: "If" is changed to "It";</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paragraph 151, line 3: "Ganasen" is changed to "Ganesan";</w:t>
      </w:r>
    </w:p>
    <w:p>
      <w:pPr>
        <w:numPr>
          <w:numId w:val="3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paragraph 195, line 3: "unjustificably" is changed to "unjustifiably";</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paragraph 208, line 1: "met" is changed to "meet";</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paragraph 236, line 4: "physiatrist" is changed to "psychiatrist".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5"/>
        <w:gridCol w:w="836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w:t>
            </w:r>
          </w:p>
        </w:tc>
        <w:tc>
          <w:tcPr>
            <w:tcW w:w="819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Paragraph 92 is amended to read as follows: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[92] It is also difficult to understand how in the circumstances Dr. Materi could have possibly believed Dr. Mercier was a physicial who could provide a certificate in respect of the plaintiff without conducting an examination. Dr. Materi had reviewed the plaintiff's chart and it contained no indication Dr. Mercier had examined the plaintiff, or indeed made any observations of him. She was aware Dr. Mercier was not going to examine the plaintiff before signing a Certificate however Dr. Ganesan would be led to believe it was the opinion of another physician who had examined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R.R. HOLMES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31" style="position:absolute;z-index:25187737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50"/>
          <w:headerReference w:type="default" r:id="rId451"/>
          <w:footerReference w:type="even" r:id="rId452"/>
          <w:footerReference w:type="default" r:id="rId453"/>
          <w:headerReference w:type="first" r:id="rId454"/>
          <w:footerReference w:type="first" r:id="rId45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56" w:history="1">
        <w:r>
          <w:rPr>
            <w:rFonts w:ascii="arial" w:eastAsia="arial" w:hAnsi="arial" w:cs="arial"/>
            <w:b/>
            <w:bCs/>
            <w:i/>
            <w:color w:val="0077CC"/>
            <w:kern w:val="32"/>
            <w:sz w:val="28"/>
            <w:szCs w:val="32"/>
            <w:u w:val="single"/>
            <w:shd w:val="clear" w:color="auto" w:fill="FFFFFF"/>
            <w:lang w:val="en-US" w:eastAsia="en-US" w:bidi="ar-SA"/>
          </w:rPr>
          <w:t>Pelletier v. Khaw, [2005] B.C.J. No. 1996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Bernard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18 - 22,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September 16,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New Westminster Registry No. S77803</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[2005] B.C.J. No. 1996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2005 BCSC 1302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142 A.C.W.S. (3d) 606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Cynthia Pelletier, plaintiff, and Cheng Choo Khaw,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(86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32" style="position:absolute;z-index:2516807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48" w:name="Keywords_21"/>
      <w:bookmarkEnd w:id="148"/>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vehicles — Liability of driver — Damages — General damages — Categories of — Loss of income — For personal injuries — Aggravating factors — Considerations — Duration of loss — Extent of incapacity — Non-pecuniary damages, including pain and suffering — Physical injuries — Body injuries — Back — Neck.</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49" w:name="Case Summary_19"/>
            <w:bookmarkEnd w:id="14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Pelletier seeking damages for injuries sustained in a motor vehicle accident. Pelletier was rear-ended in her truck by a vehicle driven by Khaw. Liability was admitted. Pelletier claimed $65,000 for pain, suffering, and loss of enjoyment of life due to ongoing soft tissue injuries and Patello-Femoral Syndrome. She also claimed damages for past wage loss for the expense of hiring others to perform tasks that she would have performed herself. Pelletier was an equestrian and owner/operator of a ranch and claimed loss of pony-ride contracts arising from her injuries and the loss from a fire sale of horses. She also claimed future losses up to the age of 55 in the amount of $150,000.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50" w:name="Holdings of Court_16"/>
            <w:bookmarkEnd w:id="150"/>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Pelletier was awarded total damages amounting to $325,624, including $65,000 in non-pecuniary damages, $110,624 for past loss, and $150,000 for future loss. On balance, the evidence proved that Pelletier's neck and back injuries emanated from the accident and not from any other cause. She was an industrious and enterprising woman. She had made serious efforts to return to her pre-accident status but her injuries continued to affect her. Pelletier had undertaken rehabilitative therapy and had tried to fulfill the physically demanding aspect of her work and recreational activities. The court distinguished the case from many others, in that Pelletier's work and leisure pursuits were driven by a life-long passion for horses. The frustration and sense of loss she felt from her physical limitations was palpable. Pelletier had taken reasonable steps to keep her business running.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51" w:name="Legislation Cited_16"/>
      <w:bookmarkEnd w:id="15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33" style="position:absolute;z-index:2517319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Insurance Act, s. 25(4)</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52" w:name="Counsel_21"/>
      <w:bookmarkEnd w:id="152"/>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34" style="position:absolute;z-index:2517831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S. Henshaw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A. Spence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53" w:name="Judgment_21"/>
      <w:bookmarkEnd w:id="153"/>
      <w:r>
        <w:pict>
          <v:line id="_x0000_s1135" style="position:absolute;z-index:251834368"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1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54" w:name="BERNARD J."/>
            <w:bookmarkEnd w:id="154"/>
            <w:r>
              <w:rPr>
                <w:rFonts w:ascii="arial" w:eastAsia="arial" w:hAnsi="arial" w:cs="arial"/>
                <w:b/>
                <w:color w:val="000000"/>
                <w:sz w:val="30"/>
                <w:lang w:val="en-US" w:eastAsia="en-US" w:bidi="ar-SA"/>
              </w:rPr>
              <w:t>BERNARD J.</w:t>
            </w:r>
          </w:p>
        </w:tc>
      </w:tr>
    </w:tbl>
    <w:p>
      <w:pPr>
        <w:numPr>
          <w:numId w:val="9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Cynthia Pelletier is an equestrian and the owner/operator of Laughing Stock Ranch. In January 2001, Ms. Pelletier was "rear-ended" in her 3/4 ton truck by a vehicle driven by Cheng Choo Khaw. The impact of the collision caused various injuries to Ms. Pelletier, some of which she says continue to trouble her and significantly limit her equestrian activities, both for business and for pleasure.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collision was caused by Ms. Khaw's admitted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There is no suggestion that Ms. Pelletier was not injured in the crash or that she was contributorily negligent.</w:t>
      </w:r>
      <w:r>
        <w:rPr>
          <w:rFonts w:ascii="arial" w:eastAsia="arial" w:hAnsi="arial" w:cs="arial"/>
          <w:sz w:val="20"/>
          <w:lang w:val="en-US" w:eastAsia="en-US" w:bidi="ar-SA"/>
        </w:rPr>
        <w:cr/>
      </w:r>
    </w:p>
    <w:p>
      <w:pPr>
        <w:numPr>
          <w:numId w:val="2"/>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Synopsis of the Plaintiff's Damages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Under the rubric of "general damages," Ms. Pelletier claims $65,000 for pain, suffering, and loss of enjoyment due to ongoing soft tissue injuries and Patello-Femoral Syndrome.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Under the rubric of "past wage loss," Ms. Pelletier claims for the expense of hiring others to perform tasks that she would have performed herself, but for the injuries. She also claims for loss of pony-ride contracts arising from her injuries and the loss from a "fire sale" of horses. The amounts are particularized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3660"/>
        <w:gridCol w:w="1255"/>
        <w:gridCol w:w="491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58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Loss of pony-ride contracts</w:t>
            </w:r>
          </w:p>
        </w:tc>
        <w:tc>
          <w:tcPr>
            <w:tcW w:w="122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$ 8,600</w:t>
            </w:r>
          </w:p>
        </w:tc>
        <w:tc>
          <w:tcPr>
            <w:tcW w:w="4813"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346"/>
        <w:gridCol w:w="1568"/>
        <w:gridCol w:w="491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Loss from "fire sale"</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$25,000</w:t>
            </w:r>
          </w:p>
        </w:tc>
        <w:tc>
          <w:tcPr>
            <w:tcW w:w="4813"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3660"/>
        <w:gridCol w:w="1255"/>
        <w:gridCol w:w="491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58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Cost of pony-ride assistant</w:t>
            </w:r>
          </w:p>
        </w:tc>
        <w:tc>
          <w:tcPr>
            <w:tcW w:w="122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$30,164</w:t>
            </w:r>
          </w:p>
        </w:tc>
        <w:tc>
          <w:tcPr>
            <w:tcW w:w="4813"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3137"/>
        <w:gridCol w:w="1778"/>
        <w:gridCol w:w="491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07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Cost of ranch-hands</w:t>
            </w:r>
          </w:p>
        </w:tc>
        <w:tc>
          <w:tcPr>
            <w:tcW w:w="174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$19,100</w:t>
            </w:r>
          </w:p>
        </w:tc>
        <w:tc>
          <w:tcPr>
            <w:tcW w:w="4813"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927"/>
        <w:gridCol w:w="1987"/>
        <w:gridCol w:w="491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86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Cost of trainer</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$16,000</w:t>
            </w:r>
          </w:p>
        </w:tc>
        <w:tc>
          <w:tcPr>
            <w:tcW w:w="4813"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927"/>
        <w:gridCol w:w="1987"/>
        <w:gridCol w:w="491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86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Cost of farrier</w:t>
            </w:r>
          </w:p>
        </w:tc>
        <w:tc>
          <w:tcPr>
            <w:tcW w:w="194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$11,760</w:t>
            </w:r>
          </w:p>
        </w:tc>
        <w:tc>
          <w:tcPr>
            <w:tcW w:w="4813"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86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4813"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86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Total</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$110,624</w:t>
            </w:r>
          </w:p>
        </w:tc>
        <w:tc>
          <w:tcPr>
            <w:tcW w:w="4813"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Under the rubric of "future losses," Ms. Pelletier says that she should be compensated up to the age of 55, an age which she might have reasonably expected to work without assistance, but for her injuries. She estimates the following annualized amounts: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3137"/>
        <w:gridCol w:w="1778"/>
        <w:gridCol w:w="491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07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Cost of ranch-hands</w:t>
            </w:r>
          </w:p>
        </w:tc>
        <w:tc>
          <w:tcPr>
            <w:tcW w:w="174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$ 7,800</w:t>
            </w:r>
          </w:p>
        </w:tc>
        <w:tc>
          <w:tcPr>
            <w:tcW w:w="4813"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3660"/>
        <w:gridCol w:w="1255"/>
        <w:gridCol w:w="491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58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Cost of pony-ride assistant</w:t>
            </w:r>
          </w:p>
        </w:tc>
        <w:tc>
          <w:tcPr>
            <w:tcW w:w="122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$10,000</w:t>
            </w:r>
          </w:p>
        </w:tc>
        <w:tc>
          <w:tcPr>
            <w:tcW w:w="4813"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927"/>
        <w:gridCol w:w="1987"/>
        <w:gridCol w:w="491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86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Cost of trainer</w:t>
            </w:r>
          </w:p>
        </w:tc>
        <w:tc>
          <w:tcPr>
            <w:tcW w:w="194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$ 3,200</w:t>
            </w:r>
          </w:p>
        </w:tc>
        <w:tc>
          <w:tcPr>
            <w:tcW w:w="4813"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86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Cost of farrier</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$ 1,440</w:t>
            </w:r>
          </w:p>
        </w:tc>
        <w:tc>
          <w:tcPr>
            <w:tcW w:w="4813"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3660"/>
        <w:gridCol w:w="1255"/>
        <w:gridCol w:w="491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58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Cost of heavy housekeeping</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$ 320</w:t>
            </w:r>
          </w:p>
        </w:tc>
        <w:tc>
          <w:tcPr>
            <w:tcW w:w="4813"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58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4813"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58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Total annual costs</w:t>
            </w:r>
          </w:p>
        </w:tc>
        <w:tc>
          <w:tcPr>
            <w:tcW w:w="122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$22,760</w:t>
            </w:r>
          </w:p>
        </w:tc>
        <w:tc>
          <w:tcPr>
            <w:tcW w:w="4813"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823"/>
        <w:gridCol w:w="2091"/>
        <w:gridCol w:w="491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76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 (17 yrs)</w:t>
            </w:r>
          </w:p>
        </w:tc>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$386,920</w:t>
            </w:r>
          </w:p>
        </w:tc>
        <w:tc>
          <w:tcPr>
            <w:tcW w:w="4813"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recognition of present values and future contingencies, she has reduced this claim to $150,000.</w:t>
      </w:r>
      <w:r>
        <w:rPr>
          <w:rFonts w:ascii="arial" w:eastAsia="arial" w:hAnsi="arial" w:cs="arial"/>
          <w:sz w:val="20"/>
          <w:lang w:val="en-US" w:eastAsia="en-US" w:bidi="ar-SA"/>
        </w:rPr>
        <w:cr/>
      </w:r>
    </w:p>
    <w:p>
      <w:pPr>
        <w:numPr>
          <w:numId w:val="3"/>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defendant concedes that Ms. Pelletier suffered the injuries of which she initially complained. The defendant says that the contentious issues are:</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Ms. Pelletier recovered from her injuries and, if so, when that occurred;</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Ms. Pelletier has suffered any permanent loss of capacity as a result of the injuries she sustained in the collision; and,</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Ms. Pelletier's injuries required her to hire replacement labour.</w:t>
      </w:r>
    </w:p>
    <w:p>
      <w:pPr>
        <w:numPr>
          <w:numId w:val="5"/>
        </w:numPr>
        <w:tabs>
          <w:tab w:val="num" w:pos="760"/>
          <w:tab w:val="clear" w:pos="220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Evidentiary Synopsis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Cynthia Pelletier owned her first horse at the age of 11. As a teenager, she gave riding lessons and owned a white stallion which she rented out for "East Indian" weddings. She sold these horses, and when she was 23 she bought another horse and, for her younger sister, a pony. Her life's ambition was to work in the equine industry. In furtherance of it, she took a horse-training course at Kwantlen College.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her twenties, Ms. Pelletier bore two sons and struggled financially as a single mother. She maintained a strong interest in horses but had difficulty pursuing it while her children were very young.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the late 1990s, a small inheritance from her grandmother allowed her to acquire a small farm in Langley and begin a pony-riding business to earn some income. Also, she purchased a stallion, "Pistol," which she trained and put out to stud, for a fee. The work was physically demanding but she was in good physical condition and fulfilling her dream to earn a living working with horses.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On January 18, 2001, Ms. Pelletier was injured in a motor vehicle collision, en route to the airport. By this date, she had reunited with the father of her children, and her pony-riding business had become her primary income source. She had acquired a second property, where she planned to build an equestrian facility to operate her pony-riding business, and to show, train and board horses.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Ms. Pelletier was driving a 3/4 ton pickup truck and heading to the airport when she was struck, without warning. The impact from the collision caused Ms. Pelletier's head to hit the driver's side window and her left knee to hit the emergency brake handle. Her arm went numb and she was unable to open the driver's door. Her knee was "hot, aching, and sore," her head "hurt," and her neck had "a tweak of pain." She and her friends continued with their travel plans (a weekend in Las Vegas). On the plane she began "stiffening up" and had a headache. Ms. Pelletier described the next day as "severe agony" - she could barely turn her neck, her back was sore, and her knee was very painful. She attended a hospital where she received an injection for the pain and was prescribed pain-killer 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When Ms. Pelletier returned from her trip she went immediately to her family physician. She was given sleeping pills and began physiotherapy on February 26, 2001, for six weeks.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Following the collision, Ms. Pelletier says that she was stiff and in a lot of pain. She suffered from bad headaches and her left eye constantly twitched. She had "sharp achy" pains in her neck and two fingers on her left hand were numb. She had shooting pains in her knee and says that it was "agony" to get in and out of a vehicle and that it was "difficult" to negotiate stairs. She says that her neck pain radiated down her back from her shoulders to her mid-back and below. She described herself as, in a word, a "mess."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Ms. Pelletier says that initially, because of her injuries, she was unable to do "anything." Her family was in the process of moving to their new property and she could offer no help. Eventually, she was able to resume most light household chores, but she says that she remains unable to perform any work requiring much physical exertion or to ride horses for pleasure, without "paying the price"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relation to her work, she says that her injuries prevented her, and continue to prevent her, from operating her pony-riding business without considerable assistance. She says that she quickly found that she could no longer lift children onto the ponies, or walk for more than 20 minutes. She could no longer stoop to clip the ponies. She turned down business (estimated at $8,600) and, to keep the business operating, she hired help: a farrier to maintain the ponies, and a pony-ride assistant (Michele Chasles).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As for other ranch duties, Ms. Pelletier says that her injuries prevented her, and continue to prevent her, from: (a) removing manure and dumping it; (b) leading, handling, and training horses because if they "act up" she doesn't have the strength to control them; (c) lifting the harrow used to keep the ground of the arena level; (d) winding a manual horse-trailer hitch; (e) picking up feed bags; and, (f) saddling a horse with western and show saddles.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Ms. Pelletier says that after the collision she was unable to properly care for the several horses that she owned. She says that she sold some for a loss and gave some away. She describes it as a "fire sale" to cut her losses because the condition of the horses was rapidly declining and, along with it, their worth.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Ms. Pelletier started a dog-breeding business after the collision to compensate for the income she says she was losing from paying others to perform duties that had been hers. She says that she does not enjoy breeding dogs and hopes to stop as soon as she can afford to do so - it was only a means to earn money to keep the ranch operating.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spite of Ms. Pelletier's injuries, the ranch continued to function and develop as an equestrian facility. Ms. Pelletier retained ranch-hands and a horse-trainer to keep her dream alive. She continued to work on the ranch but more as a supervisor than in a "hands on" capacity. At present, she has 25 horses, 8 of which are ponies. She rents horse stalls for $575 per month.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relation to her leisure pursuits, Ms. Pelletier says that her ability to ride horses has been affected "in every way." Before the collision, she enjoyed daily rides, overnight camping trips on horseback, horseback-riding trips into the Interior, and the competitive sport of cattle-pinning. She says she cannot do any of these activities anymore, and that it is upsetting "just to talk about it" because horses have been her whole life. The loss has made her sad and depressed. In addition to horseback-riding, Ms. Pelletier says that prior to the collision she was an "extremely active" person, who played tennis, jet-skied, and ten-pin bowled. She says that if she does any of these activities now, she suffers for days afterwards.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Ms. Pelletier says that she continues to suffer as follows:</w:t>
      </w:r>
      <w:r>
        <w:rPr>
          <w:rFonts w:ascii="arial" w:eastAsia="arial" w:hAnsi="arial" w:cs="arial"/>
          <w:sz w:val="20"/>
          <w:lang w:val="en-US" w:eastAsia="en-US" w:bidi="ar-SA"/>
        </w:rPr>
        <w:cr/>
      </w:r>
    </w:p>
    <w:p>
      <w:pPr>
        <w:numPr>
          <w:numId w:val="6"/>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 neck: It is stiff, particularly in the morning. It causes her to wake up in the night. She has shooting pains and aches. If she overextends herself, she "pays the price." The pain is in the nape and is "debilitating." She suffers spasms that she can see and she says that if her eye and neck spasm is in unison, then it is "horrible." Her neck pain affects her arm.</w:t>
      </w:r>
    </w:p>
    <w:p>
      <w:pPr>
        <w:numPr>
          <w:numId w:val="6"/>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 left arm: It is generally "pretty good" but flares up with neck pain. In extreme flare-ups her fingers tingle and/or go numb. If she overextends herself, she suffers for 3-5 days after.</w:t>
      </w:r>
    </w:p>
    <w:p>
      <w:pPr>
        <w:numPr>
          <w:numId w:val="6"/>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 left knee: It is painful if she does any pushing or uses stairs. Her knee feels hot and achy if the weather is cold and damp. If she walks too much it feels like "sandpaper." She wears a knee-brace and a thermo patch for work. She can only walk on it for about 20 minutes without pain. Her friends tell her she limps. She is unable to drive vehicles with a clutch.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Ms. Pelletier's efforts to recover from her injuries included six weeks of physiotherapy which commenced five weeks after the collision. Since then, she has swum regularly and worked-out with a physical trainer. She says that despite these efforts, there has not been noticeable improvement in her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report of Ms. Pelletier's family physician, Dr. Nakai, shows that Ms. Pelletier saw her doctor at least 18 times after the collision. The gist of the report is that Ms. Pelletier struggled with neck, back, and knee pain throughout the period covered by the report. Dr. Nakai's report documents some improvements and recovery, but it also shows persisting discomfort which only subsided if Ms. Pelletier remained inactive. Any attempts to resume her normal activities brought about flare-ups. As of November 12, 2002, (almost 22 months after the collision), Dr. Nakai noted "marked spasm over the upper and mid-back."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Dr. Nakai does not record any intervening events of injury except a report from Ms. Pelletier on March 27, 2002, that she had recently fallen on her knee because it "gave away" while walking down stairs. (NB Ms. Pelletier does not recall this fall, but it was an admitted fact at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April 2004, Ms. Pelletier's "work capacity" was assessed by Lindsay Townsend, an occupational therapist. Ms. Townsend determined that Ms. Pelletier's work requires physical demands as follows:</w:t>
      </w:r>
      <w:r>
        <w:rPr>
          <w:rFonts w:ascii="arial" w:eastAsia="arial" w:hAnsi="arial" w:cs="arial"/>
          <w:sz w:val="20"/>
          <w:lang w:val="en-US" w:eastAsia="en-US" w:bidi="ar-SA"/>
        </w:rPr>
        <w:cr/>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Whole body dexterity, particularly various degrees of stooping, including shovelling;</w:t>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Heavy strength (for lifting up to 75 lbs and resisting jerking and pulling horses); and,</w:t>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Upper limb co-ordination, including reaching above shoulder level.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After an exhaustive assessment, Ms. Townsend said: "Although she is able to perform many of the required tasks to some degree, it is reasonable based on the assessment results to anticipate that she would have difficulty tolerating greater amounts of tasks, such as cleaning stalls that require bending, training and breeding horses where she must resist jerking against a lead, and some heavier lifting."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Terry Schaffer is a self-described handyman who presently works for Ms. Pelletier. He has known her since 1994 and says that she used to do "everything" in relation to caring for her horses. She maintained the stalls, moved very heavy bales of hay, groomed and trimmed the horses, hooked up the trailer to transport the ponies to pony-ride sites, and was "unbelievable" with machinery. Mr. Schaffer says that he now does the work Ms. Pelletier used to do because she is injured. He says that Ms. Pelletier is "not a complainer" and the gist of his observations is that since the collision she has been physically unable perform the tasks she used to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Heather Grant has 33 years experience as a horse-trainer. She was hired to train Ms. Pelletier's stallion "Pistol" shortly after the collision. She says that Pistol was reasonably well-trained when she took over. She testified that training is important to the value of a horse, and that Pistol's value is in breeding. Ms. Grant says that since Ms. Pelletier was injured she switched to a cheap light-weight saddle to allow her to saddle-up Pistol herself; that she uses a stool to mount the horse; and, that she mounts Pistol in the stall because he is calmer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Candice Price started to work for Ms. Pelletier "because she (Pelletier) was injured in a motor vehicle accident." Ms. Price helped with pony-rides, cleaned stalls, and fed the horses. She says that she handled the younger horses because they can be "a bit jumpy." She helped with the housework and gardening. She lifted the vacuum cleaner up and down stairs. She says that Ms. Pelletier "couldn't do things - she didn't complain, but I could tell by her facial expressions."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Michele Chasles worked for Ms. Pelletier before and after the collision. She says that after the collision Ms. Pelletier asked for her help putting children on ponies, and that it became her job. She described pony-ride days as exhausting - lots of preparation (loading, tacking-up, hitching the trailer), lifting, and walking. She says that Ms. Pelletier organizes the rides, but is unable to do the physical work involved.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Janice Burns is an equestrian and the owner/operator of Paradise Acres. She has known Ms. Pelletier since 1993. Before the collision, she and Ms. Pelletier rode and showed horses together. She says that before the collision Ms. Pelletier never had any difficulty riding or doing any other tasks associated with equestrian activities. Since the collision they no longer ride together and Ms. Pelletier does not participate in cow-pinning. She has noted that Ms. Pelletier does not saddle her own horse or do heavy lifting.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Dr. Van Rijn is a physiatrist who examined Ms. Pelletier, reviewed her medical history, and opined that Ms. Pelletier has a permanent partial disability caused by the collision. He concludes that Ms. Pelletier would require considerably more assistance in order to return to her pre-MVA level of functioning. Regarding her knee complaint, he says that the extended period of symptoms indicates that the injury is likely permanent and will continue to restrict her in some functions. He adds that operative intervention is generally not undertaken with the expectation of long-term success. Similarly, in relation to her neck and shoulder pain he says that the duration of being symptomatic suggests that the injury is permanent and will continue to cause some residual disability.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Dr. Travlos was called as a defence witness. He is a physiatrist who examined Ms. Pelletier on June 18, 2004, and considered the reports of Ms. Townsend, Dr. Nakai, and Dr. Van Rijn in forming an opinion. The gist of his opinion is that he disagrees with Dr. Van Rijn's conclusions. He concludes that Ms. Pelletier's injuries were "mostly resolved" by mid-2003; that any present knee problems are likely the result of the fall in March 2002; that it is not probable that Ms. Pelletier's continued back pain is related to the collision; and, that her "extreme de-conditioning" is a significant factor in her inability to return to normal duties and pastimes.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Arnout Stams is the physiotherapist who treated Ms. Pelletier from Feb. 26, 2001 to June 11, 2001. At the end of the treatment program, Mr. Stams concluded that Ms. Pelletier was "ready for full duties at work" and that "no further treatment is required at this stage."</w:t>
      </w:r>
      <w:r>
        <w:rPr>
          <w:rFonts w:ascii="arial" w:eastAsia="arial" w:hAnsi="arial" w:cs="arial"/>
          <w:sz w:val="20"/>
          <w:lang w:val="en-US" w:eastAsia="en-US" w:bidi="ar-SA"/>
        </w:rPr>
        <w:cr/>
      </w:r>
    </w:p>
    <w:p>
      <w:pPr>
        <w:numPr>
          <w:numId w:val="8"/>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defendant submits that the medical evidence shows that Ms. Pelletier recovered "significantly" within 6 months of the collision, and it does not support her claim for replacement labour or for a future loss of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defendant says that little or no weight should be given to Ms. Pelletier's testimony, partly because she admitted to fabricating a document in furtherance of a social assistance claim, failing to report income for tax and social assistance purposes, and making false declarations in relation to her eligibility for social assistance.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defendant relies upon the opinions of Dr. Travlos and Mr. Stams. The defendant relies upon the clinical records of Dr. Nakai that log improvements within six months and, in some instances, fail to record complaint. The defendant says that these absences of complaint are significant and warrant the inference that the plaintiff was not in pain in relation to areas of her body that she failed to mention to her doctor.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defendant relies upon a physiotherapy record of July 9, 2001, which notes that Ms. Pelletier's knee was functioning normally. It submits that the fall on the stairs in March 2002 is the cause of any present complaint, and that the fall cannot be attributed to the knee injury sustained in the collision. In support of this submission, the defendant relies on the evidence of Dr. Van Rijn that knee locking and/or laxity is not a typical symptom of Ms. Pelletier's knee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defendant submits that Ms. Pelletier sustained a new and different injury to her mid-back as a result of saddling a horse in November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defendant says that there were no previous similar complaints and it relies on Dr. Nakai's testimony that it is "possible" that this was a new injury unrelated to the collision. The defendant says that even if the mid-back pain was not a new injury, the inference from a "string of unrelated visits" to Dr. Nakai suggests that it was quickly resolved.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defendant says that Ms. Pelletier did not have a viable and ongoing business prior to the collision. In support of this contention, it relies upon income tax returns which do not report income from self-employment in the years 1996-2000.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defendant also points to a lack of documentation to support Ms. Pelletier's testimony regarding unreported income from Laughing Stock Ranch that she claims to have earned.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defendant submits that the hiring of helpers by Ms. Pelletier after the collision was unrelated to any injuries she sustained, particularly after July 9, 2001, when she was discharged from physiotherapy and reportedly capable of returning to full duties. Alternatively, the defendant submits that there is insufficient evidence to quantify this loss, even if it were collision-related. With respect to assistance in pony rides (Ms. Chasles) the defendant says that this assistance is needed because the business has grown, not because of Ms. Pelletier's limitations due to the collision. Similarly, the defendant's position is that even without any physical limitations Ms. Pelletier would not be able to perform all the tasks she claims she would do without help, but for her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In relation to the "fire sale" of horses, the defendant says that Ms. Pelletier has failed to tender evidence from which the court could quantify the alleged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In summary, the defendant submits that the evidence establishes that Ms. Pelletier made substantial recovery within six months, with some residual flare-ups within 18 months. Accordingly, non-pecuniary damages should be assessed in the range of $20,000 - $30,000. In support of this range, the defendant cites Henderson et al. v. Peachey &amp; Pare, </w:t>
      </w:r>
      <w:hyperlink r:id="rId457" w:history="1">
        <w:r>
          <w:rPr>
            <w:rFonts w:ascii="arial" w:eastAsia="arial" w:hAnsi="arial" w:cs="arial"/>
            <w:i/>
            <w:color w:val="0077CC"/>
            <w:sz w:val="20"/>
            <w:u w:val="single"/>
            <w:shd w:val="clear" w:color="auto" w:fill="FFFFFF"/>
            <w:lang w:val="en-US" w:eastAsia="en-US" w:bidi="ar-SA"/>
          </w:rPr>
          <w:t>[2003] B.C.J. No. 1675</w:t>
        </w:r>
      </w:hyperlink>
      <w:r>
        <w:rPr>
          <w:rFonts w:ascii="arial" w:eastAsia="arial" w:hAnsi="arial" w:cs="arial"/>
          <w:color w:val="000000"/>
          <w:sz w:val="20"/>
          <w:lang w:val="en-US" w:eastAsia="en-US" w:bidi="ar-SA"/>
        </w:rPr>
        <w:t xml:space="preserve">, </w:t>
      </w:r>
      <w:hyperlink r:id="rId457" w:history="1">
        <w:r>
          <w:rPr>
            <w:rFonts w:ascii="arial" w:eastAsia="arial" w:hAnsi="arial" w:cs="arial"/>
            <w:i/>
            <w:color w:val="0077CC"/>
            <w:sz w:val="20"/>
            <w:u w:val="single"/>
            <w:shd w:val="clear" w:color="auto" w:fill="FFFFFF"/>
            <w:lang w:val="en-US" w:eastAsia="en-US" w:bidi="ar-SA"/>
          </w:rPr>
          <w:t>2003 BCSC 1104</w:t>
        </w:r>
      </w:hyperlink>
      <w:r>
        <w:rPr>
          <w:rFonts w:ascii="arial" w:eastAsia="arial" w:hAnsi="arial" w:cs="arial"/>
          <w:color w:val="000000"/>
          <w:sz w:val="20"/>
          <w:lang w:val="en-US" w:eastAsia="en-US" w:bidi="ar-SA"/>
        </w:rPr>
        <w:t xml:space="preserve">; Williamson v. Nakashimada &amp; Worthing, </w:t>
      </w:r>
      <w:hyperlink r:id="rId458" w:history="1">
        <w:r>
          <w:rPr>
            <w:rFonts w:ascii="arial" w:eastAsia="arial" w:hAnsi="arial" w:cs="arial"/>
            <w:i/>
            <w:color w:val="0077CC"/>
            <w:sz w:val="20"/>
            <w:u w:val="single"/>
            <w:shd w:val="clear" w:color="auto" w:fill="FFFFFF"/>
            <w:lang w:val="en-US" w:eastAsia="en-US" w:bidi="ar-SA"/>
          </w:rPr>
          <w:t>[2004] B.C.J. No. 2187</w:t>
        </w:r>
      </w:hyperlink>
      <w:r>
        <w:rPr>
          <w:rFonts w:ascii="arial" w:eastAsia="arial" w:hAnsi="arial" w:cs="arial"/>
          <w:color w:val="000000"/>
          <w:sz w:val="20"/>
          <w:lang w:val="en-US" w:eastAsia="en-US" w:bidi="ar-SA"/>
        </w:rPr>
        <w:t xml:space="preserve">, </w:t>
      </w:r>
      <w:hyperlink r:id="rId458" w:history="1">
        <w:r>
          <w:rPr>
            <w:rFonts w:ascii="arial" w:eastAsia="arial" w:hAnsi="arial" w:cs="arial"/>
            <w:i/>
            <w:color w:val="0077CC"/>
            <w:sz w:val="20"/>
            <w:u w:val="single"/>
            <w:shd w:val="clear" w:color="auto" w:fill="FFFFFF"/>
            <w:lang w:val="en-US" w:eastAsia="en-US" w:bidi="ar-SA"/>
          </w:rPr>
          <w:t>2004 BCSC 1348</w:t>
        </w:r>
      </w:hyperlink>
      <w:r>
        <w:rPr>
          <w:rFonts w:ascii="arial" w:eastAsia="arial" w:hAnsi="arial" w:cs="arial"/>
          <w:color w:val="000000"/>
          <w:sz w:val="20"/>
          <w:lang w:val="en-US" w:eastAsia="en-US" w:bidi="ar-SA"/>
        </w:rPr>
        <w:t xml:space="preserve">; Marcelino v. Fancesutt &amp; Others, </w:t>
      </w:r>
      <w:hyperlink r:id="rId459" w:history="1">
        <w:r>
          <w:rPr>
            <w:rFonts w:ascii="arial" w:eastAsia="arial" w:hAnsi="arial" w:cs="arial"/>
            <w:i/>
            <w:color w:val="0077CC"/>
            <w:sz w:val="20"/>
            <w:u w:val="single"/>
            <w:shd w:val="clear" w:color="auto" w:fill="FFFFFF"/>
            <w:lang w:val="en-US" w:eastAsia="en-US" w:bidi="ar-SA"/>
          </w:rPr>
          <w:t>[2002] B.C.J. No. 2810</w:t>
        </w:r>
      </w:hyperlink>
      <w:r>
        <w:rPr>
          <w:rFonts w:ascii="arial" w:eastAsia="arial" w:hAnsi="arial" w:cs="arial"/>
          <w:color w:val="000000"/>
          <w:sz w:val="20"/>
          <w:lang w:val="en-US" w:eastAsia="en-US" w:bidi="ar-SA"/>
        </w:rPr>
        <w:t xml:space="preserve">, </w:t>
      </w:r>
      <w:hyperlink r:id="rId459" w:history="1">
        <w:r>
          <w:rPr>
            <w:rFonts w:ascii="arial" w:eastAsia="arial" w:hAnsi="arial" w:cs="arial"/>
            <w:i/>
            <w:color w:val="0077CC"/>
            <w:sz w:val="20"/>
            <w:u w:val="single"/>
            <w:shd w:val="clear" w:color="auto" w:fill="FFFFFF"/>
            <w:lang w:val="en-US" w:eastAsia="en-US" w:bidi="ar-SA"/>
          </w:rPr>
          <w:t>2002 BCSC 1711</w:t>
        </w:r>
      </w:hyperlink>
      <w:r>
        <w:rPr>
          <w:rFonts w:ascii="arial" w:eastAsia="arial" w:hAnsi="arial" w:cs="arial"/>
          <w:color w:val="000000"/>
          <w:sz w:val="20"/>
          <w:lang w:val="en-US" w:eastAsia="en-US" w:bidi="ar-SA"/>
        </w:rPr>
        <w:t xml:space="preserve"> and Bray v. Gaete, </w:t>
      </w:r>
      <w:hyperlink r:id="rId460" w:history="1">
        <w:r>
          <w:rPr>
            <w:rFonts w:ascii="arial" w:eastAsia="arial" w:hAnsi="arial" w:cs="arial"/>
            <w:i/>
            <w:color w:val="0077CC"/>
            <w:sz w:val="20"/>
            <w:u w:val="single"/>
            <w:shd w:val="clear" w:color="auto" w:fill="FFFFFF"/>
            <w:lang w:val="en-US" w:eastAsia="en-US" w:bidi="ar-SA"/>
          </w:rPr>
          <w:t>[2004] B.C.J. No. 557</w:t>
        </w:r>
      </w:hyperlink>
      <w:r>
        <w:rPr>
          <w:rFonts w:ascii="arial" w:eastAsia="arial" w:hAnsi="arial" w:cs="arial"/>
          <w:color w:val="000000"/>
          <w:sz w:val="20"/>
          <w:lang w:val="en-US" w:eastAsia="en-US" w:bidi="ar-SA"/>
        </w:rPr>
        <w:t xml:space="preserve">, </w:t>
      </w:r>
      <w:hyperlink r:id="rId460" w:history="1">
        <w:r>
          <w:rPr>
            <w:rFonts w:ascii="arial" w:eastAsia="arial" w:hAnsi="arial" w:cs="arial"/>
            <w:i/>
            <w:color w:val="0077CC"/>
            <w:sz w:val="20"/>
            <w:u w:val="single"/>
            <w:shd w:val="clear" w:color="auto" w:fill="FFFFFF"/>
            <w:lang w:val="en-US" w:eastAsia="en-US" w:bidi="ar-SA"/>
          </w:rPr>
          <w:t>2004 BCSC 335</w:t>
        </w:r>
      </w:hyperlink>
      <w:r>
        <w:rPr>
          <w:rFonts w:ascii="arial" w:eastAsia="arial" w:hAnsi="arial" w:cs="arial"/>
          <w:color w:val="000000"/>
          <w:sz w:val="20"/>
          <w:lang w:val="en-US" w:eastAsia="en-US" w:bidi="ar-SA"/>
        </w:rPr>
        <w:t>. The defendant says that Ms. Pelletier has suffered no pecuniary damages. Alternatively, the defendant says that damages should be limited to the hiring of replacement workers for the five month period following the collision, after which the plaintiff was capable of performing the duties herself.</w:t>
      </w:r>
      <w:r>
        <w:rPr>
          <w:rFonts w:ascii="arial" w:eastAsia="arial" w:hAnsi="arial" w:cs="arial"/>
          <w:sz w:val="20"/>
          <w:lang w:val="en-US" w:eastAsia="en-US" w:bidi="ar-SA"/>
        </w:rPr>
        <w:cr/>
      </w:r>
    </w:p>
    <w:p>
      <w:pPr>
        <w:numPr>
          <w:numId w:val="9"/>
        </w:numPr>
        <w:tabs>
          <w:tab w:val="num" w:pos="760"/>
          <w:tab w:val="clear" w:pos="220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plaintiff submits that Ms. Pelletier should be believed when she says that she has not recovered from the injuries caused by the collision and that these injuries have seriously curtailed her ability to participate in her business and leisure pursuits. Similarly, the plaintiff says, Ms. Pelletier should be believed when she says that her business was a growing and profitable enterprise at the time of the accident, notwithstanding that she did not report income to the Canada Revenue Agency. It was a "cash and barter" business. Ms. Pelletier was struggling financially and a poor record-keeper.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Ms. Pelletier says that after she was injured she had to hire help to keep the business going and had to take other reasonable steps, such "cutting her losses" by selling horses quickly before they dropped in value. She was not willing to forego her dream to develop and operate an equine facility. She repeatedly tried to return to her former duties but found that it brought about painful flare-ups.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Ms. Pelletier relies upon the evidence of several hired hands and a former riding friend to corroborate her testimony about her business and leisure pursuits before and after the collision. In relation to her injuries, Ms. Pelletier relies upon the expert opinions of Dr. Nakai, Dr. Van Rijn, and Ms. Townsend to corroborate her testimony.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Finally, Ms. Pelletier notes that notwithstanding investigative efforts on behalf of the defendant there was no evidence uncovered to suggest she is a malingerer.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In summary, the plaintiff says that, prior to the collision, Ms. Pelletier was a healthy and fit woman who performed heavy work-related duties in a growing and healthy business, and who participated in physically demanding leisure activities without difficulty. Since the collision her life has changed dramatically. She has been unable to resume most of the physical duties related to her equine business; accordingly, she has sustained financial losses including hiring others to keep the business alive and flourishing. Ms. Pelletier says that her "whole life is horses" and that the inability to ride for pleasure and to participate in horse-related activities is a significant loss which deeply saddens her. She seeks damages that will compensate her for her losses, and allow her to continue her equine enterprise - which remains her passion and the only business she knows.</w:t>
      </w:r>
      <w:r>
        <w:rPr>
          <w:rFonts w:ascii="arial" w:eastAsia="arial" w:hAnsi="arial" w:cs="arial"/>
          <w:sz w:val="20"/>
          <w:lang w:val="en-US" w:eastAsia="en-US" w:bidi="ar-SA"/>
        </w:rPr>
        <w:cr/>
      </w:r>
    </w:p>
    <w:p>
      <w:pPr>
        <w:numPr>
          <w:numId w:val="10"/>
        </w:numPr>
        <w:tabs>
          <w:tab w:val="num" w:pos="760"/>
          <w:tab w:val="clear" w:pos="220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Findings and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 found Ms. Pelletier to be a no-nonsense witness; one somewhat exasperated by the trial process and genuinely frustrated by her injuries and the impact they have had on her life. She showed no inclination towards prevarication or exaggeration.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evidence establishes that Ms. Pelletier is an industrious and enterprising woman who is not afraid of hard work. I am satisfied that she has made serious efforts to return to her pre-collision status but that the injuries she sustained continue to plague her. She has undertaken rehabilitative therapy and she has tried, repeatedly, to fulfill the physically demanding aspects in both her work and pleasure pursuits. When she has done so, however, she has, to use her words, "paid the price."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Underlying all the evidence, and perhaps distinguishing this case from many others, is the fact that Ms. Pelletier's work and leisure pursuits are driven by her life-long passion for horses. The frustration and sense of loss she feels from her physical limitations is palpable.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 am satisfied that the injuries Ms. Pelletier sustained in the collision have dramatically affected both her business and leisure pursuits. There is no evidence that she is a malingerer. The whole of the evidence shows that Ms. Pelletier would much prefer to perform all of the physical labour associated with her business herself, (as taxing as it might be), but has been forced to hire others since her injuries. As for leisure pursuits, there is no question that riding is her passion and that she would never willingly forego these activities; however, it is clear that, since the collision, she has seriously curbed riding for pleasure.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Many witnesses testified who have spent considerable time with Ms. Pelletier since she sustained her injuries. Some were able to comment on the changes that they have noted in Ms. Pelletier since the accident. It is clear that she is a changed woman.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No evidence was presented that Ms. Pelletier has participated in any activity which might demonstrate inconsistency with her claim of enduring pain, suffering, and an inability to perform taxing physical tasks, whether for work or for pleasure. Occasional attempts for which she later has "paid the price" should not be used against her; to the contrary, they should be regarded as indicative of her genuine desire to regain her pre-accident health.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 find that Ms. Pelletier has proved, on a balance of probabilities, that the collision on January 22, 2001, is the cause of the injuries from which she continues to suffer. The evidence of Dr. Nakai is persuasive on this point. I am satisfied that the fall on the stairs in March 2002 is not the cause of Ms. Pelletier's present knee complaint. The evidence suggests that the fall was not a significant event. Ms. Pelletier does not recall it. Dr. Nakai made a clinical note of it but nothing more. Ms. Pelletier's knee troubles have been persistent since the accident, even if there were times when her knee did not bother her. A hiatus in symptoms does not constitute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Similarly, the evidence proves, on balance, that Ms. Pelletier's present neck and back injuries emanate from the accident and not from any other cause. They have been the subject of ongoing complaints to her physician. The evidence shows that the injuries have been aggravated by attempts at physical activities that, prior to the collision, did not pose a problem for Ms. Pelletier.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Ms. Pelletier has been suffering with persistent back, neck, and knee injuries for more than 4 years. I accept Dr. Van Rijn's opinion that the duration of these injuries suggests that they are permanent. If Ms. Pelletier is "de-conditioned" then I am satisfied that it is as a result of her pain and not the cause of it. Prior to the accident, Ms. Pelletier was very physically active, and was able to perform heavy duties without difficulty. Since the accident, Ms. Pelletier has had physiotherapy and fitness training, but there has been no significant improvement.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In relation to Ms. Pelletier's equestrian business, I am satisfied that, at the time of the accident, it was a small business, but one that was viable and growing, with healthy future prospects (many of which have come to fruition). I accept that it was a small, rural, "cash and barter" business and that its records (including tax returns) do not accurately reflect the revenue it generated.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 find that Ms. Pelletier took reasonable steps to keep the business running and her "dream" alive, by: (a) hiring others to do the physical tasks she was no longer able to perform; (b) sharing pony-ride profits with Michele Chasles; and, (c) quickly selling-off horses to cut her losses (the "fire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It is apparent that these steps have contributed toward keeping Laughing Stock Ranch a viable business. Ms. Pelletier's desire and drive to keep the business alive is reflected in her decision to start a dog-breeding business to offset some of the loss of revenue from having to pay others for jobs she had performed herself. The dog-breeding business was something she could physically manage, yet it is apparent that she dislikes it and would prefer to forego it.</w:t>
      </w:r>
      <w:r>
        <w:rPr>
          <w:rFonts w:ascii="arial" w:eastAsia="arial" w:hAnsi="arial" w:cs="arial"/>
          <w:sz w:val="20"/>
          <w:lang w:val="en-US" w:eastAsia="en-US" w:bidi="ar-SA"/>
        </w:rPr>
        <w:cr/>
      </w:r>
    </w:p>
    <w:p>
      <w:pPr>
        <w:numPr>
          <w:numId w:val="11"/>
        </w:numPr>
        <w:tabs>
          <w:tab w:val="num" w:pos="760"/>
          <w:tab w:val="clear" w:pos="220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w:t>
      </w:r>
    </w:p>
    <w:p>
      <w:pPr>
        <w:numPr>
          <w:numId w:val="12"/>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Non-pecuniary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injuries to Ms. Pelletier have altered her life in significant ways. They have seriously curtailed many of her leisure pursuits; in particular, those requiring considerable physical strength and endurance. Ms. Pelletier is not in chronic pain, but it is apparent that the physical exertion required to saddle horses, to ride for any length of time, and to participate in shows results in considerable discomfort for days after. Some activities, such as cow-pinning, are now "out of the question." It bears repeating that these activities were not merely interests or pastimes, they were her passion. I accept as an honest sentiment her statement that she tries not to think about the loss "because it is too depressing." I also accept that the pain she suffers from has caused her to forego other physically demanding sports that she used to enjoy.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Ms. Pelletier was 34 years of age at the time of the accident, and the evidence establishes that her injuries are likely permanent. In these circumstances, her loss of enjoyment is not only significant, but will likely be of lengthy duration. The case of Demedeiros v. Heinrichs and Wu et al, </w:t>
      </w:r>
      <w:hyperlink r:id="rId461" w:history="1">
        <w:r>
          <w:rPr>
            <w:rFonts w:ascii="arial" w:eastAsia="arial" w:hAnsi="arial" w:cs="arial"/>
            <w:i/>
            <w:color w:val="0077CC"/>
            <w:sz w:val="20"/>
            <w:u w:val="single"/>
            <w:shd w:val="clear" w:color="auto" w:fill="FFFFFF"/>
            <w:lang w:val="en-US" w:eastAsia="en-US" w:bidi="ar-SA"/>
          </w:rPr>
          <w:t>[2001] B.C.J. No. 2674</w:t>
        </w:r>
      </w:hyperlink>
      <w:r>
        <w:rPr>
          <w:rFonts w:ascii="arial" w:eastAsia="arial" w:hAnsi="arial" w:cs="arial"/>
          <w:color w:val="000000"/>
          <w:sz w:val="20"/>
          <w:lang w:val="en-US" w:eastAsia="en-US" w:bidi="ar-SA"/>
        </w:rPr>
        <w:t xml:space="preserve">, </w:t>
      </w:r>
      <w:hyperlink r:id="rId461" w:history="1">
        <w:r>
          <w:rPr>
            <w:rFonts w:ascii="arial" w:eastAsia="arial" w:hAnsi="arial" w:cs="arial"/>
            <w:i/>
            <w:color w:val="0077CC"/>
            <w:sz w:val="20"/>
            <w:u w:val="single"/>
            <w:shd w:val="clear" w:color="auto" w:fill="FFFFFF"/>
            <w:lang w:val="en-US" w:eastAsia="en-US" w:bidi="ar-SA"/>
          </w:rPr>
          <w:t>2001 BCSC 1475</w:t>
        </w:r>
      </w:hyperlink>
      <w:r>
        <w:rPr>
          <w:rFonts w:ascii="arial" w:eastAsia="arial" w:hAnsi="arial" w:cs="arial"/>
          <w:color w:val="000000"/>
          <w:sz w:val="20"/>
          <w:lang w:val="en-US" w:eastAsia="en-US" w:bidi="ar-SA"/>
        </w:rPr>
        <w:t xml:space="preserve"> is analogous on its facts and offers some guidance there. Mr. Demedeiros injured his back in a car accident when he was 31. He sustained a permanent partial disability which altered his lifestyle in significant ways. The court referred to the cases of Dawson v. Gee, </w:t>
      </w:r>
      <w:hyperlink r:id="rId74" w:history="1">
        <w:r>
          <w:rPr>
            <w:rFonts w:ascii="arial" w:eastAsia="arial" w:hAnsi="arial" w:cs="arial"/>
            <w:i/>
            <w:color w:val="0077CC"/>
            <w:sz w:val="20"/>
            <w:u w:val="single"/>
            <w:shd w:val="clear" w:color="auto" w:fill="FFFFFF"/>
            <w:lang w:val="en-US" w:eastAsia="en-US" w:bidi="ar-SA"/>
          </w:rPr>
          <w:t>[2000] B.C.J. No. 154</w:t>
        </w:r>
      </w:hyperlink>
      <w:r>
        <w:rPr>
          <w:rFonts w:ascii="arial" w:eastAsia="arial" w:hAnsi="arial" w:cs="arial"/>
          <w:color w:val="000000"/>
          <w:sz w:val="20"/>
          <w:lang w:val="en-US" w:eastAsia="en-US" w:bidi="ar-SA"/>
        </w:rPr>
        <w:t xml:space="preserve">, </w:t>
      </w:r>
      <w:hyperlink r:id="rId74" w:history="1">
        <w:r>
          <w:rPr>
            <w:rFonts w:ascii="arial" w:eastAsia="arial" w:hAnsi="arial" w:cs="arial"/>
            <w:i/>
            <w:color w:val="0077CC"/>
            <w:sz w:val="20"/>
            <w:u w:val="single"/>
            <w:shd w:val="clear" w:color="auto" w:fill="FFFFFF"/>
            <w:lang w:val="en-US" w:eastAsia="en-US" w:bidi="ar-SA"/>
          </w:rPr>
          <w:t>2000 BCSC 147</w:t>
        </w:r>
      </w:hyperlink>
      <w:r>
        <w:rPr>
          <w:rFonts w:ascii="arial" w:eastAsia="arial" w:hAnsi="arial" w:cs="arial"/>
          <w:color w:val="000000"/>
          <w:sz w:val="20"/>
          <w:lang w:val="en-US" w:eastAsia="en-US" w:bidi="ar-SA"/>
        </w:rPr>
        <w:t xml:space="preserve"> and Schrauwen v. Slater, </w:t>
      </w:r>
      <w:hyperlink r:id="rId462" w:history="1">
        <w:r>
          <w:rPr>
            <w:rFonts w:ascii="arial" w:eastAsia="arial" w:hAnsi="arial" w:cs="arial"/>
            <w:i/>
            <w:color w:val="0077CC"/>
            <w:sz w:val="20"/>
            <w:u w:val="single"/>
            <w:shd w:val="clear" w:color="auto" w:fill="FFFFFF"/>
            <w:lang w:val="en-US" w:eastAsia="en-US" w:bidi="ar-SA"/>
          </w:rPr>
          <w:t>[2001] B.C.J. No. 1505</w:t>
        </w:r>
      </w:hyperlink>
      <w:r>
        <w:rPr>
          <w:rFonts w:ascii="arial" w:eastAsia="arial" w:hAnsi="arial" w:cs="arial"/>
          <w:color w:val="000000"/>
          <w:sz w:val="20"/>
          <w:lang w:val="en-US" w:eastAsia="en-US" w:bidi="ar-SA"/>
        </w:rPr>
        <w:t xml:space="preserve">, </w:t>
      </w:r>
      <w:hyperlink r:id="rId462" w:history="1">
        <w:r>
          <w:rPr>
            <w:rFonts w:ascii="arial" w:eastAsia="arial" w:hAnsi="arial" w:cs="arial"/>
            <w:i/>
            <w:color w:val="0077CC"/>
            <w:sz w:val="20"/>
            <w:u w:val="single"/>
            <w:shd w:val="clear" w:color="auto" w:fill="FFFFFF"/>
            <w:lang w:val="en-US" w:eastAsia="en-US" w:bidi="ar-SA"/>
          </w:rPr>
          <w:t>2001 BCSC 987</w:t>
        </w:r>
      </w:hyperlink>
      <w:r>
        <w:rPr>
          <w:rFonts w:ascii="arial" w:eastAsia="arial" w:hAnsi="arial" w:cs="arial"/>
          <w:color w:val="000000"/>
          <w:sz w:val="20"/>
          <w:lang w:val="en-US" w:eastAsia="en-US" w:bidi="ar-SA"/>
        </w:rPr>
        <w:t>, and set non-pecuniary damages at $70,000.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plaintiff seeks $65,000 for non-pecuniary damages. In light of the foregoing, I am satisfied that $65,000 is a fair and just amount. Accordingly, non-pecuniary damages are set at $65,000.</w:t>
      </w:r>
      <w:r>
        <w:rPr>
          <w:rFonts w:ascii="arial" w:eastAsia="arial" w:hAnsi="arial" w:cs="arial"/>
          <w:sz w:val="20"/>
          <w:lang w:val="en-US" w:eastAsia="en-US" w:bidi="ar-SA"/>
        </w:rPr>
        <w:cr/>
      </w:r>
    </w:p>
    <w:p>
      <w:pPr>
        <w:numPr>
          <w:numId w:val="13"/>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special losses claimed by Ms. Pelletier arise from revenue losses sustained in the early stages of her injuries and extra costs incurred because of her inability to perform physical tasks herself.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Documentary evidence of these amounts is unsatisfactory and, in some instances, non-existent. However, documentary evidence is not the only method of proof. The gist of the collective viva voce evidence in the plaintiff's case is that these losses and expenses occurred, and I am satisfied that this is so. It is the quantification of the losses which is problematic. In this regard, the plaintiff asserts that where the figures are not proved by documentation, they are conservative estimates. In other words, the plaintiff has put forward the lowest amount in recognition of unsatisfactory documentary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In many circumstances, the absence of documentary evidence would be troubling and perhaps raise a concern about the legitimacy of the claims. In the instant case, however, I accept the evidence of Ms. Pelletier that she is a chronically poor record-keeper and that, at the relevant times, she was struggling with her injuries, endeavouring to keep her business alive, and not thinking about proving expenses for the purposes of litigation. It is important not to lose sight of the nature of this business enterprise. It was not one run out of an office, with bookkeepers and support staff to maintain careful records of business transactions. It was a "one-woman show" described as a "cash and barter"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evidence also shows that Ms. Pelletier was, of necessity, frugal. For example, she minimized her labour expenses by offering room and board. She sacrificed her privacy. She paid relatively low wages and tolerated the quirkiness of some of the help she was able to afford. I accept this evidence and conclude from it that the expenses Ms. Pelletier claims, where they are not supported by documentation, are the minimum amounts actually expended.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For the "fire sale," I am satisfied that her claim of $25,000 is an honest claim that is below her actual loss. This is consistent with the whole of the evidence, in which I was left with no sense that Ms. Pelletier was artificially inflating losses and expenses. She testified that the amount was more likely $50,000 to $75,000 but she concedes that she cannot substantiate it. Similarly, I accept that the $8,600 estimated loss in pony-ride business would be under the actual amount, if that amount could be proved by documentation.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For the foregoing reasons, the plaintiff is awarded the special damages sought, totalling $110,624.00. There will pre-judgment interest on this award, at registrar's rates.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 Future</w:t>
      </w:r>
    </w:p>
    <w:p>
      <w:pPr>
        <w:numPr>
          <w:numId w:val="14"/>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Lost income-earning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Ms. Pelletier is now 38 years of age, and seeks compensation for future income loss until the age of 55. She intends to continue to operate Laughing Stock Ranch. It is a viable equestrian business which operates pony-rides, and offers boarding, riding, breeding, and training facilities.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Among the many tasks required of the operation, stalls need to be cleaned regularly, horses need to be trained, ponies need to be trimmed by a farrier, and children need to be lifted onto ponies for rides. These are tasks that Ms. Pelletier performed before the accident, but which she can no longer perform. Her business has grown, but not to the extent that she could not manage it herself, but for her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 accept that, but for the accident, Ms. Pelletier was likely to be able to perform most of the labour without assistance, until the age of 55. Prior to the collision she was a strong, healthy, hard-working, and self-motivated woman. The evidence of Janice Burns and Heather Grant establishes that the strength and endurance required is within the physical ability of a fit and experienced woman well into middle-age.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Over a 17-year period, there are significant contingencies that must be taken into account, including the prospect that Ms. Pelletier may sell the business or may cease to operate it for other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It is well settled that the assessment of damages for lost earning capacity is a matter of judgment, not calculation. However, the plaintiff's calculation of the amount is based upon the actual annual costs that she has incurred, since the accident, to have others perform the tasks that Ms. Pelletier once did herself, multiplied by 17 (the number of years until Ms. Pelletier reaches age 55). This totals to a figure of $386,920 which the plaintiff submits ought to be reduced to $150,000 in recognition of future contingencies and present values.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 am satisfied that Ms. Pelletier has lost the capital asset of her ability to perform the physically taxing aspects of her job as owner/operator of an equestrian facility. Her ability to earn an income from a business in which she is particularly skilled and well-suited (to the exclusion of other means of earning an income), has been impaired.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 find that the expenses that Ms. Pelletier has incurred are a reasonable, if not somewhat modest, basis for determining the future costs she will incur so long as she is unable to perform these jobs herself. Her prognosis for recovery is not good, but it is less than certain that she will not improve and be able to resume some of the physical tasks she presently hires others to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Taking into account future contingencies and discounting for present value, I assess the plaintiff's lost earning capacity at $150,000.</w:t>
      </w:r>
      <w:r>
        <w:rPr>
          <w:rFonts w:ascii="arial" w:eastAsia="arial" w:hAnsi="arial" w:cs="arial"/>
          <w:sz w:val="20"/>
          <w:lang w:val="en-US" w:eastAsia="en-US" w:bidi="ar-SA"/>
        </w:rPr>
        <w:cr/>
      </w:r>
    </w:p>
    <w:p>
      <w:pPr>
        <w:numPr>
          <w:numId w:val="1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Housekeeping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plaintiff's claim for housekeeping assistance is a modest one, intended to compensate for her inability to perform only the heaviest household chores. However, I am not satisfied that this claim ought to be allowed.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evidence does not establish a sufficient basis for concluding that housekeeping was, or ought to be, the sole responsibility of Ms. Pelletier. Two teenage children and a husband share the household and ought to be partly responsible for maintaining it. There is no evidence from which I could conclude that they could not perform the few heavy tasks that Ms. Pelletier cannot, or that there is some reason why they should not be expected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For these reasons, there will be no award for housekeeping assistance.</w:t>
      </w:r>
      <w:r>
        <w:rPr>
          <w:rFonts w:ascii="arial" w:eastAsia="arial" w:hAnsi="arial" w:cs="arial"/>
          <w:sz w:val="20"/>
          <w:lang w:val="en-US" w:eastAsia="en-US" w:bidi="ar-SA"/>
        </w:rPr>
        <w:cr/>
      </w:r>
    </w:p>
    <w:p>
      <w:pPr>
        <w:numPr>
          <w:numId w:val="16"/>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Disposition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 plaintiff's claim for damages is allowed,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2823"/>
        <w:gridCol w:w="1882"/>
        <w:gridCol w:w="439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76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Non-pecuniary loss:</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$ 65,000.00</w:t>
            </w:r>
          </w:p>
        </w:tc>
        <w:tc>
          <w:tcPr>
            <w:tcW w:w="4301"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2195"/>
        <w:gridCol w:w="2510"/>
        <w:gridCol w:w="439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w:t>
            </w:r>
          </w:p>
        </w:tc>
        <w:tc>
          <w:tcPr>
            <w:tcW w:w="215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Past loss:</w:t>
            </w:r>
          </w:p>
        </w:tc>
        <w:tc>
          <w:tcPr>
            <w:tcW w:w="245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$110,624.00</w:t>
            </w:r>
          </w:p>
        </w:tc>
        <w:tc>
          <w:tcPr>
            <w:tcW w:w="4301"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732"/>
        <w:gridCol w:w="2301"/>
        <w:gridCol w:w="2405"/>
        <w:gridCol w:w="439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w:t>
            </w:r>
          </w:p>
        </w:tc>
        <w:tc>
          <w:tcPr>
            <w:tcW w:w="225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Future loss:</w:t>
            </w:r>
          </w:p>
        </w:tc>
        <w:tc>
          <w:tcPr>
            <w:tcW w:w="235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$150,000.00</w:t>
            </w:r>
          </w:p>
        </w:tc>
        <w:tc>
          <w:tcPr>
            <w:tcW w:w="4301"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These awards are subject to a deduction for any advances and/or Part VII benefits already received pursuant to s. 25(4) of the Insurance Act, R.S.B.C. 1996, c. 226, s. 25(4)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 plaintiff is awarded costs on scale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BERNARD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36" style="position:absolute;z-index:25187840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63"/>
          <w:headerReference w:type="default" r:id="rId464"/>
          <w:footerReference w:type="even" r:id="rId465"/>
          <w:footerReference w:type="default" r:id="rId466"/>
          <w:headerReference w:type="first" r:id="rId467"/>
          <w:footerReference w:type="first" r:id="rId46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69" w:history="1">
        <w:r>
          <w:rPr>
            <w:rFonts w:ascii="arial" w:eastAsia="arial" w:hAnsi="arial" w:cs="arial"/>
            <w:b/>
            <w:bCs/>
            <w:i/>
            <w:color w:val="0077CC"/>
            <w:kern w:val="32"/>
            <w:sz w:val="28"/>
            <w:szCs w:val="32"/>
            <w:u w:val="single"/>
            <w:shd w:val="clear" w:color="auto" w:fill="FFFFFF"/>
            <w:lang w:val="en-US" w:eastAsia="en-US" w:bidi="ar-SA"/>
          </w:rPr>
          <w:t>Perrault v. North Vancouver (District), [2010] B.C.J. No. 506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 Kloegman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11-15,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January 14,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L050980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[2010] B.C.J. No. 506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BCSC 382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188 A.C.W.S. (3d) 600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CarswellBC 682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Lawrence Ernest Perrault and Jacqueline Margaret Perrault, Plaintiffs, and The Corporation of the District of North Vancouver, Norman Sibson, Hazel Sibson, Sutton Group Reality Services Ltd. carrying on business as Sutton Group West Coast Realty, Jim Hendricks, Re/Max of Western Canada (1998) Inc. carrying on business as Re/Max Crest Realty, Craig Clark,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37" style="position:absolute;z-index:2516817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55" w:name="Keywords_22"/>
      <w:bookmarkEnd w:id="155"/>
      <w:r>
        <w:rPr>
          <w:rFonts w:ascii="arial" w:eastAsia="arial" w:hAnsi="arial" w:cs="arial"/>
          <w:b/>
          <w:color w:val="000000"/>
          <w:sz w:val="20"/>
          <w:lang w:val="en-US" w:eastAsia="en-US" w:bidi="ar-SA"/>
        </w:rPr>
        <w:t>Civil litigation — Civil procedure — Dismissal of action — Application by defendant realtors to dismiss the action against them in negligent misrepresentation on the grounds that no expert evidence had been adduced to establish the requisite standard of care or a breach thereof, granted — This was not a case where the realtors' conduct was so blatantly negligent or so egregious as to be clearly negligent, such that there was no need for expert evidence to establish the standard of care — The plaintiffs led no evidence to prove that a prudent realtor would have discovered the extent of the misrepresentation of the facts.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Real property law — Real estate agents and brokers — Agent's duty to principal — Contractual and tort duties — Duty to exercise reasonable skill and care — Application by defendant realtors to dismiss the action against them in negligent misrepresentation on the grounds that no expert evidence had been adduced to establish the requisite standard of care or a breach thereof, granted — This was not a case where the realtors' conduct was so blatantly negligent or so egregious as to be clearly negligent, such that there was no need for expert evidence to establish the standard of care — The plaintiffs led no evidence to prove that a prudent realtor would have discovered the extent of the misrepresentation of the facts.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56" w:name="Case Summary_20"/>
            <w:bookmarkEnd w:id="15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defendant realtors to dismiss the underlying action against them on the grounds that no expert evidence had been adduced to establish the requisite standard of care of the realtors, or a breach thereof. In the underlying action, the plaintiff purchasers sought damages after a landslide occurred on their North Vancouver property, killing one resident of the house below, injuring another, and resulting in the loss of the plaintiffs' home. The plaintiffs claimed against the defendant vendors, the Sibsons and their realtors, Clark and Re/Max Crest Realty in breach of contract, negligent misrepresentation and breach of fiduciary duty. The plaintiffs had owned the property for about a year and had no idea of any geotechnical issues regarding it or any properties in the area. Specifically, the plaintiffs alleged the defendant realtors failed to adequately investigate the property and failed to discover a prior report or any information concerning the slope's stability risks described therein. The plaintiffs alleged the realtors were liable for failing to check the accuracy of the disclosure statement provided to them by Sibson, in particular clause 1(j) wherein she stated she had not received any notice or claim affecting the property from any person or public body. Finally, the plaintiffs alleged that their agents, Hendricks and Sutton Realty, breached their duty to exercise reasonable care and skill when providing information and opinions which could be reasonably expected to be relied upon by the plaintiffs in their decision to purchase the property. The plaintiffs argued that expert evidence was not required to establish what was in their view a clear case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57" w:name="Holdings of Court_17"/>
            <w:bookmarkEnd w:id="157"/>
            <w:r>
              <w:rPr>
                <w:rFonts w:ascii="arial" w:eastAsia="arial" w:hAnsi="arial" w:cs="arial"/>
                <w:color w:val="000000"/>
                <w:sz w:val="20"/>
                <w:lang w:val="en-US" w:eastAsia="en-US" w:bidi="ar-SA"/>
              </w:rPr>
              <w:t>HELD: Application granted.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case was dismissed against Sutton, Hendricks, Clark and Re/Max Crest. This was not a case where the realtors' conduct was so blatantly negligent or so egregious as to be clearly negligent, such that there was no need for expert evidence to establish the standard of care. This was not a case of deliberate concealment. Although the plaintiffs alleged that a prudent realtor would have discovered the extent of the misrepresentation of the facts here, they had led no evidence to prove that allegation.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58" w:name="Legislation Cited_17"/>
      <w:bookmarkEnd w:id="15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38" style="position:absolute;z-index:2517329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Rules of Court, Rule 40(89)</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59" w:name="Counsel_22"/>
      <w:bookmarkEnd w:id="159"/>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39" style="position:absolute;z-index:2517841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J.L. Straith.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Norman Sibson and Hazel Sibson: H.C. Hayden, F. Butt.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Re/Max Crest Realty and Craig Clark: G.C. Blanchard.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Sutton Group West Coast Realty and Jim Hendricks: W.E. Knutson, Q.C.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The Corporation of the District of North Vancouver: S.J. Berezowskyj, (January 11, 2010 only).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60" w:name="Judgment_22"/>
      <w:bookmarkEnd w:id="160"/>
      <w:r>
        <w:pict>
          <v:line id="_x0000_s1140" style="position:absolute;z-index:25183539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Oral 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8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61" w:name="D. KLOEGMAN J. (orally)"/>
            <w:bookmarkEnd w:id="161"/>
            <w:r>
              <w:rPr>
                <w:rFonts w:ascii="arial" w:eastAsia="arial" w:hAnsi="arial" w:cs="arial"/>
                <w:b/>
                <w:color w:val="000000"/>
                <w:sz w:val="30"/>
                <w:lang w:val="en-US" w:eastAsia="en-US" w:bidi="ar-SA"/>
              </w:rPr>
              <w:t>D. KLOEGMAN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In the middle of the night on January 19, 2005, the plaintiffs awoke to find that a large portion of their backyard had slid down the hill. They later learned that the slide had killed one resident of the house below, and seriously injured the other resident. The plaintiffs had only owned the property at 2175 Berkley Avenue in North Vancouver for about a year, and had no idea of any geotechnical issues regarding it or properties in the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What followed the landslide can only be described as a nightmare for the plaintiffs, who lost their home, and suffered from the ire of the community. Consequently the plaintiffs brought this lawsuit against the District of North Vancouver; the vendors, Norman and Hazel Sibson; the plaintiffs' realtors, Mr. Hendricks and Sutton Realty; and the Sibsons' realtor, Mr. Clark, and Re/Max Crest Realty.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 was told at the outset of trial that the plaintiffs had settled with the District of North Vancouver. All parties consented to a dismissal of the action against the District, and a dismissal of the District's third-party claim against the Sibsons. What remains in the lawsuit are the claims against the defendant realtors and vendors.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At the heart of the allegations against all the defendants is the historical fact that in 1979, abnormally severe rainfall caused a landslide involving at least three properties in close proximity to the subject property. As a result, residents in this Blue Ridge area petitioned the District to investigate the slope's stability and perform any necessary remedial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April 1980, the District sent a letter to residents in the Blue Ridge area, including the defendant Sibsons, advising them that the District had authorized the commission of a report by geotechnical engineers, but that the report would not be commissioned, or at least not made public unless the residents agreed not to use it in any claims against the District. There is no evidence that the Sibsons agreed to the District's terms.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District proceeded to commission the November 30, 1980, report of Klohn Leonoff, which I shall refer to as "the Report". Mr. Brenner, who was the Director of Parks and Engineering for the District at the time, testified that a copy of the Report was kept in the planning department, and a decision was made to place a copy in the North Vancouver Public Library, but he was not sure if this was done. He assumed that the specific sections of the Report pertaining to 2175 Berkley Avenue would have been delivered to the Sibsons, but he did not know if this was done. 23 years later, in August 2003, Mrs. Sibson signed a Disclosure Statement in which she stated that no notices or claims affecting the property had been received from any person or public body.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claims against the two individual real estate agents and their respective employers are founded in breach of contract, negligent misrepresentation, and breach of fiduciary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specific allegations can be summarized as failing to adequately investigate the property, and failing to discover the report or any information concerning the slope's stability risks described therein. Further, the plaintiffs alleged that all the defendant realtors are liable for failing to check the accuracy of the Disclosure Statement provided to them by Mrs. Sibson, in particular clause 1(j), wherein she states that she had not received any notice or claim affecting the property, from any person or public body.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Finally, the plaintiffs allege with respect to their agents, Mr. Hendricks and Sutton Realty, that these defendants breached their duty to exercise reasonable care and skill when providing information and opinions which could be reasonably expected to be relied upon by the plaintiffs in their decision to purchase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plaintiffs have now closed their case, and the defendant realtors jointly bring an application for a dismissal of the action against them, on the basis that no expert evidence has been adduced to establish the requisite standard of care of the realtors, or a breach thereof.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At the close of the plaintiffs' case, the defendants may apply under Rule 40(89) of the </w:t>
      </w:r>
      <w:r>
        <w:rPr>
          <w:rFonts w:ascii="arial" w:eastAsia="arial" w:hAnsi="arial" w:cs="arial"/>
          <w:i/>
          <w:color w:val="000000"/>
          <w:sz w:val="20"/>
          <w:lang w:val="en-US" w:eastAsia="en-US" w:bidi="ar-SA"/>
        </w:rPr>
        <w:t>Rules of Court</w:t>
      </w:r>
      <w:r>
        <w:rPr>
          <w:rFonts w:ascii="arial" w:eastAsia="arial" w:hAnsi="arial" w:cs="arial"/>
          <w:color w:val="000000"/>
          <w:sz w:val="20"/>
          <w:lang w:val="en-US" w:eastAsia="en-US" w:bidi="ar-SA"/>
        </w:rPr>
        <w:t xml:space="preserve"> to have an action dismissed for no evidence to support the plaintiffs' case without the defendants having to decide whether to call a defence. I must consider, but not weigh, the evidence called up to the time Mr. and Mrs. Perrault closed their case, and I must determine whether there is some evidence to support each element of the cause of action that the Perrault's must prove in order to succeed: </w:t>
      </w:r>
      <w:r>
        <w:rPr>
          <w:rFonts w:ascii="arial" w:eastAsia="arial" w:hAnsi="arial" w:cs="arial"/>
          <w:b/>
          <w:i/>
          <w:color w:val="000000"/>
          <w:sz w:val="20"/>
          <w:lang w:val="en-US" w:eastAsia="en-US" w:bidi="ar-SA"/>
        </w:rPr>
        <w:t>Sawchuck v. ICBC</w:t>
      </w:r>
      <w:r>
        <w:rPr>
          <w:rFonts w:ascii="arial" w:eastAsia="arial" w:hAnsi="arial" w:cs="arial"/>
          <w:color w:val="000000"/>
          <w:sz w:val="20"/>
          <w:lang w:val="en-US" w:eastAsia="en-US" w:bidi="ar-SA"/>
        </w:rPr>
        <w:t xml:space="preserve">, </w:t>
      </w:r>
      <w:hyperlink r:id="rId470" w:history="1">
        <w:r>
          <w:rPr>
            <w:rFonts w:ascii="arial" w:eastAsia="arial" w:hAnsi="arial" w:cs="arial"/>
            <w:i/>
            <w:color w:val="0077CC"/>
            <w:sz w:val="20"/>
            <w:u w:val="single"/>
            <w:shd w:val="clear" w:color="auto" w:fill="FFFFFF"/>
            <w:lang w:val="en-US" w:eastAsia="en-US" w:bidi="ar-SA"/>
          </w:rPr>
          <w:t>2000 BCCA 511</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Birkenhead v. Bemister</w:t>
      </w:r>
      <w:r>
        <w:rPr>
          <w:rFonts w:ascii="arial" w:eastAsia="arial" w:hAnsi="arial" w:cs="arial"/>
          <w:color w:val="000000"/>
          <w:sz w:val="20"/>
          <w:lang w:val="en-US" w:eastAsia="en-US" w:bidi="ar-SA"/>
        </w:rPr>
        <w:t xml:space="preserve">, </w:t>
      </w:r>
      <w:hyperlink r:id="rId471" w:history="1">
        <w:r>
          <w:rPr>
            <w:rFonts w:ascii="arial" w:eastAsia="arial" w:hAnsi="arial" w:cs="arial"/>
            <w:i/>
            <w:color w:val="0077CC"/>
            <w:sz w:val="20"/>
            <w:u w:val="single"/>
            <w:shd w:val="clear" w:color="auto" w:fill="FFFFFF"/>
            <w:lang w:val="en-US" w:eastAsia="en-US" w:bidi="ar-SA"/>
          </w:rPr>
          <w:t>2001 BCCA 178</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Roberge v. Huberman</w:t>
      </w:r>
      <w:r>
        <w:rPr>
          <w:rFonts w:ascii="arial" w:eastAsia="arial" w:hAnsi="arial" w:cs="arial"/>
          <w:color w:val="000000"/>
          <w:sz w:val="20"/>
          <w:lang w:val="en-US" w:eastAsia="en-US" w:bidi="ar-SA"/>
        </w:rPr>
        <w:t xml:space="preserve">, </w:t>
      </w:r>
      <w:hyperlink r:id="rId472" w:history="1">
        <w:r>
          <w:rPr>
            <w:rFonts w:ascii="arial" w:eastAsia="arial" w:hAnsi="arial" w:cs="arial"/>
            <w:i/>
            <w:color w:val="0077CC"/>
            <w:sz w:val="20"/>
            <w:u w:val="single"/>
            <w:shd w:val="clear" w:color="auto" w:fill="FFFFFF"/>
            <w:lang w:val="en-US" w:eastAsia="en-US" w:bidi="ar-SA"/>
          </w:rPr>
          <w:t>1999 BCCA 196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The plaintiffs have framed their action in negligent misrepresentation. The first element of this action requires that there be some evidence put forward with which a trier of fact action reasonably could find that a false statement has been negligently made: </w:t>
      </w:r>
      <w:r>
        <w:rPr>
          <w:rFonts w:ascii="arial" w:eastAsia="arial" w:hAnsi="arial" w:cs="arial"/>
          <w:b/>
          <w:i/>
          <w:color w:val="000000"/>
          <w:sz w:val="20"/>
          <w:lang w:val="en-US" w:eastAsia="en-US" w:bidi="ar-SA"/>
        </w:rPr>
        <w:t>Kingu v. Walmar Ventures Limited</w:t>
      </w:r>
      <w:r>
        <w:rPr>
          <w:rFonts w:ascii="arial" w:eastAsia="arial" w:hAnsi="arial" w:cs="arial"/>
          <w:color w:val="000000"/>
          <w:sz w:val="20"/>
          <w:lang w:val="en-US" w:eastAsia="en-US" w:bidi="ar-SA"/>
        </w:rPr>
        <w:t xml:space="preserve"> </w:t>
      </w:r>
      <w:hyperlink r:id="rId473" w:history="1">
        <w:r>
          <w:rPr>
            <w:rFonts w:ascii="arial" w:eastAsia="arial" w:hAnsi="arial" w:cs="arial"/>
            <w:i/>
            <w:color w:val="0077CC"/>
            <w:sz w:val="20"/>
            <w:u w:val="single"/>
            <w:shd w:val="clear" w:color="auto" w:fill="FFFFFF"/>
            <w:lang w:val="en-US" w:eastAsia="en-US" w:bidi="ar-SA"/>
          </w:rPr>
          <w:t>(1986), 10 B.C.L.R. (2d) 15</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false statement to which the plaintiffs point is found in paragraph 1(j) of the Disclosure Statement, which I have described earlier. The defendant realtors submit that there is no evidence to establish that the failure by the realtors to discover the inaccuracy in the Disclosure Statement, or the failure to discover the Report, or any geotechnical risk associated with the property, constitutes a breach of the standard of care of the ordinary prudent realtor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They submit that there is no evidence about the standard of care required of a listing agent, or a purchaser's agent in 2003, when arranging for the completion and delivery, or receipt and analysis of a disclosure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Specifically, the defendants say evidence is required to establish the standard practice of realtors in the relevant time period, by attesting to such things as:</w:t>
      </w:r>
      <w:r>
        <w:rPr>
          <w:rFonts w:ascii="arial" w:eastAsia="arial" w:hAnsi="arial" w:cs="arial"/>
          <w:sz w:val="20"/>
          <w:lang w:val="en-US" w:eastAsia="en-US" w:bidi="ar-SA"/>
        </w:rPr>
        <w:cr/>
      </w:r>
    </w:p>
    <w:p>
      <w:pPr>
        <w:numPr>
          <w:numId w:val="9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investigation that a reasonably prudent listing realtor would carry out in listing a property for sale;</w:t>
      </w:r>
    </w:p>
    <w:p>
      <w:pPr>
        <w:numPr>
          <w:numId w:val="9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extent if any to which those investigations would involve inquiry into the history of the property;</w:t>
      </w:r>
    </w:p>
    <w:p>
      <w:pPr>
        <w:numPr>
          <w:numId w:val="9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extent if any which those investigations would involve inquiries of the District of North Vancouver, and the nature of any such inquiries;</w:t>
      </w:r>
    </w:p>
    <w:p>
      <w:pPr>
        <w:numPr>
          <w:numId w:val="9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Information regarding the training and licensing of realtors;</w:t>
      </w:r>
    </w:p>
    <w:p>
      <w:pPr>
        <w:numPr>
          <w:numId w:val="9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Relevant passages from practice manuals, guidelines, codes of ethics, business practices, and other publications existing in the profession at the relevant time;</w:t>
      </w:r>
    </w:p>
    <w:p>
      <w:pPr>
        <w:numPr>
          <w:numId w:val="9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standard practice of a reasonably prudent realtor relating to the completion by a vendor of a disclosure statement;</w:t>
      </w:r>
    </w:p>
    <w:p>
      <w:pPr>
        <w:numPr>
          <w:numId w:val="9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extent, if any, of discussions between a reasonably prudent listing agent and the vendor about the information provided by the vendor on the Disclosure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Similar comments apply to the type of evidence that would be required to establish the standard practice of the purchaser's agent.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plaintiffs submit that expert evidence is not required to establish what in their view is a clear case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plaintiffs' counsel submits that the law governing realtors'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has set the standard of care of a reasonable and prudent realtor. He points out a quotation taken from William Foster, </w:t>
      </w:r>
      <w:r>
        <w:rPr>
          <w:rFonts w:ascii="arial" w:eastAsia="arial" w:hAnsi="arial" w:cs="arial"/>
          <w:b/>
          <w:i/>
          <w:color w:val="000000"/>
          <w:sz w:val="20"/>
          <w:lang w:val="en-US" w:eastAsia="en-US" w:bidi="ar-SA"/>
        </w:rPr>
        <w:t>Real Estate Agency Law</w:t>
      </w:r>
      <w:r>
        <w:rPr>
          <w:rFonts w:ascii="arial" w:eastAsia="arial" w:hAnsi="arial" w:cs="arial"/>
          <w:color w:val="000000"/>
          <w:sz w:val="20"/>
          <w:lang w:val="en-US" w:eastAsia="en-US" w:bidi="ar-SA"/>
        </w:rPr>
        <w:t xml:space="preserve">, (Toronto: Carswell, 1984) at p. 245 as cited in </w:t>
      </w:r>
      <w:r>
        <w:rPr>
          <w:rFonts w:ascii="arial" w:eastAsia="arial" w:hAnsi="arial" w:cs="arial"/>
          <w:b/>
          <w:i/>
          <w:color w:val="000000"/>
          <w:sz w:val="20"/>
          <w:lang w:val="en-US" w:eastAsia="en-US" w:bidi="ar-SA"/>
        </w:rPr>
        <w:t>Sedgemore v. Block Bros. Realty Ltd.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(1985), 39 R.P.R. 38</w:t>
      </w:r>
      <w:r>
        <w:rPr>
          <w:rFonts w:ascii="arial" w:eastAsia="arial" w:hAnsi="arial" w:cs="arial"/>
          <w:color w:val="000000"/>
          <w:sz w:val="20"/>
          <w:lang w:val="en-US" w:eastAsia="en-US" w:bidi="ar-SA"/>
        </w:rPr>
        <w:t xml:space="preserve">, at p. 49 (B.C.S.C.), as well as </w:t>
      </w:r>
      <w:r>
        <w:rPr>
          <w:rFonts w:ascii="arial" w:eastAsia="arial" w:hAnsi="arial" w:cs="arial"/>
          <w:b/>
          <w:i/>
          <w:color w:val="000000"/>
          <w:sz w:val="20"/>
          <w:lang w:val="en-US" w:eastAsia="en-US" w:bidi="ar-SA"/>
        </w:rPr>
        <w:t>Brown v. Fritz</w:t>
      </w:r>
      <w:r>
        <w:rPr>
          <w:rFonts w:ascii="arial" w:eastAsia="arial" w:hAnsi="arial" w:cs="arial"/>
          <w:color w:val="000000"/>
          <w:sz w:val="20"/>
          <w:lang w:val="en-US" w:eastAsia="en-US" w:bidi="ar-SA"/>
        </w:rPr>
        <w:t xml:space="preserve">, </w:t>
      </w:r>
      <w:hyperlink r:id="rId474" w:history="1">
        <w:r>
          <w:rPr>
            <w:rFonts w:ascii="arial" w:eastAsia="arial" w:hAnsi="arial" w:cs="arial"/>
            <w:i/>
            <w:color w:val="0077CC"/>
            <w:sz w:val="20"/>
            <w:u w:val="single"/>
            <w:shd w:val="clear" w:color="auto" w:fill="FFFFFF"/>
            <w:lang w:val="en-US" w:eastAsia="en-US" w:bidi="ar-SA"/>
          </w:rPr>
          <w:t>[1993] B.C.J. No. 2182</w:t>
        </w:r>
      </w:hyperlink>
      <w:r>
        <w:rPr>
          <w:rFonts w:ascii="arial" w:eastAsia="arial" w:hAnsi="arial" w:cs="arial"/>
          <w:color w:val="000000"/>
          <w:sz w:val="20"/>
          <w:lang w:val="en-US" w:eastAsia="en-US" w:bidi="ar-SA"/>
        </w:rPr>
        <w:t xml:space="preserve"> (S.C.) and </w:t>
      </w:r>
      <w:r>
        <w:rPr>
          <w:rFonts w:ascii="arial" w:eastAsia="arial" w:hAnsi="arial" w:cs="arial"/>
          <w:b/>
          <w:i/>
          <w:color w:val="000000"/>
          <w:sz w:val="20"/>
          <w:lang w:val="en-US" w:eastAsia="en-US" w:bidi="ar-SA"/>
        </w:rPr>
        <w:t>Bolton v. Salaga</w:t>
      </w:r>
      <w:r>
        <w:rPr>
          <w:rFonts w:ascii="arial" w:eastAsia="arial" w:hAnsi="arial" w:cs="arial"/>
          <w:color w:val="000000"/>
          <w:sz w:val="20"/>
          <w:lang w:val="en-US" w:eastAsia="en-US" w:bidi="ar-SA"/>
        </w:rPr>
        <w:t xml:space="preserve">, </w:t>
      </w:r>
      <w:hyperlink r:id="rId475" w:history="1">
        <w:r>
          <w:rPr>
            <w:rFonts w:ascii="arial" w:eastAsia="arial" w:hAnsi="arial" w:cs="arial"/>
            <w:i/>
            <w:color w:val="0077CC"/>
            <w:sz w:val="20"/>
            <w:u w:val="single"/>
            <w:shd w:val="clear" w:color="auto" w:fill="FFFFFF"/>
            <w:lang w:val="en-US" w:eastAsia="en-US" w:bidi="ar-SA"/>
          </w:rPr>
          <w:t>[1989] B.C.J. No. 1565</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The relevant portion of the quotation from </w:t>
      </w:r>
      <w:r>
        <w:rPr>
          <w:rFonts w:ascii="arial" w:eastAsia="arial" w:hAnsi="arial" w:cs="arial"/>
          <w:b/>
          <w:i/>
          <w:color w:val="000000"/>
          <w:sz w:val="20"/>
          <w:lang w:val="en-US" w:eastAsia="en-US" w:bidi="ar-SA"/>
        </w:rPr>
        <w:t>Real Estate Agency Law</w:t>
      </w:r>
      <w:r>
        <w:rPr>
          <w:rFonts w:ascii="arial" w:eastAsia="arial" w:hAnsi="arial" w:cs="arial"/>
          <w:color w:val="000000"/>
          <w:sz w:val="20"/>
          <w:lang w:val="en-US" w:eastAsia="en-US" w:bidi="ar-SA"/>
        </w:rPr>
        <w:t xml:space="preserve"> is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broker must at least check the completeness and accuracy, both of all information which is usual or customary for brokers to verify, and of all other information as to the completeness and accuracy of which he [or she] is in doubt.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difficulty with this submission of the plaintiffs is that there is no evidence before me as to what information is usual or customary for brokers to verify. Put another way, is searching the Municipal Planning Department or the Public Library for notices or claims issued by a public body over two decades earlier a usual or customary step taken by a reasonable and prudent realtor? The same question could be asked about searching for geotechnical reports that were issued over twenty years ago.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Furthermore, there is no evidence before me to indicate that the realtors should have had doubts about the accuracy and completeness of the Disclosure Statement. Perhaps it was customary or usual for realtors in 2003 to have checked for geotechnical issues when properties were on a slope or backed onto a greenbelt, but I had no such evidence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short, I am being asked to find that these four defendants fell below the standard of care in failing to discover the existence of the Report or the information contained therein, or the notice sent to Mrs. Sibson. However I have not been presented with evidence as to the standard of care regarding these matters because I have been provided with no evidence from an expert or through the discovery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In my opinion, this is not a case where the realtors' conduct is so blatantly negligent, or so egregious as to be clearly negligent, such that there is no need for expert evidence to establish the standard of care: </w:t>
      </w:r>
      <w:r>
        <w:rPr>
          <w:rFonts w:ascii="arial" w:eastAsia="arial" w:hAnsi="arial" w:cs="arial"/>
          <w:b/>
          <w:i/>
          <w:color w:val="000000"/>
          <w:sz w:val="20"/>
          <w:lang w:val="en-US" w:eastAsia="en-US" w:bidi="ar-SA"/>
        </w:rPr>
        <w:t>Sedgemore v. Block Bros. Realty Ltd.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Furthermore, this is not a case of deliberate concealment such as was found by Drossos J. in </w:t>
      </w:r>
      <w:r>
        <w:rPr>
          <w:rFonts w:ascii="arial" w:eastAsia="arial" w:hAnsi="arial" w:cs="arial"/>
          <w:b/>
          <w:i/>
          <w:color w:val="000000"/>
          <w:sz w:val="20"/>
          <w:lang w:val="en-US" w:eastAsia="en-US" w:bidi="ar-SA"/>
        </w:rPr>
        <w:t>Brown v. Fritz</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or false advertising as in </w:t>
      </w:r>
      <w:r>
        <w:rPr>
          <w:rFonts w:ascii="arial" w:eastAsia="arial" w:hAnsi="arial" w:cs="arial"/>
          <w:b/>
          <w:i/>
          <w:color w:val="000000"/>
          <w:sz w:val="20"/>
          <w:lang w:val="en-US" w:eastAsia="en-US" w:bidi="ar-SA"/>
        </w:rPr>
        <w:t>Betker v. Williams</w:t>
      </w:r>
      <w:r>
        <w:rPr>
          <w:rFonts w:ascii="arial" w:eastAsia="arial" w:hAnsi="arial" w:cs="arial"/>
          <w:color w:val="000000"/>
          <w:sz w:val="20"/>
          <w:lang w:val="en-US" w:eastAsia="en-US" w:bidi="ar-SA"/>
        </w:rPr>
        <w:t xml:space="preserve"> </w:t>
      </w:r>
      <w:hyperlink r:id="rId476" w:history="1">
        <w:r>
          <w:rPr>
            <w:rFonts w:ascii="arial" w:eastAsia="arial" w:hAnsi="arial" w:cs="arial"/>
            <w:i/>
            <w:color w:val="0077CC"/>
            <w:sz w:val="20"/>
            <w:u w:val="single"/>
            <w:shd w:val="clear" w:color="auto" w:fill="FFFFFF"/>
            <w:lang w:val="en-US" w:eastAsia="en-US" w:bidi="ar-SA"/>
          </w:rPr>
          <w:t>(1991), 86 D.L.R. (4th) 395</w:t>
        </w:r>
      </w:hyperlink>
      <w:r>
        <w:rPr>
          <w:rFonts w:ascii="arial" w:eastAsia="arial" w:hAnsi="arial" w:cs="arial"/>
          <w:color w:val="000000"/>
          <w:sz w:val="20"/>
          <w:lang w:val="en-US" w:eastAsia="en-US" w:bidi="ar-SA"/>
        </w:rPr>
        <w:t xml:space="preserve"> (B.C.C.A.).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I place this case in the same category as the decisions in </w:t>
      </w:r>
      <w:r>
        <w:rPr>
          <w:rFonts w:ascii="arial" w:eastAsia="arial" w:hAnsi="arial" w:cs="arial"/>
          <w:b/>
          <w:i/>
          <w:color w:val="000000"/>
          <w:sz w:val="20"/>
          <w:lang w:val="en-US" w:eastAsia="en-US" w:bidi="ar-SA"/>
        </w:rPr>
        <w:t>Mileos v. Block Brothers Realty Ltd.</w:t>
      </w:r>
      <w:r>
        <w:rPr>
          <w:rFonts w:ascii="arial" w:eastAsia="arial" w:hAnsi="arial" w:cs="arial"/>
          <w:color w:val="000000"/>
          <w:sz w:val="20"/>
          <w:lang w:val="en-US" w:eastAsia="en-US" w:bidi="ar-SA"/>
        </w:rPr>
        <w:t xml:space="preserve"> (30 September 1994), Vancouver C913338 (S.C.); </w:t>
      </w:r>
      <w:r>
        <w:rPr>
          <w:rFonts w:ascii="arial" w:eastAsia="arial" w:hAnsi="arial" w:cs="arial"/>
          <w:b/>
          <w:i/>
          <w:color w:val="000000"/>
          <w:sz w:val="20"/>
          <w:lang w:val="en-US" w:eastAsia="en-US" w:bidi="ar-SA"/>
        </w:rPr>
        <w:t>Shaak v. McIntyre</w:t>
      </w:r>
      <w:r>
        <w:rPr>
          <w:rFonts w:ascii="arial" w:eastAsia="arial" w:hAnsi="arial" w:cs="arial"/>
          <w:color w:val="000000"/>
          <w:sz w:val="20"/>
          <w:lang w:val="en-US" w:eastAsia="en-US" w:bidi="ar-SA"/>
        </w:rPr>
        <w:t xml:space="preserve">, </w:t>
      </w:r>
      <w:hyperlink r:id="rId477" w:history="1">
        <w:r>
          <w:rPr>
            <w:rFonts w:ascii="arial" w:eastAsia="arial" w:hAnsi="arial" w:cs="arial"/>
            <w:i/>
            <w:color w:val="0077CC"/>
            <w:sz w:val="20"/>
            <w:u w:val="single"/>
            <w:shd w:val="clear" w:color="auto" w:fill="FFFFFF"/>
            <w:lang w:val="en-US" w:eastAsia="en-US" w:bidi="ar-SA"/>
          </w:rPr>
          <w:t>[1991] B.C.J. No. 2607</w:t>
        </w:r>
      </w:hyperlink>
      <w:r>
        <w:rPr>
          <w:rFonts w:ascii="arial" w:eastAsia="arial" w:hAnsi="arial" w:cs="arial"/>
          <w:color w:val="000000"/>
          <w:sz w:val="20"/>
          <w:lang w:val="en-US" w:eastAsia="en-US" w:bidi="ar-SA"/>
        </w:rPr>
        <w:t xml:space="preserve"> (S.C.); or </w:t>
      </w:r>
      <w:r>
        <w:rPr>
          <w:rFonts w:ascii="arial" w:eastAsia="arial" w:hAnsi="arial" w:cs="arial"/>
          <w:b/>
          <w:i/>
          <w:color w:val="000000"/>
          <w:sz w:val="20"/>
          <w:lang w:val="en-US" w:eastAsia="en-US" w:bidi="ar-SA"/>
        </w:rPr>
        <w:t>Snijders v. Morgan</w:t>
      </w:r>
      <w:r>
        <w:rPr>
          <w:rFonts w:ascii="arial" w:eastAsia="arial" w:hAnsi="arial" w:cs="arial"/>
          <w:color w:val="000000"/>
          <w:sz w:val="20"/>
          <w:lang w:val="en-US" w:eastAsia="en-US" w:bidi="ar-SA"/>
        </w:rPr>
        <w:t xml:space="preserve"> (27 January 1997), Nelson 4747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the latter case, Drost J.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it is alleged that Mr. Leaky and Nelson Realty were negligent in failing to properly investigate the nature, identity and extent of the property they advertised for sale. There is no evidence whatsoever of that being a duty or responsibility that the law or the custom or the nature of that business imposes upon persons in that type of business in this province.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Similarly, with respect to Item (4) of the particulars, the allegation that they were negligent in failing to advise the Plaintiffs that a plot plan or survey should be obtained at any time, and more particularly once they became aware that a misdescription of the property was involved, there is no evidence of a standard of care that would impose upon them a duty to so advise the Plaintiffs accordingly.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same could be said in the case at bar. The plaintiffs allege that a prudent realtor would have discovered the extent of the misrepresentation of the facts here, but have led no evidence to prove that allegation.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Therefore, regrettably, the case must be dismissed at this juncture against the defendants Sutton, Hendricks, Clark, and Re/Max Crest.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 KLOEGMAN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41" style="position:absolute;z-index:25187942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78"/>
          <w:headerReference w:type="default" r:id="rId479"/>
          <w:footerReference w:type="even" r:id="rId480"/>
          <w:footerReference w:type="default" r:id="rId481"/>
          <w:headerReference w:type="first" r:id="rId482"/>
          <w:footerReference w:type="first" r:id="rId48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84" w:history="1">
        <w:r>
          <w:rPr>
            <w:rFonts w:ascii="arial" w:eastAsia="arial" w:hAnsi="arial" w:cs="arial"/>
            <w:b/>
            <w:bCs/>
            <w:i/>
            <w:color w:val="0077CC"/>
            <w:kern w:val="32"/>
            <w:sz w:val="28"/>
            <w:szCs w:val="32"/>
            <w:u w:val="single"/>
            <w:shd w:val="clear" w:color="auto" w:fill="FFFFFF"/>
            <w:lang w:val="en-US" w:eastAsia="en-US" w:bidi="ar-SA"/>
          </w:rPr>
          <w:t>Pinch (Litigation guardian of) v. Morwood, [2016] B.C.J. No. 73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Columboa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J.R. Dillon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23-27, 30 and December 1-4,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20,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S136970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[2016] B.C.J. No. 73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2016 BCSC 75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Rebecca Pinch, an infant by her Litigation Guardian, Natasha Pinch and the said Natasha Pinch, Plaintiffs, and Dr. Christopher David Cubitt Morwood, Vancouver Coastal Health Authority, operating a public hospital under the name of Powell River General Hospital and the said Powell River General Hospital and Nurse Jane Doe,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42" style="position:absolute;z-index:2516828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62" w:name="Keywords_23"/>
      <w:bookmarkEnd w:id="162"/>
      <w:r>
        <w:rPr>
          <w:rFonts w:ascii="arial" w:eastAsia="arial" w:hAnsi="arial" w:cs="arial"/>
          <w:b/>
          <w:color w:val="000000"/>
          <w:sz w:val="20"/>
          <w:lang w:val="en-US" w:eastAsia="en-US" w:bidi="ar-SA"/>
        </w:rPr>
        <w:t>Civil litigation — Civil evidence — Opinion evidence — Expert evidence — Qualification as an expert — Application by the plaintiff for admission of two doctors, Feinstadt and DuPlessis, as expert witnesses allowed — Plaintiff sued emergency room doctor and nurse for failure to diagnose her with pre-eclampsia when she presented at the emergency room — Feinstadt, a family physician, was qualified to give expert evidence on standard of care of doctors and nurses in rural emergency room — DuPlessis, an obstetrician, was qualified to give expert opinion as to the standard of care to be expected of a general practitioner in the emergency department of a rural hospital concerning the care of a pregnant patient.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Health law — Health care professionals — Liability (malpractice)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Standard of care — Application by the plaintiff for admission of two doctors, Feinstadt and DuPlessis, as expert witnesses allowed — Plaintiff sued emergency room doctor and nurse for failure to diagnose her with pre-eclampsia when she presented at the emergency room — Feinstadt, a family physician, was qualified to give expert evidence on standard of care of doctors and nurses in rural emergency room — DuPlessis, an obstetrician, was qualified to give expert opinion as to the standard of care to be expected of a general practitioner in the emergency department of a rural hospital concerning the care of a pregnant patient.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Professional responsibility — Professions — Health care — Doctors — Nurses — Application by the plaintiff for admission of two doctors, Feinstadt and DuPlessis, as expert witnesses allowed — Plaintiff sued emergency room doctor and nurse for failure to diagnose her with pre-eclampsia when she presented at the emergency room — Feinstadt, a family physician, was qualified to give expert evidence on standard of care of doctors and nurses in rural emergency room — DuPlessis, an obstetrician, was qualified to give expert opinion as to the standard of care to be expected of a general practitioner in the emergency department of a rural hospital concerning the care of a pregnant patient.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63" w:name="Case Summary_21"/>
            <w:bookmarkEnd w:id="16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plaintiff for admission of two doctors, Feinstadt and DuPlessis, as expert witnesses. DuPlessis was an obstetrician/gynecologist at the defendant hospital. Feinstadt, a family doctor, was a family doctor who had practiced extensively in rural locations. Feinstadt was to give an opinion to the court on the standard of care expected of an emergency room physician in a rural environment and on the standard of care expected of an emergency room nurse in a rural environment. DuPlessis was to give an expert opinion as to the standard of care to be expected of a general practitioner in the emergency department of a rural hospital concerning the care of a pregnant patient and with respect to causation issues arising from same. The plaintiff mother sued the defendant doctor and nurse for failure to diagnose her with pre-eclampsia when she presented in the emergency room at 28 weeks pregnant. The defendants argued that Feinstadt was not qualified to give expert evidence on the standard of care of an emergency nurse and that DuPlessis's opinion as to what he would have done was not relevant.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64" w:name="Holdings of Court_18"/>
            <w:bookmarkEnd w:id="164"/>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experts' knowledge, skill, or experience was sufficiently reliable to be of assistance to the trier of fact. Feinstadt had extensive experience working with nurses in the emergency departments of rural community hospitals. He possessed the skill, knowledge and experience about standards of nursing within the emergency department to be of assistance to the court in this case. DuPlessis's expertise as an obstetrician/gynecologist overlapped that of a general practitioner who attended to a pregnant patient in the emergency department. He had specific experience with the defendant hospital and would have been called if the plaintiff had been determined to have pre-eclampsia. He would have experienced many patients who had been previously assessed and treated in the emergency ward by these defendants and was uniquely qualified to express an opinion to the court on the standard of care expected by the general practitioner who was on duty there.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65" w:name="Counsel_23"/>
      <w:bookmarkEnd w:id="16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43" style="position:absolute;z-index:2517340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P.T. McGivern, S.K. Raab, N. Ivolgina.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Dr. C. Morwood: K.J. Jakeman, C.B.P. Elder.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Vancouver Coastal Health Authority and Jane Doe: J.M. Poole, J.K. Groenewold.</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66" w:name="Judgment_23"/>
      <w:bookmarkEnd w:id="166"/>
      <w:r>
        <w:pict>
          <v:line id="_x0000_s1144" style="position:absolute;z-index:25178521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Re: Qualification of Expert Witnesses</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67" w:name="J.R. DILLON J._0"/>
            <w:bookmarkEnd w:id="167"/>
            <w:r>
              <w:rPr>
                <w:rFonts w:ascii="arial" w:eastAsia="arial" w:hAnsi="arial" w:cs="arial"/>
                <w:b/>
                <w:color w:val="000000"/>
                <w:sz w:val="30"/>
                <w:lang w:val="en-US" w:eastAsia="en-US" w:bidi="ar-SA"/>
              </w:rPr>
              <w:t>J.R. DILLON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plaintiffs presented Dr. Garry Feinstadt as an expert witness qualified to give an opinion to the court on the standard of care expected of an emergency room physician in a rural environment and on the standard of care expected of an emergency room nurse in a rural environment. Dr. Feinstadt's qualifications as a medical doctor certified in family practice were in evidence and no challenge was taken to his qualification to give an opinion on the standard of care expected of an emergency room physician. However, counsel for the defendants, the Vancouver Coastal Health Authority and Powell River General Hospital, objected to the admissibility of Dr. Feinstadt's opinion with regard to the standard of care expected of an emergency room nurse in a rural environment. These defendants sought to redact that part of Dr. Feinstadt's opinion about what a competent emergency room nurse would have done and documented in the circumstances and whether the nurse met the requisite standard of care of a competent nurse working in a rural emergency department in British Columbia in 2011. These defendants said that Dr. Feinstadt was not qualified because he is not a nurse or trained as a nurse and otherwise lacks experience sufficient to qualify as an expert on this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On November 24, 2015, after hearing evidence about the doctor's qualifications, and upon consideration of cases and having heard argument, this Court found Dr. Feinstadt qualified to give an opinion in both areas, with reasons reserved with respect to qualification to give an opinion on the standard of nursing practice in the rural emergency room. These are those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On November 25, 2015, the plaintiffs presented Dr. Pierre DuPlessis as an expert witness qualified to give an expert opinion as an obstetrician and gynecologist with respect to the standard of care to be expected of a general practitioner in the emergency department of a rural hospital concerning the care of a pregnant patient and with respect to causation issues arising from same. No issue was taken with the qualifications of Dr. DuPlessis to give an expert opinion as to causation. However, the defendant, Dr. Morwood, objected to the admissibility of Dr. DuPlessis's opinion as to the standard of care expected of a general practitioner in the emergency department. This defendant said that the opinion of this obstetrician/gynecologist as to what he would have done was not relevant. Furthermore, Dr. Morwood said that this specialist was not qualified to give an opinion because he did not practice in the same circumstances as the defendant or was not habitually familiar with the practice of a general physician in those circumstances. This defendant said that, for a specialist to criticize the standard of care of a general practitioner, he must have experience and familiarity with the defendant physician's medical field and practice, must have knowledge of the applicable standard of care, and must have experience practising in the specific circumstance, here, a rural community hospital. This defendant objected to those parts of Dr. DuPlessis's opinion that related to what he would have done in the circumstances of Dr. Morwood on November 5,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mother, Natasha Pinch, was 28 weeks pregnant when she presented in the emergency room of the Powell River General Hospital on November 5, 2011 complaining of neck pain. Both Mary-Jane Barcelonne, a registered nurse, and Dr. Christopher Morwood, a family practitioner, were on duty in the emergency ward of the hospital at the time. The plaintiff mother was seen first by nurse Barcelonne, and then by Dr. Morwood. The plaintiff mother was discharged with recommendation for massage therapy. She suffered seizures on November 7, 2011, was airlifted to a tertiary care hospital, and underwent an emergency caesarean section. The plaintiff child, Rebecca Pinch, was born with significant disability. The plaintiff mother suffered from pre-eclampsia which was not diagnosed on November 5. Whether Dr. Morwood or Ms. Barcelonne met the requisite standard of care when each assessed and/or treated the plaintiff mother on November 5, 2011 is an issue in this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Dr. Feinstadt has been a medical doctor for 43 years. He has been in continuous, full time family practice since 1973 and obtained his certification in family medicine in 1979. He has practised family medicine in numerous rural localities in British Columbia including Invermere, Merritt, Clearwater, and Barriere, and in the Yukon at Watson Lake. He has been on the active staff of several urban hospitals in the past. He relinquished his privileges at BC Women's and Children's Hospital last year after having served as head of the department of family practice for six years and as a member of the quality assurance committee for nine years. He is the founder of the annual review course for obstetrics for family physicians at BC Women's and Children's Hospital and an instructor in fetal health surveillance at the same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Dr. Feinstadt's practice included elective maternity care until three years ago, although he continues in this part of his practice on an ad hoc basis. His practice includes rural emergency medicine, inpatient hospital care, and rural and urban office family practice. Within the rural hospital setting, Dr. Feinstadt has worked with and trained nursing staff and is familiar with the expectations of a rural nurse when presented with a pregnant patient. He has provided emergency room care as a family physician in these rural settings and continues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Dr. DuPlessis qualified as a specialist in obstetrics and gynaecology in South Africa in 1985. He came to Canada in 1998. He practiced in Newfoundland until 2006 when he moved to Powell River where he practiced continuously in his speciality until June 2014 when he moved to Sechelt. He is now semi-retired but continues to practice. He has seen and treated patients with pre-eclampsia and eclampsia. He still has privileges and was formerly the medical director at the defendant, Powell River General Hospital. He is familiar with the procedures at that hospital and knows the defendant nurse and general practitioner. He has consulted and attended to obstetrical emergencies at that hospital as necessary since 2006. He has never practised as an emergency room physician per se, although he attends to emergency room patients when requested. He has never practised family medicine. Dr. DuPlessis attended to the plaintiff mother in the emergency ward of the defendant hospital on November 7,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It is accepted that physicians and nurses work as a team in the emergency department of a rural community hospital. Communication and trust between interdependent professionals is important. The dynamic between nurses and physicians working as a team, although in the obstetrical ward of a tertiary care hospital, was described in </w:t>
      </w:r>
      <w:r>
        <w:rPr>
          <w:rFonts w:ascii="arial" w:eastAsia="arial" w:hAnsi="arial" w:cs="arial"/>
          <w:i/>
          <w:color w:val="000000"/>
          <w:sz w:val="20"/>
          <w:lang w:val="en-US" w:eastAsia="en-US" w:bidi="ar-SA"/>
        </w:rPr>
        <w:t>Guerineau v. Dr. Seger et al.</w:t>
      </w:r>
      <w:r>
        <w:rPr>
          <w:rFonts w:ascii="arial" w:eastAsia="arial" w:hAnsi="arial" w:cs="arial"/>
          <w:color w:val="000000"/>
          <w:sz w:val="20"/>
          <w:lang w:val="en-US" w:eastAsia="en-US" w:bidi="ar-SA"/>
        </w:rPr>
        <w:t xml:space="preserve">, </w:t>
      </w:r>
      <w:hyperlink r:id="rId485" w:history="1">
        <w:r>
          <w:rPr>
            <w:rFonts w:ascii="arial" w:eastAsia="arial" w:hAnsi="arial" w:cs="arial"/>
            <w:i/>
            <w:color w:val="0077CC"/>
            <w:sz w:val="20"/>
            <w:u w:val="single"/>
            <w:shd w:val="clear" w:color="auto" w:fill="FFFFFF"/>
            <w:lang w:val="en-US" w:eastAsia="en-US" w:bidi="ar-SA"/>
          </w:rPr>
          <w:t>2001 BCSC 291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Guerineau</w:t>
      </w:r>
      <w:r>
        <w:rPr>
          <w:rFonts w:ascii="arial" w:eastAsia="arial" w:hAnsi="arial" w:cs="arial"/>
          <w:color w:val="000000"/>
          <w:sz w:val="20"/>
          <w:lang w:val="en-US" w:eastAsia="en-US" w:bidi="ar-SA"/>
        </w:rPr>
        <w:t>) to support the expectation that doctors could rely upon nursing staff to provide accurate assessments and to report problems. In that case, the doctors involved in the case testified as to their expectations of the nursing staff. While their testimony did not establish the nursing standard of care, those expectations were highly probative in determining whether the standard of care had been met (</w:t>
      </w:r>
      <w:r>
        <w:rPr>
          <w:rFonts w:ascii="arial" w:eastAsia="arial" w:hAnsi="arial" w:cs="arial"/>
          <w:i/>
          <w:color w:val="000000"/>
          <w:sz w:val="20"/>
          <w:lang w:val="en-US" w:eastAsia="en-US" w:bidi="ar-SA"/>
        </w:rPr>
        <w:t>Guerineau</w:t>
      </w:r>
      <w:r>
        <w:rPr>
          <w:rFonts w:ascii="arial" w:eastAsia="arial" w:hAnsi="arial" w:cs="arial"/>
          <w:color w:val="000000"/>
          <w:sz w:val="20"/>
          <w:lang w:val="en-US" w:eastAsia="en-US" w:bidi="ar-SA"/>
        </w:rPr>
        <w:t xml:space="preserve"> at para. 59).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The admissibility of expert evidence depends upon the applicability of four criteria as established in </w:t>
      </w:r>
      <w:r>
        <w:rPr>
          <w:rFonts w:ascii="arial" w:eastAsia="arial" w:hAnsi="arial" w:cs="arial"/>
          <w:i/>
          <w:color w:val="000000"/>
          <w:sz w:val="20"/>
          <w:lang w:val="en-US" w:eastAsia="en-US" w:bidi="ar-SA"/>
        </w:rPr>
        <w:t>R. v. Mohan</w:t>
      </w:r>
      <w:r>
        <w:rPr>
          <w:rFonts w:ascii="arial" w:eastAsia="arial" w:hAnsi="arial" w:cs="arial"/>
          <w:color w:val="000000"/>
          <w:sz w:val="20"/>
          <w:lang w:val="en-US" w:eastAsia="en-US" w:bidi="ar-SA"/>
        </w:rPr>
        <w:t xml:space="preserve">, </w:t>
      </w:r>
      <w:hyperlink r:id="rId486" w:history="1">
        <w:r>
          <w:rPr>
            <w:rFonts w:ascii="arial" w:eastAsia="arial" w:hAnsi="arial" w:cs="arial"/>
            <w:i/>
            <w:color w:val="0077CC"/>
            <w:sz w:val="20"/>
            <w:u w:val="single"/>
            <w:shd w:val="clear" w:color="auto" w:fill="FFFFFF"/>
            <w:lang w:val="en-US" w:eastAsia="en-US" w:bidi="ar-SA"/>
          </w:rPr>
          <w:t>[1994] 2 S.C.R. 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Mohan</w:t>
      </w:r>
      <w:r>
        <w:rPr>
          <w:rFonts w:ascii="arial" w:eastAsia="arial" w:hAnsi="arial" w:cs="arial"/>
          <w:color w:val="000000"/>
          <w:sz w:val="20"/>
          <w:lang w:val="en-US" w:eastAsia="en-US" w:bidi="ar-SA"/>
        </w:rPr>
        <w:t>): relevance, necessity in assisting the trier of fact, the absence of an exclusionary rule, and a properly qualified expert. Opinion evidence is generally inadmissible unless it meets all four criteria. Two criteria, relevance and qualifications, are in issue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It should also be remembered that the value of expert evidence can only be assessed in the factual context of a particular trial, so that the admissibility of expert evidence is not a question of precedent, although similar cases must be considered in context in the legal determination of admissibility (</w:t>
      </w:r>
      <w:r>
        <w:rPr>
          <w:rFonts w:ascii="arial" w:eastAsia="arial" w:hAnsi="arial" w:cs="arial"/>
          <w:i/>
          <w:color w:val="000000"/>
          <w:sz w:val="20"/>
          <w:lang w:val="en-US" w:eastAsia="en-US" w:bidi="ar-SA"/>
        </w:rPr>
        <w:t>R. v. K.(A.)</w:t>
      </w:r>
      <w:r>
        <w:rPr>
          <w:rFonts w:ascii="arial" w:eastAsia="arial" w:hAnsi="arial" w:cs="arial"/>
          <w:color w:val="000000"/>
          <w:sz w:val="20"/>
          <w:lang w:val="en-US" w:eastAsia="en-US" w:bidi="ar-SA"/>
        </w:rPr>
        <w:t xml:space="preserve"> </w:t>
      </w:r>
      <w:hyperlink r:id="rId487" w:history="1">
        <w:r>
          <w:rPr>
            <w:rFonts w:ascii="arial" w:eastAsia="arial" w:hAnsi="arial" w:cs="arial"/>
            <w:i/>
            <w:color w:val="0077CC"/>
            <w:sz w:val="20"/>
            <w:u w:val="single"/>
            <w:shd w:val="clear" w:color="auto" w:fill="FFFFFF"/>
            <w:lang w:val="en-US" w:eastAsia="en-US" w:bidi="ar-SA"/>
          </w:rPr>
          <w:t>(1999), 45 O.R. (3d) 641</w:t>
        </w:r>
      </w:hyperlink>
      <w:r>
        <w:rPr>
          <w:rFonts w:ascii="arial" w:eastAsia="arial" w:hAnsi="arial" w:cs="arial"/>
          <w:color w:val="000000"/>
          <w:sz w:val="20"/>
          <w:lang w:val="en-US" w:eastAsia="en-US" w:bidi="ar-SA"/>
        </w:rPr>
        <w:t xml:space="preserve"> at para. 76, </w:t>
      </w:r>
      <w:hyperlink r:id="rId488" w:history="1">
        <w:r>
          <w:rPr>
            <w:rFonts w:ascii="arial" w:eastAsia="arial" w:hAnsi="arial" w:cs="arial"/>
            <w:i/>
            <w:color w:val="0077CC"/>
            <w:sz w:val="20"/>
            <w:u w:val="single"/>
            <w:shd w:val="clear" w:color="auto" w:fill="FFFFFF"/>
            <w:lang w:val="en-US" w:eastAsia="en-US" w:bidi="ar-SA"/>
          </w:rPr>
          <w:t>[1999] O.J. No. 3280</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With respect to relevance, the challenge to Dr. DuPlessis was that the opinion of an obstetrician/gynecologist was irrelevant as to what a general practitioner would have done in the circumstances. The suggestion was that an obstetrician/gynecologist is so overqualified to provide such an opinion that it is worthless and irrelevant. In this case, however, Dr. DuPlessis was the on call obstetrician for the Powell River General Hospital and provided an opinion as to what he would have expected to have happened before he would have been consulted on such a matter as the plaintiff mother. His expectation was that the general practitioner who was the emergency doctor at the time would have assessed all of the plaintiff mother's vital signs and checked for protein in her urine. Whether the vital signs were taken on November 5 and whether her urine should have been checked is a disputed material issue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The relevance criteria for admissibility of expert opinion evidence is generally said to be whether the evidence is logically probative of an issue that is required to be proved (Alan W. Bryant, Sidney N. Lederman &amp; Michelle K. Fuerst, </w:t>
      </w:r>
      <w:r>
        <w:rPr>
          <w:rFonts w:ascii="arial" w:eastAsia="arial" w:hAnsi="arial" w:cs="arial"/>
          <w:i/>
          <w:color w:val="000000"/>
          <w:sz w:val="20"/>
          <w:lang w:val="en-US" w:eastAsia="en-US" w:bidi="ar-SA"/>
        </w:rPr>
        <w:t>The Law of Evidence in Canada</w:t>
      </w:r>
      <w:r>
        <w:rPr>
          <w:rFonts w:ascii="arial" w:eastAsia="arial" w:hAnsi="arial" w:cs="arial"/>
          <w:color w:val="000000"/>
          <w:sz w:val="20"/>
          <w:lang w:val="en-US" w:eastAsia="en-US" w:bidi="ar-SA"/>
        </w:rPr>
        <w:t>, 3d ed. (Markham, Ont.: LexisNexis Canada, 2009) at s. 12.49). Put another way, does the proposed expert opinion evidence relate to a fact in issue in the trial to the extent that it tends to prove it (</w:t>
      </w:r>
      <w:r>
        <w:rPr>
          <w:rFonts w:ascii="arial" w:eastAsia="arial" w:hAnsi="arial" w:cs="arial"/>
          <w:i/>
          <w:color w:val="000000"/>
          <w:sz w:val="20"/>
          <w:lang w:val="en-US" w:eastAsia="en-US" w:bidi="ar-SA"/>
        </w:rPr>
        <w:t>R. v. K.(A.)</w:t>
      </w:r>
      <w:r>
        <w:rPr>
          <w:rFonts w:ascii="arial" w:eastAsia="arial" w:hAnsi="arial" w:cs="arial"/>
          <w:color w:val="000000"/>
          <w:sz w:val="20"/>
          <w:lang w:val="en-US" w:eastAsia="en-US" w:bidi="ar-SA"/>
        </w:rPr>
        <w:t xml:space="preserve"> at paras. 77-78)? As stated by the authors in </w:t>
      </w:r>
      <w:r>
        <w:rPr>
          <w:rFonts w:ascii="arial" w:eastAsia="arial" w:hAnsi="arial" w:cs="arial"/>
          <w:i/>
          <w:color w:val="000000"/>
          <w:sz w:val="20"/>
          <w:lang w:val="en-US" w:eastAsia="en-US" w:bidi="ar-SA"/>
        </w:rPr>
        <w:t>The Law of Evidence in Canada</w:t>
      </w:r>
      <w:r>
        <w:rPr>
          <w:rFonts w:ascii="arial" w:eastAsia="arial" w:hAnsi="arial" w:cs="arial"/>
          <w:color w:val="000000"/>
          <w:sz w:val="20"/>
          <w:lang w:val="en-US" w:eastAsia="en-US" w:bidi="ar-SA"/>
        </w:rPr>
        <w:t xml:space="preserve"> at s. 12.50:</w:t>
      </w:r>
      <w:r>
        <w:rPr>
          <w:rFonts w:ascii="arial" w:eastAsia="arial" w:hAnsi="arial" w:cs="arial"/>
          <w:sz w:val="20"/>
          <w:lang w:val="en-US" w:eastAsia="en-US" w:bidi="ar-SA"/>
        </w:rPr>
        <w:cr/>
      </w:r>
    </w:p>
    <w:p>
      <w:pPr>
        <w:numPr>
          <w:numId w:val="9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12.50 Opinion evidence must have some probative value to make the existence or non-existence of a material fact more probable or less probable than it would be without the evidence. Expert evidence that does not render the disputed material fact more probable or less probable than it would be without the evidence is immaterial [footnote omitted] and is not capable of assisting the trier of fact to decide an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It is known that family doctors in the emergency department of a rural hospital may be called upon to assess and treat pregnant patients who present there and that there is an overlap between the skill and knowledge expected of a physician practising there and the skill and knowledge of a specialist obstetrician/gynecologist. In the circumstances of Dr. DuPlessis, he was familiar with the assessment and treatment that would be expected of such a practitioner in the emergency department and his opinion about the standard of care in those circumstances has probative value as it relates to what assessment and care was given or should have or should not have been given to the plaintiff mother.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Both Dr. Feinstadt and Dr. DuPlessis were challenged about their qualification to provide an expert opinion about standards of care applicable to a nurse, in the case of Dr. Feinstadt, or to a general practitioner, in the case of Dr. DuPlessis, on the basis that Dr. Feinstadt was not specifically certified in the field of nursing and Dr. DuPlessis was not certified in family medicine.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The criterion from </w:t>
      </w:r>
      <w:r>
        <w:rPr>
          <w:rFonts w:ascii="arial" w:eastAsia="arial" w:hAnsi="arial" w:cs="arial"/>
          <w:i/>
          <w:color w:val="000000"/>
          <w:sz w:val="20"/>
          <w:lang w:val="en-US" w:eastAsia="en-US" w:bidi="ar-SA"/>
        </w:rPr>
        <w:t>Mohan</w:t>
      </w:r>
      <w:r>
        <w:rPr>
          <w:rFonts w:ascii="arial" w:eastAsia="arial" w:hAnsi="arial" w:cs="arial"/>
          <w:color w:val="000000"/>
          <w:sz w:val="20"/>
          <w:lang w:val="en-US" w:eastAsia="en-US" w:bidi="ar-SA"/>
        </w:rPr>
        <w:t xml:space="preserve"> at 25 that "the evidence must be given by a witness who is shown to have acquired special or peculiar knowledge through study or experience in respect of the matters on which he or she undertakes to testify", is usually not difficult to apply. Problems arise, however, when counsel fails to qualify a witness in the first place or qualify too narrowly for the opinion that is sought to be introduced (</w:t>
      </w:r>
      <w:r>
        <w:rPr>
          <w:rFonts w:ascii="arial" w:eastAsia="arial" w:hAnsi="arial" w:cs="arial"/>
          <w:i/>
          <w:color w:val="000000"/>
          <w:sz w:val="20"/>
          <w:lang w:val="en-US" w:eastAsia="en-US" w:bidi="ar-SA"/>
        </w:rPr>
        <w:t>R. v. Marquard</w:t>
      </w:r>
      <w:r>
        <w:rPr>
          <w:rFonts w:ascii="arial" w:eastAsia="arial" w:hAnsi="arial" w:cs="arial"/>
          <w:color w:val="000000"/>
          <w:sz w:val="20"/>
          <w:lang w:val="en-US" w:eastAsia="en-US" w:bidi="ar-SA"/>
        </w:rPr>
        <w:t xml:space="preserve">, </w:t>
      </w:r>
      <w:hyperlink r:id="rId489" w:history="1">
        <w:r>
          <w:rPr>
            <w:rFonts w:ascii="arial" w:eastAsia="arial" w:hAnsi="arial" w:cs="arial"/>
            <w:i/>
            <w:color w:val="0077CC"/>
            <w:sz w:val="20"/>
            <w:u w:val="single"/>
            <w:shd w:val="clear" w:color="auto" w:fill="FFFFFF"/>
            <w:lang w:val="en-US" w:eastAsia="en-US" w:bidi="ar-SA"/>
          </w:rPr>
          <w:t>[1993] 4 S.C.R. 223</w:t>
        </w:r>
      </w:hyperlink>
      <w:r>
        <w:rPr>
          <w:rFonts w:ascii="arial" w:eastAsia="arial" w:hAnsi="arial" w:cs="arial"/>
          <w:color w:val="000000"/>
          <w:sz w:val="20"/>
          <w:lang w:val="en-US" w:eastAsia="en-US" w:bidi="ar-SA"/>
        </w:rPr>
        <w:t xml:space="preserve"> at 243 (</w:t>
      </w:r>
      <w:r>
        <w:rPr>
          <w:rFonts w:ascii="arial" w:eastAsia="arial" w:hAnsi="arial" w:cs="arial"/>
          <w:i/>
          <w:color w:val="000000"/>
          <w:sz w:val="20"/>
          <w:lang w:val="en-US" w:eastAsia="en-US" w:bidi="ar-SA"/>
        </w:rPr>
        <w:t>Marquard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Hoskin v. Han</w:t>
      </w:r>
      <w:r>
        <w:rPr>
          <w:rFonts w:ascii="arial" w:eastAsia="arial" w:hAnsi="arial" w:cs="arial"/>
          <w:color w:val="000000"/>
          <w:sz w:val="20"/>
          <w:lang w:val="en-US" w:eastAsia="en-US" w:bidi="ar-SA"/>
        </w:rPr>
        <w:t xml:space="preserve">, </w:t>
      </w:r>
      <w:hyperlink r:id="rId490" w:history="1">
        <w:r>
          <w:rPr>
            <w:rFonts w:ascii="arial" w:eastAsia="arial" w:hAnsi="arial" w:cs="arial"/>
            <w:i/>
            <w:color w:val="0077CC"/>
            <w:sz w:val="20"/>
            <w:u w:val="single"/>
            <w:shd w:val="clear" w:color="auto" w:fill="FFFFFF"/>
            <w:lang w:val="en-US" w:eastAsia="en-US" w:bidi="ar-SA"/>
          </w:rPr>
          <w:t>2003 BCCA 220</w:t>
        </w:r>
      </w:hyperlink>
      <w:r>
        <w:rPr>
          <w:rFonts w:ascii="arial" w:eastAsia="arial" w:hAnsi="arial" w:cs="arial"/>
          <w:color w:val="000000"/>
          <w:sz w:val="20"/>
          <w:lang w:val="en-US" w:eastAsia="en-US" w:bidi="ar-SA"/>
        </w:rPr>
        <w:t xml:space="preserve"> at paras. 72-73).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 witness who has knowledge and expertise in a particular subject matter whose evidence also bears upon a related area of expertise of which the witness has a working knowledge can be qualified in both areas (</w:t>
      </w:r>
      <w:r>
        <w:rPr>
          <w:rFonts w:ascii="arial" w:eastAsia="arial" w:hAnsi="arial" w:cs="arial"/>
          <w:i/>
          <w:color w:val="000000"/>
          <w:sz w:val="20"/>
          <w:lang w:val="en-US" w:eastAsia="en-US" w:bidi="ar-SA"/>
        </w:rPr>
        <w:t>The Law of Evidence in Canada</w:t>
      </w:r>
      <w:r>
        <w:rPr>
          <w:rFonts w:ascii="arial" w:eastAsia="arial" w:hAnsi="arial" w:cs="arial"/>
          <w:color w:val="000000"/>
          <w:sz w:val="20"/>
          <w:lang w:val="en-US" w:eastAsia="en-US" w:bidi="ar-SA"/>
        </w:rPr>
        <w:t xml:space="preserve"> at s. 12.129). In </w:t>
      </w:r>
      <w:r>
        <w:rPr>
          <w:rFonts w:ascii="arial" w:eastAsia="arial" w:hAnsi="arial" w:cs="arial"/>
          <w:i/>
          <w:color w:val="000000"/>
          <w:sz w:val="20"/>
          <w:lang w:val="en-US" w:eastAsia="en-US" w:bidi="ar-SA"/>
        </w:rPr>
        <w:t>Marquard</w:t>
      </w:r>
      <w:r>
        <w:rPr>
          <w:rFonts w:ascii="arial" w:eastAsia="arial" w:hAnsi="arial" w:cs="arial"/>
          <w:color w:val="000000"/>
          <w:sz w:val="20"/>
          <w:lang w:val="en-US" w:eastAsia="en-US" w:bidi="ar-SA"/>
        </w:rPr>
        <w:t>, several medical experts gave evidence about burns although they were not experts on burns or plastic surgery. McLachlin J. (as she then was) for the majority said at 242-243: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problem raised in this case stems from the way the witnesses were qualified as experts. There is little doubt that they all possessed some special knowledge relating to the matters on which they testified, alleged to lie outside their expertise. While Dr. Mian and Dr. Campbell were not medical specialists in burns, there can be no doubt that as practising physicians they possessed an expertise on burns which is not possessed by the ordinary untrained person. Similarly, while Dr. Zuker was not qualified as an expert in child abuse, his long experience working with children who had been injured had no doubt given him a degree of expertise which is not possessed by the lay person. The only requirement for the admission of expert opinion is that the "expert witness possesses special knowledge and experience going beyond that of the trier of fact": </w:t>
      </w:r>
      <w:r>
        <w:rPr>
          <w:rFonts w:ascii="arial" w:eastAsia="arial" w:hAnsi="arial" w:cs="arial"/>
          <w:i/>
          <w:color w:val="000000"/>
          <w:sz w:val="20"/>
          <w:lang w:val="en-US" w:eastAsia="en-US" w:bidi="ar-SA"/>
        </w:rPr>
        <w:t>R. v. Béland</w:t>
      </w:r>
      <w:r>
        <w:rPr>
          <w:rFonts w:ascii="arial" w:eastAsia="arial" w:hAnsi="arial" w:cs="arial"/>
          <w:color w:val="000000"/>
          <w:sz w:val="20"/>
          <w:lang w:val="en-US" w:eastAsia="en-US" w:bidi="ar-SA"/>
        </w:rPr>
        <w:t xml:space="preserve">, </w:t>
      </w:r>
      <w:hyperlink r:id="rId491" w:history="1">
        <w:r>
          <w:rPr>
            <w:rFonts w:ascii="arial" w:eastAsia="arial" w:hAnsi="arial" w:cs="arial"/>
            <w:i/>
            <w:color w:val="0077CC"/>
            <w:sz w:val="20"/>
            <w:u w:val="single"/>
            <w:shd w:val="clear" w:color="auto" w:fill="FFFFFF"/>
            <w:lang w:val="en-US" w:eastAsia="en-US" w:bidi="ar-SA"/>
          </w:rPr>
          <w:t>[1987] 2 S.C.R. 398</w:t>
        </w:r>
      </w:hyperlink>
      <w:r>
        <w:rPr>
          <w:rFonts w:ascii="arial" w:eastAsia="arial" w:hAnsi="arial" w:cs="arial"/>
          <w:color w:val="000000"/>
          <w:sz w:val="20"/>
          <w:lang w:val="en-US" w:eastAsia="en-US" w:bidi="ar-SA"/>
        </w:rPr>
        <w:t xml:space="preserve">, at p. 415. Deficiencies in the expertise go to weight, not admissibility. As stated by Sopinka, Lederman and Bryant, </w:t>
      </w:r>
      <w:r>
        <w:rPr>
          <w:rFonts w:ascii="arial" w:eastAsia="arial" w:hAnsi="arial" w:cs="arial"/>
          <w:i/>
          <w:color w:val="000000"/>
          <w:sz w:val="20"/>
          <w:lang w:val="en-US" w:eastAsia="en-US" w:bidi="ar-SA"/>
        </w:rPr>
        <w:t>The Law of Evidence in Canada</w:t>
      </w:r>
      <w:r>
        <w:rPr>
          <w:rFonts w:ascii="arial" w:eastAsia="arial" w:hAnsi="arial" w:cs="arial"/>
          <w:color w:val="000000"/>
          <w:sz w:val="20"/>
          <w:lang w:val="en-US" w:eastAsia="en-US" w:bidi="ar-SA"/>
        </w:rPr>
        <w:t xml:space="preserve"> (1992), at pp. 536-37:</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admissibility of such [expert] evidence does not depend upon the means by which that skill was acquired. As long as the court is satisfied that the witness is sufficiently experienced in the subject-matter at issue, the court will not be concerned with whether his or her skill was derived from specific studies or by practical training, although that may affect the weight to be given to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Whether an expert may be qualified in a related field was also considered in </w:t>
      </w:r>
      <w:r>
        <w:rPr>
          <w:rFonts w:ascii="arial" w:eastAsia="arial" w:hAnsi="arial" w:cs="arial"/>
          <w:i/>
          <w:color w:val="000000"/>
          <w:sz w:val="20"/>
          <w:lang w:val="en-US" w:eastAsia="en-US" w:bidi="ar-SA"/>
        </w:rPr>
        <w:t>R. v. Fisher</w:t>
      </w:r>
      <w:r>
        <w:rPr>
          <w:rFonts w:ascii="arial" w:eastAsia="arial" w:hAnsi="arial" w:cs="arial"/>
          <w:color w:val="000000"/>
          <w:sz w:val="20"/>
          <w:lang w:val="en-US" w:eastAsia="en-US" w:bidi="ar-SA"/>
        </w:rPr>
        <w:t xml:space="preserve">, </w:t>
      </w:r>
      <w:hyperlink r:id="rId492" w:history="1">
        <w:r>
          <w:rPr>
            <w:rFonts w:ascii="arial" w:eastAsia="arial" w:hAnsi="arial" w:cs="arial"/>
            <w:i/>
            <w:color w:val="0077CC"/>
            <w:sz w:val="20"/>
            <w:u w:val="single"/>
            <w:shd w:val="clear" w:color="auto" w:fill="FFFFFF"/>
            <w:lang w:val="en-US" w:eastAsia="en-US" w:bidi="ar-SA"/>
          </w:rPr>
          <w:t>2003 SKCA 90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Fisher</w:t>
      </w:r>
      <w:r>
        <w:rPr>
          <w:rFonts w:ascii="arial" w:eastAsia="arial" w:hAnsi="arial" w:cs="arial"/>
          <w:color w:val="000000"/>
          <w:sz w:val="20"/>
          <w:lang w:val="en-US" w:eastAsia="en-US" w:bidi="ar-SA"/>
        </w:rPr>
        <w:t xml:space="preserve">), leave to appeal to S.C.C. refused </w:t>
      </w:r>
      <w:hyperlink r:id="rId493" w:history="1">
        <w:r>
          <w:rPr>
            <w:rFonts w:ascii="arial" w:eastAsia="arial" w:hAnsi="arial" w:cs="arial"/>
            <w:i/>
            <w:color w:val="0077CC"/>
            <w:sz w:val="20"/>
            <w:u w:val="single"/>
            <w:shd w:val="clear" w:color="auto" w:fill="FFFFFF"/>
            <w:lang w:val="en-US" w:eastAsia="en-US" w:bidi="ar-SA"/>
          </w:rPr>
          <w:t>[2004] S.C.C.A. No. 113</w:t>
        </w:r>
      </w:hyperlink>
      <w:r>
        <w:rPr>
          <w:rFonts w:ascii="arial" w:eastAsia="arial" w:hAnsi="arial" w:cs="arial"/>
          <w:color w:val="000000"/>
          <w:sz w:val="20"/>
          <w:lang w:val="en-US" w:eastAsia="en-US" w:bidi="ar-SA"/>
        </w:rPr>
        <w:t xml:space="preserve"> , [2004] 3 S.C.R. viii. The subject of the qualification criteria examination in </w:t>
      </w:r>
      <w:r>
        <w:rPr>
          <w:rFonts w:ascii="arial" w:eastAsia="arial" w:hAnsi="arial" w:cs="arial"/>
          <w:i/>
          <w:color w:val="000000"/>
          <w:sz w:val="20"/>
          <w:lang w:val="en-US" w:eastAsia="en-US" w:bidi="ar-SA"/>
        </w:rPr>
        <w:t>Fisher</w:t>
      </w:r>
      <w:r>
        <w:rPr>
          <w:rFonts w:ascii="arial" w:eastAsia="arial" w:hAnsi="arial" w:cs="arial"/>
          <w:color w:val="000000"/>
          <w:sz w:val="20"/>
          <w:lang w:val="en-US" w:eastAsia="en-US" w:bidi="ar-SA"/>
        </w:rPr>
        <w:t xml:space="preserve"> was whether a forensic analyst was also qualified to give an opinion about statistical analysis. At the stage of determination of admissibility, the reliability of the opinion as an aid to the trier of fact is key. The qualifications should be examined in the context of the trier of fact needing information that is reliable to assist him. It is known that experts can rely upon outside sources for their opinion and that there is often cross-over of expertise (</w:t>
      </w:r>
      <w:r>
        <w:rPr>
          <w:rFonts w:ascii="arial" w:eastAsia="arial" w:hAnsi="arial" w:cs="arial"/>
          <w:i/>
          <w:color w:val="000000"/>
          <w:sz w:val="20"/>
          <w:lang w:val="en-US" w:eastAsia="en-US" w:bidi="ar-SA"/>
        </w:rPr>
        <w:t>Fisher</w:t>
      </w:r>
      <w:r>
        <w:rPr>
          <w:rFonts w:ascii="arial" w:eastAsia="arial" w:hAnsi="arial" w:cs="arial"/>
          <w:color w:val="000000"/>
          <w:sz w:val="20"/>
          <w:lang w:val="en-US" w:eastAsia="en-US" w:bidi="ar-SA"/>
        </w:rPr>
        <w:t xml:space="preserve"> at para. 15, citing </w:t>
      </w:r>
      <w:r>
        <w:rPr>
          <w:rFonts w:ascii="arial" w:eastAsia="arial" w:hAnsi="arial" w:cs="arial"/>
          <w:i/>
          <w:color w:val="000000"/>
          <w:sz w:val="20"/>
          <w:lang w:val="en-US" w:eastAsia="en-US" w:bidi="ar-SA"/>
        </w:rPr>
        <w:t>R. v. Lafferty</w:t>
      </w:r>
      <w:r>
        <w:rPr>
          <w:rFonts w:ascii="arial" w:eastAsia="arial" w:hAnsi="arial" w:cs="arial"/>
          <w:color w:val="000000"/>
          <w:sz w:val="20"/>
          <w:lang w:val="en-US" w:eastAsia="en-US" w:bidi="ar-SA"/>
        </w:rPr>
        <w:t xml:space="preserve">, </w:t>
      </w:r>
      <w:hyperlink r:id="rId494" w:history="1">
        <w:r>
          <w:rPr>
            <w:rFonts w:ascii="arial" w:eastAsia="arial" w:hAnsi="arial" w:cs="arial"/>
            <w:i/>
            <w:color w:val="0077CC"/>
            <w:sz w:val="20"/>
            <w:u w:val="single"/>
            <w:shd w:val="clear" w:color="auto" w:fill="FFFFFF"/>
            <w:lang w:val="en-US" w:eastAsia="en-US" w:bidi="ar-SA"/>
          </w:rPr>
          <w:t>[1993] N.W.T.R. 218</w:t>
        </w:r>
      </w:hyperlink>
      <w:r>
        <w:rPr>
          <w:rFonts w:ascii="arial" w:eastAsia="arial" w:hAnsi="arial" w:cs="arial"/>
          <w:color w:val="000000"/>
          <w:sz w:val="20"/>
          <w:lang w:val="en-US" w:eastAsia="en-US" w:bidi="ar-SA"/>
        </w:rPr>
        <w:t xml:space="preserve">, </w:t>
      </w:r>
      <w:hyperlink r:id="rId494" w:history="1">
        <w:r>
          <w:rPr>
            <w:rFonts w:ascii="arial" w:eastAsia="arial" w:hAnsi="arial" w:cs="arial"/>
            <w:i/>
            <w:color w:val="0077CC"/>
            <w:sz w:val="20"/>
            <w:u w:val="single"/>
            <w:shd w:val="clear" w:color="auto" w:fill="FFFFFF"/>
            <w:lang w:val="en-US" w:eastAsia="en-US" w:bidi="ar-SA"/>
          </w:rPr>
          <w:t>80 C.C.C. (3d) 150</w:t>
        </w:r>
      </w:hyperlink>
      <w:r>
        <w:rPr>
          <w:rFonts w:ascii="arial" w:eastAsia="arial" w:hAnsi="arial" w:cs="arial"/>
          <w:color w:val="000000"/>
          <w:sz w:val="20"/>
          <w:lang w:val="en-US" w:eastAsia="en-US" w:bidi="ar-SA"/>
        </w:rPr>
        <w:t xml:space="preserve"> at 160-161 (S.C.)). Once it is established that an expert possesses sufficient skill, knowledge or experience concerning the subject matter of his expertise and that the opinion would likely assist the trier of fact, the qualification inquiry is over (</w:t>
      </w:r>
      <w:r>
        <w:rPr>
          <w:rFonts w:ascii="arial" w:eastAsia="arial" w:hAnsi="arial" w:cs="arial"/>
          <w:i/>
          <w:color w:val="000000"/>
          <w:sz w:val="20"/>
          <w:lang w:val="en-US" w:eastAsia="en-US" w:bidi="ar-SA"/>
        </w:rPr>
        <w:t>Fisher</w:t>
      </w:r>
      <w:r>
        <w:rPr>
          <w:rFonts w:ascii="arial" w:eastAsia="arial" w:hAnsi="arial" w:cs="arial"/>
          <w:color w:val="000000"/>
          <w:sz w:val="20"/>
          <w:lang w:val="en-US" w:eastAsia="en-US" w:bidi="ar-SA"/>
        </w:rPr>
        <w:t xml:space="preserve"> at para. 18, citing </w:t>
      </w:r>
      <w:r>
        <w:rPr>
          <w:rFonts w:ascii="arial" w:eastAsia="arial" w:hAnsi="arial" w:cs="arial"/>
          <w:i/>
          <w:color w:val="000000"/>
          <w:sz w:val="20"/>
          <w:lang w:val="en-US" w:eastAsia="en-US" w:bidi="ar-SA"/>
        </w:rPr>
        <w:t>R. v. Terceira</w:t>
      </w:r>
      <w:r>
        <w:rPr>
          <w:rFonts w:ascii="arial" w:eastAsia="arial" w:hAnsi="arial" w:cs="arial"/>
          <w:color w:val="000000"/>
          <w:sz w:val="20"/>
          <w:lang w:val="en-US" w:eastAsia="en-US" w:bidi="ar-SA"/>
        </w:rPr>
        <w:t xml:space="preserve"> </w:t>
      </w:r>
      <w:hyperlink r:id="rId495" w:history="1">
        <w:r>
          <w:rPr>
            <w:rFonts w:ascii="arial" w:eastAsia="arial" w:hAnsi="arial" w:cs="arial"/>
            <w:i/>
            <w:color w:val="0077CC"/>
            <w:sz w:val="20"/>
            <w:u w:val="single"/>
            <w:shd w:val="clear" w:color="auto" w:fill="FFFFFF"/>
            <w:lang w:val="en-US" w:eastAsia="en-US" w:bidi="ar-SA"/>
          </w:rPr>
          <w:t>(1998), 38 O.R. (3d) 175</w:t>
        </w:r>
      </w:hyperlink>
      <w:r>
        <w:rPr>
          <w:rFonts w:ascii="arial" w:eastAsia="arial" w:hAnsi="arial" w:cs="arial"/>
          <w:color w:val="000000"/>
          <w:sz w:val="20"/>
          <w:lang w:val="en-US" w:eastAsia="en-US" w:bidi="ar-SA"/>
        </w:rPr>
        <w:t xml:space="preserve"> at 192-193 (C.A.), aff'd </w:t>
      </w:r>
      <w:hyperlink r:id="rId496" w:history="1">
        <w:r>
          <w:rPr>
            <w:rFonts w:ascii="arial" w:eastAsia="arial" w:hAnsi="arial" w:cs="arial"/>
            <w:i/>
            <w:color w:val="0077CC"/>
            <w:sz w:val="20"/>
            <w:u w:val="single"/>
            <w:shd w:val="clear" w:color="auto" w:fill="FFFFFF"/>
            <w:lang w:val="en-US" w:eastAsia="en-US" w:bidi="ar-SA"/>
          </w:rPr>
          <w:t>[1999] 3 S.C.R. 866</w:t>
        </w:r>
      </w:hyperlink>
      <w:r>
        <w:rPr>
          <w:rFonts w:ascii="arial" w:eastAsia="arial" w:hAnsi="arial" w:cs="arial"/>
          <w:color w:val="000000"/>
          <w:sz w:val="20"/>
          <w:lang w:val="en-US" w:eastAsia="en-US" w:bidi="ar-SA"/>
        </w:rPr>
        <w:t>). Deficiencies in the knowledge of the witness are factors affecting the weight of the evidence, but do not go to admissibility (</w:t>
      </w:r>
      <w:r>
        <w:rPr>
          <w:rFonts w:ascii="arial" w:eastAsia="arial" w:hAnsi="arial" w:cs="arial"/>
          <w:i/>
          <w:color w:val="000000"/>
          <w:sz w:val="20"/>
          <w:lang w:val="en-US" w:eastAsia="en-US" w:bidi="ar-SA"/>
        </w:rPr>
        <w:t>Fisher</w:t>
      </w:r>
      <w:r>
        <w:rPr>
          <w:rFonts w:ascii="arial" w:eastAsia="arial" w:hAnsi="arial" w:cs="arial"/>
          <w:color w:val="000000"/>
          <w:sz w:val="20"/>
          <w:lang w:val="en-US" w:eastAsia="en-US" w:bidi="ar-SA"/>
        </w:rPr>
        <w:t xml:space="preserve"> at para. 19). If, however, an expert's knowledge or experience of a subject matter is minimal, it might be a different story (</w:t>
      </w:r>
      <w:r>
        <w:rPr>
          <w:rFonts w:ascii="arial" w:eastAsia="arial" w:hAnsi="arial" w:cs="arial"/>
          <w:i/>
          <w:color w:val="000000"/>
          <w:sz w:val="20"/>
          <w:lang w:val="en-US" w:eastAsia="en-US" w:bidi="ar-SA"/>
        </w:rPr>
        <w:t>R. v. K.(A.)</w:t>
      </w:r>
      <w:r>
        <w:rPr>
          <w:rFonts w:ascii="arial" w:eastAsia="arial" w:hAnsi="arial" w:cs="arial"/>
          <w:color w:val="000000"/>
          <w:sz w:val="20"/>
          <w:lang w:val="en-US" w:eastAsia="en-US" w:bidi="ar-SA"/>
        </w:rPr>
        <w:t xml:space="preserve"> at para. 103).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The defendant doctor cited several older cases in which a medical specialist was not qualified to give an opinion on the standard of care of a general practitioner or a general practitioner was not qualified to give an opinion on emergency medical care. In </w:t>
      </w:r>
      <w:r>
        <w:rPr>
          <w:rFonts w:ascii="arial" w:eastAsia="arial" w:hAnsi="arial" w:cs="arial"/>
          <w:i/>
          <w:color w:val="000000"/>
          <w:sz w:val="20"/>
          <w:lang w:val="en-US" w:eastAsia="en-US" w:bidi="ar-SA"/>
        </w:rPr>
        <w:t>St. Jules v. Chen</w:t>
      </w:r>
      <w:r>
        <w:rPr>
          <w:rFonts w:ascii="arial" w:eastAsia="arial" w:hAnsi="arial" w:cs="arial"/>
          <w:color w:val="000000"/>
          <w:sz w:val="20"/>
          <w:lang w:val="en-US" w:eastAsia="en-US" w:bidi="ar-SA"/>
        </w:rPr>
        <w:t xml:space="preserve"> </w:t>
      </w:r>
      <w:hyperlink r:id="rId497" w:history="1">
        <w:r>
          <w:rPr>
            <w:rFonts w:ascii="arial" w:eastAsia="arial" w:hAnsi="arial" w:cs="arial"/>
            <w:i/>
            <w:color w:val="0077CC"/>
            <w:sz w:val="20"/>
            <w:u w:val="single"/>
            <w:shd w:val="clear" w:color="auto" w:fill="FFFFFF"/>
            <w:lang w:val="en-US" w:eastAsia="en-US" w:bidi="ar-SA"/>
          </w:rPr>
          <w:t>[1990] B.C.J. No. 23</w:t>
        </w:r>
      </w:hyperlink>
      <w:r>
        <w:rPr>
          <w:rFonts w:ascii="arial" w:eastAsia="arial" w:hAnsi="arial" w:cs="arial"/>
          <w:color w:val="000000"/>
          <w:sz w:val="20"/>
          <w:lang w:val="en-US" w:eastAsia="en-US" w:bidi="ar-SA"/>
        </w:rPr>
        <w:t xml:space="preserve"> (unreported), October 17, 1989, Nanaimo Registry No. SC8412 (B.C.S.C.) (</w:t>
      </w:r>
      <w:r>
        <w:rPr>
          <w:rFonts w:ascii="arial" w:eastAsia="arial" w:hAnsi="arial" w:cs="arial"/>
          <w:i/>
          <w:color w:val="000000"/>
          <w:sz w:val="20"/>
          <w:lang w:val="en-US" w:eastAsia="en-US" w:bidi="ar-SA"/>
        </w:rPr>
        <w:t>St. Jules</w:t>
      </w:r>
      <w:r>
        <w:rPr>
          <w:rFonts w:ascii="arial" w:eastAsia="arial" w:hAnsi="arial" w:cs="arial"/>
          <w:color w:val="000000"/>
          <w:sz w:val="20"/>
          <w:lang w:val="en-US" w:eastAsia="en-US" w:bidi="ar-SA"/>
        </w:rPr>
        <w:t xml:space="preserve">), it was because the expert's speciality was not that of the allegedly negligent doctor or because he lacked experience in a rural setting. In </w:t>
      </w:r>
      <w:r>
        <w:rPr>
          <w:rFonts w:ascii="arial" w:eastAsia="arial" w:hAnsi="arial" w:cs="arial"/>
          <w:i/>
          <w:color w:val="000000"/>
          <w:sz w:val="20"/>
          <w:lang w:val="en-US" w:eastAsia="en-US" w:bidi="ar-SA"/>
        </w:rPr>
        <w:t>Humchitt v. Royal Inland Hospital</w:t>
      </w:r>
      <w:r>
        <w:rPr>
          <w:rFonts w:ascii="arial" w:eastAsia="arial" w:hAnsi="arial" w:cs="arial"/>
          <w:color w:val="000000"/>
          <w:sz w:val="20"/>
          <w:lang w:val="en-US" w:eastAsia="en-US" w:bidi="ar-SA"/>
        </w:rPr>
        <w:t xml:space="preserve"> </w:t>
      </w:r>
      <w:hyperlink r:id="rId498" w:history="1">
        <w:r>
          <w:rPr>
            <w:rFonts w:ascii="arial" w:eastAsia="arial" w:hAnsi="arial" w:cs="arial"/>
            <w:i/>
            <w:color w:val="0077CC"/>
            <w:sz w:val="20"/>
            <w:u w:val="single"/>
            <w:shd w:val="clear" w:color="auto" w:fill="FFFFFF"/>
            <w:lang w:val="en-US" w:eastAsia="en-US" w:bidi="ar-SA"/>
          </w:rPr>
          <w:t>[1995] B.C.J. No. 756</w:t>
        </w:r>
      </w:hyperlink>
      <w:r>
        <w:rPr>
          <w:rFonts w:ascii="arial" w:eastAsia="arial" w:hAnsi="arial" w:cs="arial"/>
          <w:color w:val="000000"/>
          <w:sz w:val="20"/>
          <w:lang w:val="en-US" w:eastAsia="en-US" w:bidi="ar-SA"/>
        </w:rPr>
        <w:t xml:space="preserve"> (unreported), March 16, 1995, Kamloops Registry No. 19454 (B.C.S.C.) (</w:t>
      </w:r>
      <w:r>
        <w:rPr>
          <w:rFonts w:ascii="arial" w:eastAsia="arial" w:hAnsi="arial" w:cs="arial"/>
          <w:i/>
          <w:color w:val="000000"/>
          <w:sz w:val="20"/>
          <w:lang w:val="en-US" w:eastAsia="en-US" w:bidi="ar-SA"/>
        </w:rPr>
        <w:t>Humchitt</w:t>
      </w:r>
      <w:r>
        <w:rPr>
          <w:rFonts w:ascii="arial" w:eastAsia="arial" w:hAnsi="arial" w:cs="arial"/>
          <w:color w:val="000000"/>
          <w:sz w:val="20"/>
          <w:lang w:val="en-US" w:eastAsia="en-US" w:bidi="ar-SA"/>
        </w:rPr>
        <w:t xml:space="preserve">), it was because the specialist did not have qualifications in Canada, had never had hospital privileges in Canada, and was not familiar with an emergency department in this province. In </w:t>
      </w:r>
      <w:r>
        <w:rPr>
          <w:rFonts w:ascii="arial" w:eastAsia="arial" w:hAnsi="arial" w:cs="arial"/>
          <w:i/>
          <w:color w:val="000000"/>
          <w:sz w:val="20"/>
          <w:lang w:val="en-US" w:eastAsia="en-US" w:bidi="ar-SA"/>
        </w:rPr>
        <w:t>Hughes v. Cooper</w:t>
      </w:r>
      <w:r>
        <w:rPr>
          <w:rFonts w:ascii="arial" w:eastAsia="arial" w:hAnsi="arial" w:cs="arial"/>
          <w:color w:val="000000"/>
          <w:sz w:val="20"/>
          <w:lang w:val="en-US" w:eastAsia="en-US" w:bidi="ar-SA"/>
        </w:rPr>
        <w:t xml:space="preserve"> </w:t>
      </w:r>
      <w:hyperlink r:id="rId499" w:history="1">
        <w:r>
          <w:rPr>
            <w:rFonts w:ascii="arial" w:eastAsia="arial" w:hAnsi="arial" w:cs="arial"/>
            <w:i/>
            <w:color w:val="0077CC"/>
            <w:sz w:val="20"/>
            <w:u w:val="single"/>
            <w:shd w:val="clear" w:color="auto" w:fill="FFFFFF"/>
            <w:lang w:val="en-US" w:eastAsia="en-US" w:bidi="ar-SA"/>
          </w:rPr>
          <w:t>[1997] B.C.J. No. 1303</w:t>
        </w:r>
      </w:hyperlink>
      <w:r>
        <w:rPr>
          <w:rFonts w:ascii="arial" w:eastAsia="arial" w:hAnsi="arial" w:cs="arial"/>
          <w:color w:val="000000"/>
          <w:sz w:val="20"/>
          <w:lang w:val="en-US" w:eastAsia="en-US" w:bidi="ar-SA"/>
        </w:rPr>
        <w:t xml:space="preserve"> (unreported), October 3, 1996, Victoria Registry No. 91/3001 (B.C.S.C.), a gastroenterologist was not qualified to give an opinion on the standard of care of a general practitioner because the specialist's appreciation of the standard of care would be the product of his specialization and so unhelpful to the court. In </w:t>
      </w:r>
      <w:r>
        <w:rPr>
          <w:rFonts w:ascii="arial" w:eastAsia="arial" w:hAnsi="arial" w:cs="arial"/>
          <w:i/>
          <w:color w:val="000000"/>
          <w:sz w:val="20"/>
          <w:lang w:val="en-US" w:eastAsia="en-US" w:bidi="ar-SA"/>
        </w:rPr>
        <w:t>Humchitt</w:t>
      </w:r>
      <w:r>
        <w:rPr>
          <w:rFonts w:ascii="arial" w:eastAsia="arial" w:hAnsi="arial" w:cs="arial"/>
          <w:color w:val="000000"/>
          <w:sz w:val="20"/>
          <w:lang w:val="en-US" w:eastAsia="en-US" w:bidi="ar-SA"/>
        </w:rPr>
        <w:t xml:space="preserve"> at 3, the court said that the expert needed to have "'habitual familiarity' with the subject matter of the inquiry ... through special training or experience". This was the test that the defendant doctor encouraged this court to apply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The notion of "habituated professional experience" as qualification arose in </w:t>
      </w:r>
      <w:r>
        <w:rPr>
          <w:rFonts w:ascii="arial" w:eastAsia="arial" w:hAnsi="arial" w:cs="arial"/>
          <w:i/>
          <w:color w:val="000000"/>
          <w:sz w:val="20"/>
          <w:lang w:val="en-US" w:eastAsia="en-US" w:bidi="ar-SA"/>
        </w:rPr>
        <w:t>Wilson v. Swanson</w:t>
      </w:r>
      <w:r>
        <w:rPr>
          <w:rFonts w:ascii="arial" w:eastAsia="arial" w:hAnsi="arial" w:cs="arial"/>
          <w:color w:val="000000"/>
          <w:sz w:val="20"/>
          <w:lang w:val="en-US" w:eastAsia="en-US" w:bidi="ar-SA"/>
        </w:rPr>
        <w:t xml:space="preserve">, </w:t>
      </w:r>
      <w:hyperlink r:id="rId500" w:history="1">
        <w:r>
          <w:rPr>
            <w:rFonts w:ascii="arial" w:eastAsia="arial" w:hAnsi="arial" w:cs="arial"/>
            <w:i/>
            <w:color w:val="0077CC"/>
            <w:sz w:val="20"/>
            <w:u w:val="single"/>
            <w:shd w:val="clear" w:color="auto" w:fill="FFFFFF"/>
            <w:lang w:val="en-US" w:eastAsia="en-US" w:bidi="ar-SA"/>
          </w:rPr>
          <w:t>[1956] S.C.R. 804</w:t>
        </w:r>
      </w:hyperlink>
      <w:r>
        <w:rPr>
          <w:rFonts w:ascii="arial" w:eastAsia="arial" w:hAnsi="arial" w:cs="arial"/>
          <w:color w:val="000000"/>
          <w:sz w:val="20"/>
          <w:lang w:val="en-US" w:eastAsia="en-US" w:bidi="ar-SA"/>
        </w:rPr>
        <w:t>. In that case, a general practitioner purported to provide an opinion on the care and judgment exercised by a surgeon when the general practitioner had no special standing or competence in any medical question raised in the case. His evidence as to what he would have done was of no benefit when his views were based upon what a local surgeon told him what he would have done and the expert admitted to having no views of his own on the question (at 809). Rand J., writing for himself and Nolan J., concluded (at 809) in these circumstances that the expert's opinion was a "... matter of textbook or verbalized knowledge unsupported by habituated professional experience". The expert was a "virtual stranger to the exercise of such a medical and surgical judgment" and his was a "collection of elementary views" (at 811). This was one of the different stories because the expertise was minimal.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Wilson v. Swanson</w:t>
      </w:r>
      <w:r>
        <w:rPr>
          <w:rFonts w:ascii="arial" w:eastAsia="arial" w:hAnsi="arial" w:cs="arial"/>
          <w:color w:val="000000"/>
          <w:sz w:val="20"/>
          <w:lang w:val="en-US" w:eastAsia="en-US" w:bidi="ar-SA"/>
        </w:rPr>
        <w:t xml:space="preserve"> is often cited for its statement of the standard of care to be exercised by a physician. A doctor must exercise a reasonable degree of learning and skill, similar to those possessed by physicians in similar places and circumstances (</w:t>
      </w:r>
      <w:r>
        <w:rPr>
          <w:rFonts w:ascii="arial" w:eastAsia="arial" w:hAnsi="arial" w:cs="arial"/>
          <w:i/>
          <w:color w:val="000000"/>
          <w:sz w:val="20"/>
          <w:lang w:val="en-US" w:eastAsia="en-US" w:bidi="ar-SA"/>
        </w:rPr>
        <w:t>Wilson v. Swanson</w:t>
      </w:r>
      <w:r>
        <w:rPr>
          <w:rFonts w:ascii="arial" w:eastAsia="arial" w:hAnsi="arial" w:cs="arial"/>
          <w:color w:val="000000"/>
          <w:sz w:val="20"/>
          <w:lang w:val="en-US" w:eastAsia="en-US" w:bidi="ar-SA"/>
        </w:rPr>
        <w:t xml:space="preserve"> at 817,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Abbot J.; </w:t>
      </w:r>
      <w:r>
        <w:rPr>
          <w:rFonts w:ascii="arial" w:eastAsia="arial" w:hAnsi="arial" w:cs="arial"/>
          <w:i/>
          <w:color w:val="000000"/>
          <w:sz w:val="20"/>
          <w:lang w:val="en-US" w:eastAsia="en-US" w:bidi="ar-SA"/>
        </w:rPr>
        <w:t>ter Neuzen v. Korn</w:t>
      </w:r>
      <w:r>
        <w:rPr>
          <w:rFonts w:ascii="arial" w:eastAsia="arial" w:hAnsi="arial" w:cs="arial"/>
          <w:color w:val="000000"/>
          <w:sz w:val="20"/>
          <w:lang w:val="en-US" w:eastAsia="en-US" w:bidi="ar-SA"/>
        </w:rPr>
        <w:t xml:space="preserve">, </w:t>
      </w:r>
      <w:hyperlink r:id="rId501" w:history="1">
        <w:r>
          <w:rPr>
            <w:rFonts w:ascii="arial" w:eastAsia="arial" w:hAnsi="arial" w:cs="arial"/>
            <w:i/>
            <w:color w:val="0077CC"/>
            <w:sz w:val="20"/>
            <w:u w:val="single"/>
            <w:shd w:val="clear" w:color="auto" w:fill="FFFFFF"/>
            <w:lang w:val="en-US" w:eastAsia="en-US" w:bidi="ar-SA"/>
          </w:rPr>
          <w:t>[1995] 3 S.C.R. 674</w:t>
        </w:r>
      </w:hyperlink>
      <w:r>
        <w:rPr>
          <w:rFonts w:ascii="arial" w:eastAsia="arial" w:hAnsi="arial" w:cs="arial"/>
          <w:color w:val="000000"/>
          <w:sz w:val="20"/>
          <w:lang w:val="en-US" w:eastAsia="en-US" w:bidi="ar-SA"/>
        </w:rPr>
        <w:t xml:space="preserve"> at para. 33). This standard has been used to suggest a familiarity of locality criteria applies to the test for admissibility of expert evidence. The influence of the "locality rule" has, however, greatly diminished as described by Ballance J. in </w:t>
      </w:r>
      <w:r>
        <w:rPr>
          <w:rFonts w:ascii="arial" w:eastAsia="arial" w:hAnsi="arial" w:cs="arial"/>
          <w:i/>
          <w:color w:val="000000"/>
          <w:sz w:val="20"/>
          <w:lang w:val="en-US" w:eastAsia="en-US" w:bidi="ar-SA"/>
        </w:rPr>
        <w:t>Chen v. Ross</w:t>
      </w:r>
      <w:r>
        <w:rPr>
          <w:rFonts w:ascii="arial" w:eastAsia="arial" w:hAnsi="arial" w:cs="arial"/>
          <w:color w:val="000000"/>
          <w:sz w:val="20"/>
          <w:lang w:val="en-US" w:eastAsia="en-US" w:bidi="ar-SA"/>
        </w:rPr>
        <w:t xml:space="preserve">, </w:t>
      </w:r>
      <w:hyperlink r:id="rId502" w:history="1">
        <w:r>
          <w:rPr>
            <w:rFonts w:ascii="arial" w:eastAsia="arial" w:hAnsi="arial" w:cs="arial"/>
            <w:i/>
            <w:color w:val="0077CC"/>
            <w:sz w:val="20"/>
            <w:u w:val="single"/>
            <w:shd w:val="clear" w:color="auto" w:fill="FFFFFF"/>
            <w:lang w:val="en-US" w:eastAsia="en-US" w:bidi="ar-SA"/>
          </w:rPr>
          <w:t>2012 BCSC 1605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Chen</w:t>
      </w:r>
      <w:r>
        <w:rPr>
          <w:rFonts w:ascii="arial" w:eastAsia="arial" w:hAnsi="arial" w:cs="arial"/>
          <w:color w:val="000000"/>
          <w:sz w:val="20"/>
          <w:lang w:val="en-US" w:eastAsia="en-US" w:bidi="ar-SA"/>
        </w:rPr>
        <w:t>) at paras. 46-47: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[46] At one time, the admissibility in our Court of the evidence of medical experts who practised in other parts of the province or in another province altogether was routinely determined by reference to what became known as the "locality rule". That rule supported the rejection of the opinion of a physician whose geographic location of practice was in a different community than that of the defendant physician.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[47] Although it has not disappeared entirely, the vigour of the locality rule has substantially diminished over time. Contemporary judicial thinking tends to endorse the approach that the differences in the locality of medical practices as between the defendant doctor and experts who have been trained and/or qualified to practise medicine elsewhere in Canada are considerations that go to the weight of the expert evidence, rather than to its admission: </w:t>
      </w:r>
      <w:r>
        <w:rPr>
          <w:rFonts w:ascii="arial" w:eastAsia="arial" w:hAnsi="arial" w:cs="arial"/>
          <w:i/>
          <w:color w:val="000000"/>
          <w:sz w:val="20"/>
          <w:lang w:val="en-US" w:eastAsia="en-US" w:bidi="ar-SA"/>
        </w:rPr>
        <w:t>Phillips v. Central Cariboo Chilcotin Council</w:t>
      </w:r>
      <w:r>
        <w:rPr>
          <w:rFonts w:ascii="arial" w:eastAsia="arial" w:hAnsi="arial" w:cs="arial"/>
          <w:color w:val="000000"/>
          <w:sz w:val="20"/>
          <w:lang w:val="en-US" w:eastAsia="en-US" w:bidi="ar-SA"/>
        </w:rPr>
        <w:t xml:space="preserve">, </w:t>
      </w:r>
      <w:hyperlink r:id="rId503" w:history="1">
        <w:r>
          <w:rPr>
            <w:rFonts w:ascii="arial" w:eastAsia="arial" w:hAnsi="arial" w:cs="arial"/>
            <w:i/>
            <w:color w:val="0077CC"/>
            <w:sz w:val="20"/>
            <w:u w:val="single"/>
            <w:shd w:val="clear" w:color="auto" w:fill="FFFFFF"/>
            <w:lang w:val="en-US" w:eastAsia="en-US" w:bidi="ar-SA"/>
          </w:rPr>
          <w:t>2002 BCSC 860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Phillips</w:t>
      </w:r>
      <w:r>
        <w:rPr>
          <w:rFonts w:ascii="arial" w:eastAsia="arial" w:hAnsi="arial" w:cs="arial"/>
          <w:color w:val="000000"/>
          <w:sz w:val="20"/>
          <w:lang w:val="en-US" w:eastAsia="en-US" w:bidi="ar-SA"/>
        </w:rPr>
        <w:t xml:space="preserve">] at para. 27; </w:t>
      </w:r>
      <w:r>
        <w:rPr>
          <w:rFonts w:ascii="arial" w:eastAsia="arial" w:hAnsi="arial" w:cs="arial"/>
          <w:i/>
          <w:color w:val="000000"/>
          <w:sz w:val="20"/>
          <w:lang w:val="en-US" w:eastAsia="en-US" w:bidi="ar-SA"/>
        </w:rPr>
        <w:t>Lotocky (Litigation Guardian of) v. Markle</w:t>
      </w:r>
      <w:r>
        <w:rPr>
          <w:rFonts w:ascii="arial" w:eastAsia="arial" w:hAnsi="arial" w:cs="arial"/>
          <w:color w:val="000000"/>
          <w:sz w:val="20"/>
          <w:lang w:val="en-US" w:eastAsia="en-US" w:bidi="ar-SA"/>
        </w:rPr>
        <w:t xml:space="preserve">, </w:t>
      </w:r>
      <w:hyperlink r:id="rId504" w:history="1">
        <w:r>
          <w:rPr>
            <w:rFonts w:ascii="arial" w:eastAsia="arial" w:hAnsi="arial" w:cs="arial"/>
            <w:i/>
            <w:color w:val="0077CC"/>
            <w:sz w:val="20"/>
            <w:u w:val="single"/>
            <w:shd w:val="clear" w:color="auto" w:fill="FFFFFF"/>
            <w:lang w:val="en-US" w:eastAsia="en-US" w:bidi="ar-SA"/>
          </w:rPr>
          <w:t>2006 BCSC 1295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Larson v. Lucky</w:t>
      </w:r>
      <w:r>
        <w:rPr>
          <w:rFonts w:ascii="arial" w:eastAsia="arial" w:hAnsi="arial" w:cs="arial"/>
          <w:color w:val="000000"/>
          <w:sz w:val="20"/>
          <w:lang w:val="en-US" w:eastAsia="en-US" w:bidi="ar-SA"/>
        </w:rPr>
        <w:t xml:space="preserve">, </w:t>
      </w:r>
      <w:hyperlink r:id="rId505" w:history="1">
        <w:r>
          <w:rPr>
            <w:rFonts w:ascii="arial" w:eastAsia="arial" w:hAnsi="arial" w:cs="arial"/>
            <w:i/>
            <w:color w:val="0077CC"/>
            <w:sz w:val="20"/>
            <w:u w:val="single"/>
            <w:shd w:val="clear" w:color="auto" w:fill="FFFFFF"/>
            <w:lang w:val="en-US" w:eastAsia="en-US" w:bidi="ar-SA"/>
          </w:rPr>
          <w:t>2005 BCSC 829</w:t>
        </w:r>
      </w:hyperlink>
      <w:r>
        <w:rPr>
          <w:rFonts w:ascii="arial" w:eastAsia="arial" w:hAnsi="arial" w:cs="arial"/>
          <w:color w:val="000000"/>
          <w:sz w:val="20"/>
          <w:lang w:val="en-US" w:eastAsia="en-US" w:bidi="ar-SA"/>
        </w:rPr>
        <w:t xml:space="preserve">, </w:t>
      </w:r>
      <w:hyperlink r:id="rId505" w:history="1">
        <w:r>
          <w:rPr>
            <w:rFonts w:ascii="arial" w:eastAsia="arial" w:hAnsi="arial" w:cs="arial"/>
            <w:i/>
            <w:color w:val="0077CC"/>
            <w:sz w:val="20"/>
            <w:u w:val="single"/>
            <w:shd w:val="clear" w:color="auto" w:fill="FFFFFF"/>
            <w:lang w:val="en-US" w:eastAsia="en-US" w:bidi="ar-SA"/>
          </w:rPr>
          <w:t>139 A.C.W.S. (3d) 950</w:t>
        </w:r>
      </w:hyperlink>
      <w:r>
        <w:rPr>
          <w:rFonts w:ascii="arial" w:eastAsia="arial" w:hAnsi="arial" w:cs="arial"/>
          <w:color w:val="000000"/>
          <w:sz w:val="20"/>
          <w:lang w:val="en-US" w:eastAsia="en-US" w:bidi="ar-SA"/>
        </w:rPr>
        <w:t xml:space="preserve">; and, generally, </w:t>
      </w:r>
      <w:r>
        <w:rPr>
          <w:rFonts w:ascii="arial" w:eastAsia="arial" w:hAnsi="arial" w:cs="arial"/>
          <w:i/>
          <w:color w:val="000000"/>
          <w:sz w:val="20"/>
          <w:lang w:val="en-US" w:eastAsia="en-US" w:bidi="ar-SA"/>
        </w:rPr>
        <w:t>Lush v. Connell</w:t>
      </w:r>
      <w:r>
        <w:rPr>
          <w:rFonts w:ascii="arial" w:eastAsia="arial" w:hAnsi="arial" w:cs="arial"/>
          <w:color w:val="000000"/>
          <w:sz w:val="20"/>
          <w:lang w:val="en-US" w:eastAsia="en-US" w:bidi="ar-SA"/>
        </w:rPr>
        <w:t xml:space="preserve">, </w:t>
      </w:r>
      <w:hyperlink r:id="rId506" w:history="1">
        <w:r>
          <w:rPr>
            <w:rFonts w:ascii="arial" w:eastAsia="arial" w:hAnsi="arial" w:cs="arial"/>
            <w:i/>
            <w:color w:val="0077CC"/>
            <w:sz w:val="20"/>
            <w:u w:val="single"/>
            <w:shd w:val="clear" w:color="auto" w:fill="FFFFFF"/>
            <w:lang w:val="en-US" w:eastAsia="en-US" w:bidi="ar-SA"/>
          </w:rPr>
          <w:t>2012 BCCA 203</w:t>
        </w:r>
      </w:hyperlink>
      <w:r>
        <w:rPr>
          <w:rFonts w:ascii="arial" w:eastAsia="arial" w:hAnsi="arial" w:cs="arial"/>
          <w:color w:val="000000"/>
          <w:sz w:val="20"/>
          <w:lang w:val="en-US" w:eastAsia="en-US" w:bidi="ar-SA"/>
        </w:rPr>
        <w:t>. The rationale underlying the change is explained by E.I. Picard in her text, "</w:t>
      </w:r>
      <w:r>
        <w:rPr>
          <w:rFonts w:ascii="arial" w:eastAsia="arial" w:hAnsi="arial" w:cs="arial"/>
          <w:i/>
          <w:color w:val="000000"/>
          <w:sz w:val="20"/>
          <w:lang w:val="en-US" w:eastAsia="en-US" w:bidi="ar-SA"/>
        </w:rPr>
        <w:t>Legal Liability of Doctors and Hospitals in Canada</w:t>
      </w:r>
      <w:r>
        <w:rPr>
          <w:rFonts w:ascii="arial" w:eastAsia="arial" w:hAnsi="arial" w:cs="arial"/>
          <w:color w:val="000000"/>
          <w:sz w:val="20"/>
          <w:lang w:val="en-US" w:eastAsia="en-US" w:bidi="ar-SA"/>
        </w:rPr>
        <w:t>" (3d ed.) at p. 206:</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rule was created by the judiciary for the limited purpose of protecting some doctors at a certain time in our history, but times have changed. Now, with national standards of competence set by professional examinations and the development of continuing medical education, there seems less need to lower the standard on the basis of locality alone.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generally not essential that the expert be familiar with the available resources at the defendant doctor's disposal or the accepted practices in the defendant doctor's professional community in order for the opinion to gain admission. However, those factors may very well negatively affect the weight ultimately accorded to it: (See generally: </w:t>
      </w:r>
      <w:r>
        <w:rPr>
          <w:rFonts w:ascii="arial" w:eastAsia="arial" w:hAnsi="arial" w:cs="arial"/>
          <w:i/>
          <w:color w:val="000000"/>
          <w:sz w:val="20"/>
          <w:lang w:val="en-US" w:eastAsia="en-US" w:bidi="ar-SA"/>
        </w:rPr>
        <w:t>Phillips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Robinson v. Sisters of St. Joseph of the Diocese of Peterborough in Ontario</w:t>
      </w:r>
      <w:r>
        <w:rPr>
          <w:rFonts w:ascii="arial" w:eastAsia="arial" w:hAnsi="arial" w:cs="arial"/>
          <w:color w:val="000000"/>
          <w:sz w:val="20"/>
          <w:lang w:val="en-US" w:eastAsia="en-US" w:bidi="ar-SA"/>
        </w:rPr>
        <w:t xml:space="preserve"> </w:t>
      </w:r>
      <w:hyperlink r:id="rId507" w:history="1">
        <w:r>
          <w:rPr>
            <w:rFonts w:ascii="arial" w:eastAsia="arial" w:hAnsi="arial" w:cs="arial"/>
            <w:i/>
            <w:color w:val="0077CC"/>
            <w:sz w:val="20"/>
            <w:u w:val="single"/>
            <w:shd w:val="clear" w:color="auto" w:fill="FFFFFF"/>
            <w:lang w:val="en-US" w:eastAsia="en-US" w:bidi="ar-SA"/>
          </w:rPr>
          <w:t>(1999), 29 C.P.C. (4th) 184</w:t>
        </w:r>
      </w:hyperlink>
      <w:r>
        <w:rPr>
          <w:rFonts w:ascii="arial" w:eastAsia="arial" w:hAnsi="arial" w:cs="arial"/>
          <w:color w:val="000000"/>
          <w:sz w:val="20"/>
          <w:lang w:val="en-US" w:eastAsia="en-US" w:bidi="ar-SA"/>
        </w:rPr>
        <w:t xml:space="preserve"> (Ont. C.A.) [</w:t>
      </w:r>
      <w:r>
        <w:rPr>
          <w:rFonts w:ascii="arial" w:eastAsia="arial" w:hAnsi="arial" w:cs="arial"/>
          <w:i/>
          <w:color w:val="000000"/>
          <w:sz w:val="20"/>
          <w:lang w:val="en-US" w:eastAsia="en-US" w:bidi="ar-SA"/>
        </w:rPr>
        <w:t>Robinson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Briffett v. Gander &amp; District Hospital Board</w:t>
      </w:r>
      <w:r>
        <w:rPr>
          <w:rFonts w:ascii="arial" w:eastAsia="arial" w:hAnsi="arial" w:cs="arial"/>
          <w:color w:val="000000"/>
          <w:sz w:val="20"/>
          <w:lang w:val="en-US" w:eastAsia="en-US" w:bidi="ar-SA"/>
        </w:rPr>
        <w:t xml:space="preserve"> </w:t>
      </w:r>
      <w:hyperlink r:id="rId508" w:history="1">
        <w:r>
          <w:rPr>
            <w:rFonts w:ascii="arial" w:eastAsia="arial" w:hAnsi="arial" w:cs="arial"/>
            <w:i/>
            <w:color w:val="0077CC"/>
            <w:sz w:val="20"/>
            <w:u w:val="single"/>
            <w:shd w:val="clear" w:color="auto" w:fill="FFFFFF"/>
            <w:lang w:val="en-US" w:eastAsia="en-US" w:bidi="ar-SA"/>
          </w:rPr>
          <w:t>(1996), 29 C.C.L.T. (2d) 251</w:t>
        </w:r>
      </w:hyperlink>
      <w:r>
        <w:rPr>
          <w:rFonts w:ascii="arial" w:eastAsia="arial" w:hAnsi="arial" w:cs="arial"/>
          <w:color w:val="000000"/>
          <w:sz w:val="20"/>
          <w:lang w:val="en-US" w:eastAsia="en-US" w:bidi="ar-SA"/>
        </w:rPr>
        <w:t xml:space="preserve"> (Nfld. C.A.) [</w:t>
      </w:r>
      <w:r>
        <w:rPr>
          <w:rFonts w:ascii="arial" w:eastAsia="arial" w:hAnsi="arial" w:cs="arial"/>
          <w:i/>
          <w:color w:val="000000"/>
          <w:sz w:val="20"/>
          <w:lang w:val="en-US" w:eastAsia="en-US" w:bidi="ar-SA"/>
        </w:rPr>
        <w:t>Briffett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Hayes v. Royal Columbian Hospital</w:t>
      </w:r>
      <w:r>
        <w:rPr>
          <w:rFonts w:ascii="arial" w:eastAsia="arial" w:hAnsi="arial" w:cs="arial"/>
          <w:color w:val="000000"/>
          <w:sz w:val="20"/>
          <w:lang w:val="en-US" w:eastAsia="en-US" w:bidi="ar-SA"/>
        </w:rPr>
        <w:t xml:space="preserve">, </w:t>
      </w:r>
      <w:hyperlink r:id="rId509" w:history="1">
        <w:r>
          <w:rPr>
            <w:rFonts w:ascii="arial" w:eastAsia="arial" w:hAnsi="arial" w:cs="arial"/>
            <w:i/>
            <w:color w:val="0077CC"/>
            <w:sz w:val="20"/>
            <w:u w:val="single"/>
            <w:shd w:val="clear" w:color="auto" w:fill="FFFFFF"/>
            <w:lang w:val="en-US" w:eastAsia="en-US" w:bidi="ar-SA"/>
          </w:rPr>
          <w:t>2001 BCSC 1046</w:t>
        </w:r>
      </w:hyperlink>
      <w:r>
        <w:rPr>
          <w:rFonts w:ascii="arial" w:eastAsia="arial" w:hAnsi="arial" w:cs="arial"/>
          <w:color w:val="000000"/>
          <w:sz w:val="20"/>
          <w:lang w:val="en-US" w:eastAsia="en-US" w:bidi="ar-SA"/>
        </w:rPr>
        <w:t xml:space="preserve">, Hood J. relied upon </w:t>
      </w:r>
      <w:r>
        <w:rPr>
          <w:rFonts w:ascii="arial" w:eastAsia="arial" w:hAnsi="arial" w:cs="arial"/>
          <w:i/>
          <w:color w:val="000000"/>
          <w:sz w:val="20"/>
          <w:lang w:val="en-US" w:eastAsia="en-US" w:bidi="ar-SA"/>
        </w:rPr>
        <w:t>Wilson v. Swanson</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Hughes v. Cooper</w:t>
      </w:r>
      <w:r>
        <w:rPr>
          <w:rFonts w:ascii="arial" w:eastAsia="arial" w:hAnsi="arial" w:cs="arial"/>
          <w:color w:val="000000"/>
          <w:sz w:val="20"/>
          <w:lang w:val="en-US" w:eastAsia="en-US" w:bidi="ar-SA"/>
        </w:rPr>
        <w:t xml:space="preserve"> to conclude that a cardiovascular specialist could not give expert evidence related to obtaining informed consent and the use of a particular medication in the emergency ward when he had no real experience or special knowledge about these matters within the emergency ward, not ever having administered or studied the drug in question and not having worked in an emergency ward since being an intern. The court, while not equating the expert's skill and knowledge to the expert in </w:t>
      </w:r>
      <w:r>
        <w:rPr>
          <w:rFonts w:ascii="arial" w:eastAsia="arial" w:hAnsi="arial" w:cs="arial"/>
          <w:i/>
          <w:color w:val="000000"/>
          <w:sz w:val="20"/>
          <w:lang w:val="en-US" w:eastAsia="en-US" w:bidi="ar-SA"/>
        </w:rPr>
        <w:t>Wilson v. Swanson</w:t>
      </w:r>
      <w:r>
        <w:rPr>
          <w:rFonts w:ascii="arial" w:eastAsia="arial" w:hAnsi="arial" w:cs="arial"/>
          <w:color w:val="000000"/>
          <w:sz w:val="20"/>
          <w:lang w:val="en-US" w:eastAsia="en-US" w:bidi="ar-SA"/>
        </w:rPr>
        <w:t>, concluded that if a physician seeks to give expert opinion in a field other than his own, or on a subject matter that is not ordinarily part of his practice, he must have experience and skill amounting to special knowledge (at paras. 35-39).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Leaker v. Porter</w:t>
      </w:r>
      <w:r>
        <w:rPr>
          <w:rFonts w:ascii="arial" w:eastAsia="arial" w:hAnsi="arial" w:cs="arial"/>
          <w:color w:val="000000"/>
          <w:sz w:val="20"/>
          <w:lang w:val="en-US" w:eastAsia="en-US" w:bidi="ar-SA"/>
        </w:rPr>
        <w:t xml:space="preserve">, </w:t>
      </w:r>
      <w:hyperlink r:id="rId510" w:history="1">
        <w:r>
          <w:rPr>
            <w:rFonts w:ascii="arial" w:eastAsia="arial" w:hAnsi="arial" w:cs="arial"/>
            <w:i/>
            <w:color w:val="0077CC"/>
            <w:sz w:val="20"/>
            <w:u w:val="single"/>
            <w:shd w:val="clear" w:color="auto" w:fill="FFFFFF"/>
            <w:lang w:val="en-US" w:eastAsia="en-US" w:bidi="ar-SA"/>
          </w:rPr>
          <w:t>2001 BCSC 1074</w:t>
        </w:r>
      </w:hyperlink>
      <w:r>
        <w:rPr>
          <w:rFonts w:ascii="arial" w:eastAsia="arial" w:hAnsi="arial" w:cs="arial"/>
          <w:color w:val="000000"/>
          <w:sz w:val="20"/>
          <w:lang w:val="en-US" w:eastAsia="en-US" w:bidi="ar-SA"/>
        </w:rPr>
        <w:t xml:space="preserve">, concerned the expert opinion of a Seattle specialist in emergency room medicine about the standard of care to be expected of a general surgeon on call in the emergency room of a Victoria hospital. Although it was acknowledged that the expert had deficiencies in his knowledge about practices and resources in Victoria and after having reference to </w:t>
      </w:r>
      <w:r>
        <w:rPr>
          <w:rFonts w:ascii="arial" w:eastAsia="arial" w:hAnsi="arial" w:cs="arial"/>
          <w:i/>
          <w:color w:val="000000"/>
          <w:sz w:val="20"/>
          <w:lang w:val="en-US" w:eastAsia="en-US" w:bidi="ar-SA"/>
        </w:rPr>
        <w:t>Humchitt</w:t>
      </w:r>
      <w:r>
        <w:rPr>
          <w:rFonts w:ascii="arial" w:eastAsia="arial" w:hAnsi="arial" w:cs="arial"/>
          <w:color w:val="000000"/>
          <w:sz w:val="20"/>
          <w:lang w:val="en-US" w:eastAsia="en-US" w:bidi="ar-SA"/>
        </w:rPr>
        <w:t>, the court qualified the expert with the deficiencies in knowledge going to the weight of his evidence, given the importance of temporal and geographic relevance to opinion evidence (at para. 54).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Brito v. Woolley</w:t>
      </w:r>
      <w:r>
        <w:rPr>
          <w:rFonts w:ascii="arial" w:eastAsia="arial" w:hAnsi="arial" w:cs="arial"/>
          <w:color w:val="000000"/>
          <w:sz w:val="20"/>
          <w:lang w:val="en-US" w:eastAsia="en-US" w:bidi="ar-SA"/>
        </w:rPr>
        <w:t xml:space="preserve">, </w:t>
      </w:r>
      <w:hyperlink r:id="rId511" w:history="1">
        <w:r>
          <w:rPr>
            <w:rFonts w:ascii="arial" w:eastAsia="arial" w:hAnsi="arial" w:cs="arial"/>
            <w:i/>
            <w:color w:val="0077CC"/>
            <w:sz w:val="20"/>
            <w:u w:val="single"/>
            <w:shd w:val="clear" w:color="auto" w:fill="FFFFFF"/>
            <w:lang w:val="en-US" w:eastAsia="en-US" w:bidi="ar-SA"/>
          </w:rPr>
          <w:t>2001 BCSC 1184</w:t>
        </w:r>
      </w:hyperlink>
      <w:r>
        <w:rPr>
          <w:rFonts w:ascii="arial" w:eastAsia="arial" w:hAnsi="arial" w:cs="arial"/>
          <w:color w:val="000000"/>
          <w:sz w:val="20"/>
          <w:lang w:val="en-US" w:eastAsia="en-US" w:bidi="ar-SA"/>
        </w:rPr>
        <w:t>, a family practitioner whose practice included obstetrics was qualified to give an opinion regarding nursing care in recognition that there is an interdependent relationship between doctors and nurses in the delivery of babies and because the doctor had been on the quality assurance committee that reviewed all aspects of care, including nursing.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Heidebrecht v. Fraser-Burrard Hospital Society</w:t>
      </w:r>
      <w:r>
        <w:rPr>
          <w:rFonts w:ascii="arial" w:eastAsia="arial" w:hAnsi="arial" w:cs="arial"/>
          <w:color w:val="000000"/>
          <w:sz w:val="20"/>
          <w:lang w:val="en-US" w:eastAsia="en-US" w:bidi="ar-SA"/>
        </w:rPr>
        <w:t xml:space="preserve">, 1996 CarswellBC 2112, </w:t>
      </w:r>
      <w:hyperlink r:id="rId512" w:history="1">
        <w:r>
          <w:rPr>
            <w:rFonts w:ascii="arial" w:eastAsia="arial" w:hAnsi="arial" w:cs="arial"/>
            <w:i/>
            <w:color w:val="0077CC"/>
            <w:sz w:val="20"/>
            <w:u w:val="single"/>
            <w:shd w:val="clear" w:color="auto" w:fill="FFFFFF"/>
            <w:lang w:val="en-US" w:eastAsia="en-US" w:bidi="ar-SA"/>
          </w:rPr>
          <w:t>[1996] B.C.J. No. 3042</w:t>
        </w:r>
      </w:hyperlink>
      <w:r>
        <w:rPr>
          <w:rFonts w:ascii="arial" w:eastAsia="arial" w:hAnsi="arial" w:cs="arial"/>
          <w:color w:val="000000"/>
          <w:sz w:val="20"/>
          <w:lang w:val="en-US" w:eastAsia="en-US" w:bidi="ar-SA"/>
        </w:rPr>
        <w:t xml:space="preserve"> (S.C.), there had been no expert evidence as to the standard of care expected of a nurse but the court was asked to infer the standard from the expectations that doctors hold of nurses. In this circumstance, a statement by a doctor, standing alone without expert qualification, of what he expected a nurse to do did not set a standard of care (at paras. 117-121).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McLellan v. Dickinson</w:t>
      </w:r>
      <w:r>
        <w:rPr>
          <w:rFonts w:ascii="arial" w:eastAsia="arial" w:hAnsi="arial" w:cs="arial"/>
          <w:color w:val="000000"/>
          <w:sz w:val="20"/>
          <w:lang w:val="en-US" w:eastAsia="en-US" w:bidi="ar-SA"/>
        </w:rPr>
        <w:t xml:space="preserve">, </w:t>
      </w:r>
      <w:hyperlink r:id="rId513" w:history="1">
        <w:r>
          <w:rPr>
            <w:rFonts w:ascii="arial" w:eastAsia="arial" w:hAnsi="arial" w:cs="arial"/>
            <w:i/>
            <w:color w:val="0077CC"/>
            <w:sz w:val="20"/>
            <w:u w:val="single"/>
            <w:shd w:val="clear" w:color="auto" w:fill="FFFFFF"/>
            <w:lang w:val="en-US" w:eastAsia="en-US" w:bidi="ar-SA"/>
          </w:rPr>
          <w:t>2002 BCSC 1660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McLellan</w:t>
      </w:r>
      <w:r>
        <w:rPr>
          <w:rFonts w:ascii="arial" w:eastAsia="arial" w:hAnsi="arial" w:cs="arial"/>
          <w:color w:val="000000"/>
          <w:sz w:val="20"/>
          <w:lang w:val="en-US" w:eastAsia="en-US" w:bidi="ar-SA"/>
        </w:rPr>
        <w:t xml:space="preserve">), the court allowed an obstetrician/gynecologist to provide an opinion as to the standard of care of a general practitioner even though the specialist had never practiced in a rural setting. Goepel J. (as he then was) considered but declined to follow both </w:t>
      </w:r>
      <w:r>
        <w:rPr>
          <w:rFonts w:ascii="arial" w:eastAsia="arial" w:hAnsi="arial" w:cs="arial"/>
          <w:i/>
          <w:color w:val="000000"/>
          <w:sz w:val="20"/>
          <w:lang w:val="en-US" w:eastAsia="en-US" w:bidi="ar-SA"/>
        </w:rPr>
        <w:t>St. Jules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Hughes v. Cooper</w:t>
      </w:r>
      <w:r>
        <w:rPr>
          <w:rFonts w:ascii="arial" w:eastAsia="arial" w:hAnsi="arial" w:cs="arial"/>
          <w:color w:val="000000"/>
          <w:sz w:val="20"/>
          <w:lang w:val="en-US" w:eastAsia="en-US" w:bidi="ar-SA"/>
        </w:rPr>
        <w:t xml:space="preserve">. The justice noted at para. 5 that </w:t>
      </w:r>
      <w:r>
        <w:rPr>
          <w:rFonts w:ascii="arial" w:eastAsia="arial" w:hAnsi="arial" w:cs="arial"/>
          <w:i/>
          <w:color w:val="000000"/>
          <w:sz w:val="20"/>
          <w:lang w:val="en-US" w:eastAsia="en-US" w:bidi="ar-SA"/>
        </w:rPr>
        <w:t>St. Jules</w:t>
      </w:r>
      <w:r>
        <w:rPr>
          <w:rFonts w:ascii="arial" w:eastAsia="arial" w:hAnsi="arial" w:cs="arial"/>
          <w:color w:val="000000"/>
          <w:sz w:val="20"/>
          <w:lang w:val="en-US" w:eastAsia="en-US" w:bidi="ar-SA"/>
        </w:rPr>
        <w:t xml:space="preserve"> was an oral decision given in the course of trial without consideration of case authority. </w:t>
      </w:r>
      <w:r>
        <w:rPr>
          <w:rFonts w:ascii="arial" w:eastAsia="arial" w:hAnsi="arial" w:cs="arial"/>
          <w:i/>
          <w:color w:val="000000"/>
          <w:sz w:val="20"/>
          <w:lang w:val="en-US" w:eastAsia="en-US" w:bidi="ar-SA"/>
        </w:rPr>
        <w:t>Hughes v. Cooper</w:t>
      </w:r>
      <w:r>
        <w:rPr>
          <w:rFonts w:ascii="arial" w:eastAsia="arial" w:hAnsi="arial" w:cs="arial"/>
          <w:color w:val="000000"/>
          <w:sz w:val="20"/>
          <w:lang w:val="en-US" w:eastAsia="en-US" w:bidi="ar-SA"/>
        </w:rPr>
        <w:t xml:space="preserve"> was also a decision made in the course of trial and considered only </w:t>
      </w:r>
      <w:r>
        <w:rPr>
          <w:rFonts w:ascii="arial" w:eastAsia="arial" w:hAnsi="arial" w:cs="arial"/>
          <w:i/>
          <w:color w:val="000000"/>
          <w:sz w:val="20"/>
          <w:lang w:val="en-US" w:eastAsia="en-US" w:bidi="ar-SA"/>
        </w:rPr>
        <w:t>St. Jules</w:t>
      </w:r>
      <w:r>
        <w:rPr>
          <w:rFonts w:ascii="arial" w:eastAsia="arial" w:hAnsi="arial" w:cs="arial"/>
          <w:color w:val="000000"/>
          <w:sz w:val="20"/>
          <w:lang w:val="en-US" w:eastAsia="en-US" w:bidi="ar-SA"/>
        </w:rPr>
        <w:t xml:space="preserve"> (at para. 6). Goepel J. concluded that he should follow the considered decision of Allan J. in </w:t>
      </w:r>
      <w:r>
        <w:rPr>
          <w:rFonts w:ascii="arial" w:eastAsia="arial" w:hAnsi="arial" w:cs="arial"/>
          <w:i/>
          <w:color w:val="000000"/>
          <w:sz w:val="20"/>
          <w:lang w:val="en-US" w:eastAsia="en-US" w:bidi="ar-SA"/>
        </w:rPr>
        <w:t>Phillips v. Central Cariboo Chilcotin Council</w:t>
      </w:r>
      <w:r>
        <w:rPr>
          <w:rFonts w:ascii="arial" w:eastAsia="arial" w:hAnsi="arial" w:cs="arial"/>
          <w:color w:val="000000"/>
          <w:sz w:val="20"/>
          <w:lang w:val="en-US" w:eastAsia="en-US" w:bidi="ar-SA"/>
        </w:rPr>
        <w:t xml:space="preserve">, </w:t>
      </w:r>
      <w:hyperlink r:id="rId503" w:history="1">
        <w:r>
          <w:rPr>
            <w:rFonts w:ascii="arial" w:eastAsia="arial" w:hAnsi="arial" w:cs="arial"/>
            <w:i/>
            <w:color w:val="0077CC"/>
            <w:sz w:val="20"/>
            <w:u w:val="single"/>
            <w:shd w:val="clear" w:color="auto" w:fill="FFFFFF"/>
            <w:lang w:val="en-US" w:eastAsia="en-US" w:bidi="ar-SA"/>
          </w:rPr>
          <w:t>2002 BCSC 860</w:t>
        </w:r>
      </w:hyperlink>
      <w:r>
        <w:rPr>
          <w:rFonts w:ascii="arial" w:eastAsia="arial" w:hAnsi="arial" w:cs="arial"/>
          <w:color w:val="000000"/>
          <w:sz w:val="20"/>
          <w:lang w:val="en-US" w:eastAsia="en-US" w:bidi="ar-SA"/>
        </w:rPr>
        <w:t xml:space="preserve">, and the Ontario Court of Appeal decision in </w:t>
      </w:r>
      <w:r>
        <w:rPr>
          <w:rFonts w:ascii="arial" w:eastAsia="arial" w:hAnsi="arial" w:cs="arial"/>
          <w:i/>
          <w:color w:val="000000"/>
          <w:sz w:val="20"/>
          <w:lang w:val="en-US" w:eastAsia="en-US" w:bidi="ar-SA"/>
        </w:rPr>
        <w:t>Robinson v. St. Joseph's General Hospital et al.</w:t>
      </w:r>
      <w:r>
        <w:rPr>
          <w:rFonts w:ascii="arial" w:eastAsia="arial" w:hAnsi="arial" w:cs="arial"/>
          <w:color w:val="000000"/>
          <w:sz w:val="20"/>
          <w:lang w:val="en-US" w:eastAsia="en-US" w:bidi="ar-SA"/>
        </w:rPr>
        <w:t xml:space="preserve"> </w:t>
      </w:r>
      <w:hyperlink r:id="rId507" w:history="1">
        <w:r>
          <w:rPr>
            <w:rFonts w:ascii="arial" w:eastAsia="arial" w:hAnsi="arial" w:cs="arial"/>
            <w:i/>
            <w:color w:val="0077CC"/>
            <w:sz w:val="20"/>
            <w:u w:val="single"/>
            <w:shd w:val="clear" w:color="auto" w:fill="FFFFFF"/>
            <w:lang w:val="en-US" w:eastAsia="en-US" w:bidi="ar-SA"/>
          </w:rPr>
          <w:t>(1999), 117 O.A.C. 331</w:t>
        </w:r>
      </w:hyperlink>
      <w:r>
        <w:rPr>
          <w:rFonts w:ascii="arial" w:eastAsia="arial" w:hAnsi="arial" w:cs="arial"/>
          <w:color w:val="000000"/>
          <w:sz w:val="20"/>
          <w:lang w:val="en-US" w:eastAsia="en-US" w:bidi="ar-SA"/>
        </w:rPr>
        <w:t xml:space="preserve">, </w:t>
      </w:r>
      <w:hyperlink r:id="rId507" w:history="1">
        <w:r>
          <w:rPr>
            <w:rFonts w:ascii="arial" w:eastAsia="arial" w:hAnsi="arial" w:cs="arial"/>
            <w:i/>
            <w:color w:val="0077CC"/>
            <w:sz w:val="20"/>
            <w:u w:val="single"/>
            <w:shd w:val="clear" w:color="auto" w:fill="FFFFFF"/>
            <w:lang w:val="en-US" w:eastAsia="en-US" w:bidi="ar-SA"/>
          </w:rPr>
          <w:t>29 C.P.C. (4th) 184</w:t>
        </w:r>
      </w:hyperlink>
      <w:r>
        <w:rPr>
          <w:rFonts w:ascii="arial" w:eastAsia="arial" w:hAnsi="arial" w:cs="arial"/>
          <w:color w:val="000000"/>
          <w:sz w:val="20"/>
          <w:lang w:val="en-US" w:eastAsia="en-US" w:bidi="ar-SA"/>
        </w:rPr>
        <w:t>. The learned justice said at paras. 7-8: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 </w:t>
      </w:r>
      <w:r>
        <w:rPr>
          <w:rFonts w:ascii="arial" w:eastAsia="arial" w:hAnsi="arial" w:cs="arial"/>
          <w:i/>
          <w:color w:val="000000"/>
          <w:sz w:val="20"/>
          <w:lang w:val="en-US" w:eastAsia="en-US" w:bidi="ar-SA"/>
        </w:rPr>
        <w:t>Phillips</w:t>
      </w:r>
      <w:r>
        <w:rPr>
          <w:rFonts w:ascii="arial" w:eastAsia="arial" w:hAnsi="arial" w:cs="arial"/>
          <w:color w:val="000000"/>
          <w:sz w:val="20"/>
          <w:lang w:val="en-US" w:eastAsia="en-US" w:bidi="ar-SA"/>
        </w:rPr>
        <w:t xml:space="preserve"> was a considered decision made after trial. In the course of reviewing the question of admissibility of expert testimony, Madam Justice Allan referred to decisions of the Courts of Appeal in Newfoundland, Saskatchewan and Ontario. At paragraph 27 of her reasons she said: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my opinion, Dr. Glazer's evidence is clearly admissible. While locality and specialization may be relevant to the applicable standard of care in a particular case, they are not relevant considerations when determining the admissibility of expert opinion on standard of care: L.N. Klar et al. Remedies in Tort, looseleaf, vol. 2 (Toronto: Carswell; 2002) at ch. 16.III, para. 194.1. Furthermore, "the plaintiff is not limited to leading evidence from experts who are familiar with the standards in communities similar to the one in which the defendant practises." E.I. Picard &amp; G.B. Robertson, Legal Liability of Doctors and Hospitals in Canada, 3d ed. (Toronto: Carswell, 1996) at 205.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 In </w:t>
      </w:r>
      <w:r>
        <w:rPr>
          <w:rFonts w:ascii="arial" w:eastAsia="arial" w:hAnsi="arial" w:cs="arial"/>
          <w:i/>
          <w:color w:val="000000"/>
          <w:sz w:val="20"/>
          <w:lang w:val="en-US" w:eastAsia="en-US" w:bidi="ar-SA"/>
        </w:rPr>
        <w:t>Robinson</w:t>
      </w:r>
      <w:r>
        <w:rPr>
          <w:rFonts w:ascii="arial" w:eastAsia="arial" w:hAnsi="arial" w:cs="arial"/>
          <w:color w:val="000000"/>
          <w:sz w:val="20"/>
          <w:lang w:val="en-US" w:eastAsia="en-US" w:bidi="ar-SA"/>
        </w:rPr>
        <w:t>, the Ontario Court of Appeal held at paragraph 3:</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differences between the expertise and the work experience of [the expert witness] and the [defendant doctor] were relevant considerations when determining the weight to be given to [the expert's]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Unfortunately, Mr. Justice McKinnon did not have the benefit of </w:t>
      </w:r>
      <w:r>
        <w:rPr>
          <w:rFonts w:ascii="arial" w:eastAsia="arial" w:hAnsi="arial" w:cs="arial"/>
          <w:i/>
          <w:color w:val="000000"/>
          <w:sz w:val="20"/>
          <w:lang w:val="en-US" w:eastAsia="en-US" w:bidi="ar-SA"/>
        </w:rPr>
        <w:t>McLellan</w:t>
      </w:r>
      <w:r>
        <w:rPr>
          <w:rFonts w:ascii="arial" w:eastAsia="arial" w:hAnsi="arial" w:cs="arial"/>
          <w:color w:val="000000"/>
          <w:sz w:val="20"/>
          <w:lang w:val="en-US" w:eastAsia="en-US" w:bidi="ar-SA"/>
        </w:rPr>
        <w:t xml:space="preserve"> when he dealt with expert evidence from two United States doctors on a summary judgment application in </w:t>
      </w:r>
      <w:r>
        <w:rPr>
          <w:rFonts w:ascii="arial" w:eastAsia="arial" w:hAnsi="arial" w:cs="arial"/>
          <w:i/>
          <w:color w:val="000000"/>
          <w:sz w:val="20"/>
          <w:lang w:val="en-US" w:eastAsia="en-US" w:bidi="ar-SA"/>
        </w:rPr>
        <w:t>Kivisalu v. Brown et al</w:t>
      </w:r>
      <w:r>
        <w:rPr>
          <w:rFonts w:ascii="arial" w:eastAsia="arial" w:hAnsi="arial" w:cs="arial"/>
          <w:color w:val="000000"/>
          <w:sz w:val="20"/>
          <w:lang w:val="en-US" w:eastAsia="en-US" w:bidi="ar-SA"/>
        </w:rPr>
        <w:t xml:space="preserve">, </w:t>
      </w:r>
      <w:hyperlink r:id="rId514" w:history="1">
        <w:r>
          <w:rPr>
            <w:rFonts w:ascii="arial" w:eastAsia="arial" w:hAnsi="arial" w:cs="arial"/>
            <w:i/>
            <w:color w:val="0077CC"/>
            <w:sz w:val="20"/>
            <w:u w:val="single"/>
            <w:shd w:val="clear" w:color="auto" w:fill="FFFFFF"/>
            <w:lang w:val="en-US" w:eastAsia="en-US" w:bidi="ar-SA"/>
          </w:rPr>
          <w:t>2002 BCSC 1901</w:t>
        </w:r>
      </w:hyperlink>
      <w:r>
        <w:rPr>
          <w:rFonts w:ascii="arial" w:eastAsia="arial" w:hAnsi="arial" w:cs="arial"/>
          <w:color w:val="000000"/>
          <w:sz w:val="20"/>
          <w:lang w:val="en-US" w:eastAsia="en-US" w:bidi="ar-SA"/>
        </w:rPr>
        <w:t xml:space="preserve">. The learned justice applied geographic considerations to the standard of care. When McKinnon J. said at para. 26 that "[e]vidence respecting standard of care ... must come from physicians in corresponding fields...", he was referring to the standard of care as set out in </w:t>
      </w:r>
      <w:r>
        <w:rPr>
          <w:rFonts w:ascii="arial" w:eastAsia="arial" w:hAnsi="arial" w:cs="arial"/>
          <w:i/>
          <w:color w:val="000000"/>
          <w:sz w:val="20"/>
          <w:lang w:val="en-US" w:eastAsia="en-US" w:bidi="ar-SA"/>
        </w:rPr>
        <w:t>Wilson v. Swanson</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ter Neuzen v. Korn,</w:t>
      </w:r>
      <w:r>
        <w:rPr>
          <w:rFonts w:ascii="arial" w:eastAsia="arial" w:hAnsi="arial" w:cs="arial"/>
          <w:color w:val="000000"/>
          <w:sz w:val="20"/>
          <w:lang w:val="en-US" w:eastAsia="en-US" w:bidi="ar-SA"/>
        </w:rPr>
        <w:t xml:space="preserve"> referenced in his previous paras. 24-25. Reliance was then placed upon </w:t>
      </w:r>
      <w:r>
        <w:rPr>
          <w:rFonts w:ascii="arial" w:eastAsia="arial" w:hAnsi="arial" w:cs="arial"/>
          <w:i/>
          <w:color w:val="000000"/>
          <w:sz w:val="20"/>
          <w:lang w:val="en-US" w:eastAsia="en-US" w:bidi="ar-SA"/>
        </w:rPr>
        <w:t>St. Jules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Humchitt</w:t>
      </w:r>
      <w:r>
        <w:rPr>
          <w:rFonts w:ascii="arial" w:eastAsia="arial" w:hAnsi="arial" w:cs="arial"/>
          <w:color w:val="000000"/>
          <w:sz w:val="20"/>
          <w:lang w:val="en-US" w:eastAsia="en-US" w:bidi="ar-SA"/>
        </w:rPr>
        <w:t xml:space="preserve"> to support the introduction of geographic factors into the assessment of the applicable standard of care. The learned justice did not refer to </w:t>
      </w:r>
      <w:r>
        <w:rPr>
          <w:rFonts w:ascii="arial" w:eastAsia="arial" w:hAnsi="arial" w:cs="arial"/>
          <w:i/>
          <w:color w:val="000000"/>
          <w:sz w:val="20"/>
          <w:lang w:val="en-US" w:eastAsia="en-US" w:bidi="ar-SA"/>
        </w:rPr>
        <w:t>St. Jules</w:t>
      </w:r>
      <w:r>
        <w:rPr>
          <w:rFonts w:ascii="arial" w:eastAsia="arial" w:hAnsi="arial" w:cs="arial"/>
          <w:color w:val="000000"/>
          <w:sz w:val="20"/>
          <w:lang w:val="en-US" w:eastAsia="en-US" w:bidi="ar-SA"/>
        </w:rPr>
        <w:t xml:space="preserve"> or </w:t>
      </w:r>
      <w:r>
        <w:rPr>
          <w:rFonts w:ascii="arial" w:eastAsia="arial" w:hAnsi="arial" w:cs="arial"/>
          <w:i/>
          <w:color w:val="000000"/>
          <w:sz w:val="20"/>
          <w:lang w:val="en-US" w:eastAsia="en-US" w:bidi="ar-SA"/>
        </w:rPr>
        <w:t>Humchitt</w:t>
      </w:r>
      <w:r>
        <w:rPr>
          <w:rFonts w:ascii="arial" w:eastAsia="arial" w:hAnsi="arial" w:cs="arial"/>
          <w:color w:val="000000"/>
          <w:sz w:val="20"/>
          <w:lang w:val="en-US" w:eastAsia="en-US" w:bidi="ar-SA"/>
        </w:rPr>
        <w:t xml:space="preserve"> in the context of the separate issue of the test for admissibility of expert opinion. McKinnon J. was equivocal as to the admissibility of the expert opinions. He concluded at para. 30 that "... even if admitted, the report ... has little or no weight" and at para. 37 that the opinion "... if admissible, would have little weight ... [and]... even if accepted, does not establish any causal link". This case is of little assistance.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The overlapping or related fields of paediatrics and neonatology were considered in </w:t>
      </w:r>
      <w:r>
        <w:rPr>
          <w:rFonts w:ascii="arial" w:eastAsia="arial" w:hAnsi="arial" w:cs="arial"/>
          <w:i/>
          <w:color w:val="000000"/>
          <w:sz w:val="20"/>
          <w:lang w:val="en-US" w:eastAsia="en-US" w:bidi="ar-SA"/>
        </w:rPr>
        <w:t>Forliti v. Woolley</w:t>
      </w:r>
      <w:r>
        <w:rPr>
          <w:rFonts w:ascii="arial" w:eastAsia="arial" w:hAnsi="arial" w:cs="arial"/>
          <w:color w:val="000000"/>
          <w:sz w:val="20"/>
          <w:lang w:val="en-US" w:eastAsia="en-US" w:bidi="ar-SA"/>
        </w:rPr>
        <w:t xml:space="preserve">, </w:t>
      </w:r>
      <w:hyperlink r:id="rId225" w:history="1">
        <w:r>
          <w:rPr>
            <w:rFonts w:ascii="arial" w:eastAsia="arial" w:hAnsi="arial" w:cs="arial"/>
            <w:i/>
            <w:color w:val="0077CC"/>
            <w:sz w:val="20"/>
            <w:u w:val="single"/>
            <w:shd w:val="clear" w:color="auto" w:fill="FFFFFF"/>
            <w:lang w:val="en-US" w:eastAsia="en-US" w:bidi="ar-SA"/>
          </w:rPr>
          <w:t>2003 BCSC 1309</w:t>
        </w:r>
      </w:hyperlink>
      <w:r>
        <w:rPr>
          <w:rFonts w:ascii="arial" w:eastAsia="arial" w:hAnsi="arial" w:cs="arial"/>
          <w:color w:val="000000"/>
          <w:sz w:val="20"/>
          <w:lang w:val="en-US" w:eastAsia="en-US" w:bidi="ar-SA"/>
        </w:rPr>
        <w:t xml:space="preserve">. The unreported cases of </w:t>
      </w:r>
      <w:r>
        <w:rPr>
          <w:rFonts w:ascii="arial" w:eastAsia="arial" w:hAnsi="arial" w:cs="arial"/>
          <w:i/>
          <w:color w:val="000000"/>
          <w:sz w:val="20"/>
          <w:lang w:val="en-US" w:eastAsia="en-US" w:bidi="ar-SA"/>
        </w:rPr>
        <w:t>St. Jules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Humchitt</w:t>
      </w:r>
      <w:r>
        <w:rPr>
          <w:rFonts w:ascii="arial" w:eastAsia="arial" w:hAnsi="arial" w:cs="arial"/>
          <w:color w:val="000000"/>
          <w:sz w:val="20"/>
          <w:lang w:val="en-US" w:eastAsia="en-US" w:bidi="ar-SA"/>
        </w:rPr>
        <w:t xml:space="preserve"> were considered and distinguished. The expert neonatologist was allowed to testify as to the standard of care of a paediatrician because he had training and experience in the area and even though he had never practiced in this province. In considering this decision, Ballance J. in </w:t>
      </w:r>
      <w:r>
        <w:rPr>
          <w:rFonts w:ascii="arial" w:eastAsia="arial" w:hAnsi="arial" w:cs="arial"/>
          <w:i/>
          <w:color w:val="000000"/>
          <w:sz w:val="20"/>
          <w:lang w:val="en-US" w:eastAsia="en-US" w:bidi="ar-SA"/>
        </w:rPr>
        <w:t>Chen</w:t>
      </w:r>
      <w:r>
        <w:rPr>
          <w:rFonts w:ascii="arial" w:eastAsia="arial" w:hAnsi="arial" w:cs="arial"/>
          <w:color w:val="000000"/>
          <w:sz w:val="20"/>
          <w:lang w:val="en-US" w:eastAsia="en-US" w:bidi="ar-SA"/>
        </w:rPr>
        <w:t xml:space="preserve"> at para. 48 noted that the approach taken was consistent with recent jurisprudence that holds that there is no longer an absolute rule precluding the admission of the opinion of a specialist about the standard of care governing the medical treatment provided by a general practitioner or practitioner in another specialty. Admissibility depends upon the specialist's training and experience about the subject matter on which an opinion is proffered.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Goepel J. had another opportunity to consider </w:t>
      </w:r>
      <w:r>
        <w:rPr>
          <w:rFonts w:ascii="arial" w:eastAsia="arial" w:hAnsi="arial" w:cs="arial"/>
          <w:i/>
          <w:color w:val="000000"/>
          <w:sz w:val="20"/>
          <w:lang w:val="en-US" w:eastAsia="en-US" w:bidi="ar-SA"/>
        </w:rPr>
        <w:t>St. Jules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Hughes v. Cooper</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Ewert v. Marshall</w:t>
      </w:r>
      <w:r>
        <w:rPr>
          <w:rFonts w:ascii="arial" w:eastAsia="arial" w:hAnsi="arial" w:cs="arial"/>
          <w:color w:val="000000"/>
          <w:sz w:val="20"/>
          <w:lang w:val="en-US" w:eastAsia="en-US" w:bidi="ar-SA"/>
        </w:rPr>
        <w:t xml:space="preserve">, </w:t>
      </w:r>
      <w:hyperlink r:id="rId515" w:history="1">
        <w:r>
          <w:rPr>
            <w:rFonts w:ascii="arial" w:eastAsia="arial" w:hAnsi="arial" w:cs="arial"/>
            <w:i/>
            <w:color w:val="0077CC"/>
            <w:sz w:val="20"/>
            <w:u w:val="single"/>
            <w:shd w:val="clear" w:color="auto" w:fill="FFFFFF"/>
            <w:lang w:val="en-US" w:eastAsia="en-US" w:bidi="ar-SA"/>
          </w:rPr>
          <w:t>2003 BCSC 1429</w:t>
        </w:r>
      </w:hyperlink>
      <w:r>
        <w:rPr>
          <w:rFonts w:ascii="arial" w:eastAsia="arial" w:hAnsi="arial" w:cs="arial"/>
          <w:color w:val="000000"/>
          <w:sz w:val="20"/>
          <w:lang w:val="en-US" w:eastAsia="en-US" w:bidi="ar-SA"/>
        </w:rPr>
        <w:t xml:space="preserve">. The defendants had argued that the plaintiff could not call an expert who had more specialized training and who came from a significantly different background, education, training, and experience than the defendant doctor. The court could not have been any clearer that </w:t>
      </w:r>
      <w:r>
        <w:rPr>
          <w:rFonts w:ascii="arial" w:eastAsia="arial" w:hAnsi="arial" w:cs="arial"/>
          <w:i/>
          <w:color w:val="000000"/>
          <w:sz w:val="20"/>
          <w:lang w:val="en-US" w:eastAsia="en-US" w:bidi="ar-SA"/>
        </w:rPr>
        <w:t>St. Jules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Hughes v. Cooper</w:t>
      </w:r>
      <w:r>
        <w:rPr>
          <w:rFonts w:ascii="arial" w:eastAsia="arial" w:hAnsi="arial" w:cs="arial"/>
          <w:color w:val="000000"/>
          <w:sz w:val="20"/>
          <w:lang w:val="en-US" w:eastAsia="en-US" w:bidi="ar-SA"/>
        </w:rPr>
        <w:t xml:space="preserve"> may no longer be followed. Goepel J. said at paras. 17-18: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[17] Madam Justice Allan in </w:t>
      </w:r>
      <w:r>
        <w:rPr>
          <w:rFonts w:ascii="arial" w:eastAsia="arial" w:hAnsi="arial" w:cs="arial"/>
          <w:i/>
          <w:color w:val="000000"/>
          <w:sz w:val="20"/>
          <w:lang w:val="en-US" w:eastAsia="en-US" w:bidi="ar-SA"/>
        </w:rPr>
        <w:t>Phillips v. Central Cariboo Chilcotin Council</w:t>
      </w:r>
      <w:r>
        <w:rPr>
          <w:rFonts w:ascii="arial" w:eastAsia="arial" w:hAnsi="arial" w:cs="arial"/>
          <w:color w:val="000000"/>
          <w:sz w:val="20"/>
          <w:lang w:val="en-US" w:eastAsia="en-US" w:bidi="ar-SA"/>
        </w:rPr>
        <w:t xml:space="preserve">, </w:t>
      </w:r>
      <w:hyperlink r:id="rId503" w:history="1">
        <w:r>
          <w:rPr>
            <w:rFonts w:ascii="arial" w:eastAsia="arial" w:hAnsi="arial" w:cs="arial"/>
            <w:i/>
            <w:color w:val="0077CC"/>
            <w:sz w:val="20"/>
            <w:u w:val="single"/>
            <w:shd w:val="clear" w:color="auto" w:fill="FFFFFF"/>
            <w:lang w:val="en-US" w:eastAsia="en-US" w:bidi="ar-SA"/>
          </w:rPr>
          <w:t>[2002] B.C.J. No. 1245</w:t>
        </w:r>
      </w:hyperlink>
      <w:r>
        <w:rPr>
          <w:rFonts w:ascii="arial" w:eastAsia="arial" w:hAnsi="arial" w:cs="arial"/>
          <w:color w:val="000000"/>
          <w:sz w:val="20"/>
          <w:lang w:val="en-US" w:eastAsia="en-US" w:bidi="ar-SA"/>
        </w:rPr>
        <w:t xml:space="preserve"> (S.C.), in a reserved decision, considered the admissibility of evidence from an expert who was better qualified than the defendant. After referring to decisions of the Courts of Appeal of Newfoundland, Saskatchewan and Ontario, she held that while locality and specialization may be relevant to the applicable standard of care in a particular case, they are not relevant considerations when determining the admissibility of expert evidence on the standard of care.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[18] The considered decision of Madam Justice Allan is binding upon me. I am not prepared to follow </w:t>
      </w:r>
      <w:r>
        <w:rPr>
          <w:rFonts w:ascii="arial" w:eastAsia="arial" w:hAnsi="arial" w:cs="arial"/>
          <w:i/>
          <w:color w:val="000000"/>
          <w:sz w:val="20"/>
          <w:lang w:val="en-US" w:eastAsia="en-US" w:bidi="ar-SA"/>
        </w:rPr>
        <w:t>Hughes</w:t>
      </w:r>
      <w:r>
        <w:rPr>
          <w:rFonts w:ascii="arial" w:eastAsia="arial" w:hAnsi="arial" w:cs="arial"/>
          <w:color w:val="000000"/>
          <w:sz w:val="20"/>
          <w:lang w:val="en-US" w:eastAsia="en-US" w:bidi="ar-SA"/>
        </w:rPr>
        <w:t xml:space="preserve">. See: </w:t>
      </w:r>
      <w:r>
        <w:rPr>
          <w:rFonts w:ascii="arial" w:eastAsia="arial" w:hAnsi="arial" w:cs="arial"/>
          <w:i/>
          <w:color w:val="000000"/>
          <w:sz w:val="20"/>
          <w:lang w:val="en-US" w:eastAsia="en-US" w:bidi="ar-SA"/>
        </w:rPr>
        <w:t>Hansard Spruce Mills (Re</w:t>
      </w:r>
      <w:r>
        <w:rPr>
          <w:rFonts w:ascii="arial" w:eastAsia="arial" w:hAnsi="arial" w:cs="arial"/>
          <w:color w:val="000000"/>
          <w:sz w:val="20"/>
          <w:lang w:val="en-US" w:eastAsia="en-US" w:bidi="ar-SA"/>
        </w:rPr>
        <w:t xml:space="preserve">), </w:t>
      </w:r>
      <w:hyperlink r:id="rId516" w:history="1">
        <w:r>
          <w:rPr>
            <w:rFonts w:ascii="arial" w:eastAsia="arial" w:hAnsi="arial" w:cs="arial"/>
            <w:i/>
            <w:color w:val="0077CC"/>
            <w:sz w:val="20"/>
            <w:u w:val="single"/>
            <w:shd w:val="clear" w:color="auto" w:fill="FFFFFF"/>
            <w:lang w:val="en-US" w:eastAsia="en-US" w:bidi="ar-SA"/>
          </w:rPr>
          <w:t>[1954] 4 D.L.R 590</w:t>
        </w:r>
      </w:hyperlink>
      <w:r>
        <w:rPr>
          <w:rFonts w:ascii="arial" w:eastAsia="arial" w:hAnsi="arial" w:cs="arial"/>
          <w:color w:val="000000"/>
          <w:sz w:val="20"/>
          <w:lang w:val="en-US" w:eastAsia="en-US" w:bidi="ar-SA"/>
        </w:rPr>
        <w:t xml:space="preserve">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difference between expertise and work experience was relevant to weight and not to admissibility.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Other cases have held that the fact that an expert is more qualified than the defendant does not, in and of itself, render his evidence inadmissible, but is a matter of weight (</w:t>
      </w:r>
      <w:r>
        <w:rPr>
          <w:rFonts w:ascii="arial" w:eastAsia="arial" w:hAnsi="arial" w:cs="arial"/>
          <w:i/>
          <w:color w:val="000000"/>
          <w:sz w:val="20"/>
          <w:lang w:val="en-US" w:eastAsia="en-US" w:bidi="ar-SA"/>
        </w:rPr>
        <w:t>Smith et al v. Grace et al</w:t>
      </w:r>
      <w:r>
        <w:rPr>
          <w:rFonts w:ascii="arial" w:eastAsia="arial" w:hAnsi="arial" w:cs="arial"/>
          <w:color w:val="000000"/>
          <w:sz w:val="20"/>
          <w:lang w:val="en-US" w:eastAsia="en-US" w:bidi="ar-SA"/>
        </w:rPr>
        <w:t xml:space="preserve">, </w:t>
      </w:r>
      <w:hyperlink r:id="rId517" w:history="1">
        <w:r>
          <w:rPr>
            <w:rFonts w:ascii="arial" w:eastAsia="arial" w:hAnsi="arial" w:cs="arial"/>
            <w:i/>
            <w:color w:val="0077CC"/>
            <w:sz w:val="20"/>
            <w:u w:val="single"/>
            <w:shd w:val="clear" w:color="auto" w:fill="FFFFFF"/>
            <w:lang w:val="en-US" w:eastAsia="en-US" w:bidi="ar-SA"/>
          </w:rPr>
          <w:t>2004 BCSC 287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Larson v. Lucky et al</w:t>
      </w:r>
      <w:r>
        <w:rPr>
          <w:rFonts w:ascii="arial" w:eastAsia="arial" w:hAnsi="arial" w:cs="arial"/>
          <w:color w:val="000000"/>
          <w:sz w:val="20"/>
          <w:lang w:val="en-US" w:eastAsia="en-US" w:bidi="ar-SA"/>
        </w:rPr>
        <w:t xml:space="preserve">, </w:t>
      </w:r>
      <w:hyperlink r:id="rId505" w:history="1">
        <w:r>
          <w:rPr>
            <w:rFonts w:ascii="arial" w:eastAsia="arial" w:hAnsi="arial" w:cs="arial"/>
            <w:i/>
            <w:color w:val="0077CC"/>
            <w:sz w:val="20"/>
            <w:u w:val="single"/>
            <w:shd w:val="clear" w:color="auto" w:fill="FFFFFF"/>
            <w:lang w:val="en-US" w:eastAsia="en-US" w:bidi="ar-SA"/>
          </w:rPr>
          <w:t>2005 BCSC 829</w:t>
        </w:r>
      </w:hyperlink>
      <w:r>
        <w:rPr>
          <w:rFonts w:ascii="arial" w:eastAsia="arial" w:hAnsi="arial" w:cs="arial"/>
          <w:color w:val="000000"/>
          <w:sz w:val="20"/>
          <w:lang w:val="en-US" w:eastAsia="en-US" w:bidi="ar-SA"/>
        </w:rPr>
        <w:t>). In coming to such a conclusion, a trial judge must take seriously the "gatekeeper" role and carefully scrutinize admissibility as a separate issue from weight at the time when the expert evidence is proffered (</w:t>
      </w:r>
      <w:r>
        <w:rPr>
          <w:rFonts w:ascii="arial" w:eastAsia="arial" w:hAnsi="arial" w:cs="arial"/>
          <w:i/>
          <w:color w:val="000000"/>
          <w:sz w:val="20"/>
          <w:lang w:val="en-US" w:eastAsia="en-US" w:bidi="ar-SA"/>
        </w:rPr>
        <w:t>R. v. J.-L.J.</w:t>
      </w:r>
      <w:r>
        <w:rPr>
          <w:rFonts w:ascii="arial" w:eastAsia="arial" w:hAnsi="arial" w:cs="arial"/>
          <w:color w:val="000000"/>
          <w:sz w:val="20"/>
          <w:lang w:val="en-US" w:eastAsia="en-US" w:bidi="ar-SA"/>
        </w:rPr>
        <w:t xml:space="preserve">, </w:t>
      </w:r>
      <w:hyperlink r:id="rId518" w:history="1">
        <w:r>
          <w:rPr>
            <w:rFonts w:ascii="arial" w:eastAsia="arial" w:hAnsi="arial" w:cs="arial"/>
            <w:i/>
            <w:color w:val="0077CC"/>
            <w:sz w:val="20"/>
            <w:u w:val="single"/>
            <w:shd w:val="clear" w:color="auto" w:fill="FFFFFF"/>
            <w:lang w:val="en-US" w:eastAsia="en-US" w:bidi="ar-SA"/>
          </w:rPr>
          <w:t>2000 SCC 51</w:t>
        </w:r>
      </w:hyperlink>
      <w:r>
        <w:rPr>
          <w:rFonts w:ascii="arial" w:eastAsia="arial" w:hAnsi="arial" w:cs="arial"/>
          <w:color w:val="000000"/>
          <w:sz w:val="20"/>
          <w:lang w:val="en-US" w:eastAsia="en-US" w:bidi="ar-SA"/>
        </w:rPr>
        <w:t xml:space="preserve"> at para. 28; </w:t>
      </w:r>
      <w:r>
        <w:rPr>
          <w:rFonts w:ascii="arial" w:eastAsia="arial" w:hAnsi="arial" w:cs="arial"/>
          <w:i/>
          <w:color w:val="000000"/>
          <w:sz w:val="20"/>
          <w:lang w:val="en-US" w:eastAsia="en-US" w:bidi="ar-SA"/>
        </w:rPr>
        <w:t>Hoskin v. Han</w:t>
      </w:r>
      <w:r>
        <w:rPr>
          <w:rFonts w:ascii="arial" w:eastAsia="arial" w:hAnsi="arial" w:cs="arial"/>
          <w:color w:val="000000"/>
          <w:sz w:val="20"/>
          <w:lang w:val="en-US" w:eastAsia="en-US" w:bidi="ar-SA"/>
        </w:rPr>
        <w:t xml:space="preserve"> at paras. 69-71; </w:t>
      </w:r>
      <w:r>
        <w:rPr>
          <w:rFonts w:ascii="arial" w:eastAsia="arial" w:hAnsi="arial" w:cs="arial"/>
          <w:i/>
          <w:color w:val="000000"/>
          <w:sz w:val="20"/>
          <w:lang w:val="en-US" w:eastAsia="en-US" w:bidi="ar-SA"/>
        </w:rPr>
        <w:t>Chen</w:t>
      </w:r>
      <w:r>
        <w:rPr>
          <w:rFonts w:ascii="arial" w:eastAsia="arial" w:hAnsi="arial" w:cs="arial"/>
          <w:color w:val="000000"/>
          <w:sz w:val="20"/>
          <w:lang w:val="en-US" w:eastAsia="en-US" w:bidi="ar-SA"/>
        </w:rPr>
        <w:t xml:space="preserve"> at para. 62). In </w:t>
      </w:r>
      <w:r>
        <w:rPr>
          <w:rFonts w:ascii="arial" w:eastAsia="arial" w:hAnsi="arial" w:cs="arial"/>
          <w:i/>
          <w:color w:val="000000"/>
          <w:sz w:val="20"/>
          <w:lang w:val="en-US" w:eastAsia="en-US" w:bidi="ar-SA"/>
        </w:rPr>
        <w:t>Chen</w:t>
      </w:r>
      <w:r>
        <w:rPr>
          <w:rFonts w:ascii="arial" w:eastAsia="arial" w:hAnsi="arial" w:cs="arial"/>
          <w:color w:val="000000"/>
          <w:sz w:val="20"/>
          <w:lang w:val="en-US" w:eastAsia="en-US" w:bidi="ar-SA"/>
        </w:rPr>
        <w:t>, the court concluded at para. 52: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[52] ... serious deficiencies in the depth of the proffered expert's experience and familiarity with the defendant physician's medical field and practice is likely to affect the admissibility of the opinion evidence, while lesser flaws are more apt to negatively affect the weight given to that evidence once it has been admitted.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Chen</w:t>
      </w:r>
      <w:r>
        <w:rPr>
          <w:rFonts w:ascii="arial" w:eastAsia="arial" w:hAnsi="arial" w:cs="arial"/>
          <w:color w:val="000000"/>
          <w:sz w:val="20"/>
          <w:lang w:val="en-US" w:eastAsia="en-US" w:bidi="ar-SA"/>
        </w:rPr>
        <w:t xml:space="preserve"> was another story where the expert evidence was so minimal as not to be helpful to the court because the expert ophthalmologist was trained in China, had no first-hand knowledge, experience, or skill in relation to Canada at large, and had only read certain guidelines that did not reflect the applicable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It is now clear from the prevailing cases and particularly from </w:t>
      </w:r>
      <w:r>
        <w:rPr>
          <w:rFonts w:ascii="arial" w:eastAsia="arial" w:hAnsi="arial" w:cs="arial"/>
          <w:i/>
          <w:color w:val="000000"/>
          <w:sz w:val="20"/>
          <w:lang w:val="en-US" w:eastAsia="en-US" w:bidi="ar-SA"/>
        </w:rPr>
        <w:t>McLellan v. Dickinson</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Ewert v. Marshall</w:t>
      </w:r>
      <w:r>
        <w:rPr>
          <w:rFonts w:ascii="arial" w:eastAsia="arial" w:hAnsi="arial" w:cs="arial"/>
          <w:color w:val="000000"/>
          <w:sz w:val="20"/>
          <w:lang w:val="en-US" w:eastAsia="en-US" w:bidi="ar-SA"/>
        </w:rPr>
        <w:t xml:space="preserve"> that the older cases of </w:t>
      </w:r>
      <w:r>
        <w:rPr>
          <w:rFonts w:ascii="arial" w:eastAsia="arial" w:hAnsi="arial" w:cs="arial"/>
          <w:i/>
          <w:color w:val="000000"/>
          <w:sz w:val="20"/>
          <w:lang w:val="en-US" w:eastAsia="en-US" w:bidi="ar-SA"/>
        </w:rPr>
        <w:t>St. Jules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Humchitt</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Hughes v. Cooper</w:t>
      </w:r>
      <w:r>
        <w:rPr>
          <w:rFonts w:ascii="arial" w:eastAsia="arial" w:hAnsi="arial" w:cs="arial"/>
          <w:color w:val="000000"/>
          <w:sz w:val="20"/>
          <w:lang w:val="en-US" w:eastAsia="en-US" w:bidi="ar-SA"/>
        </w:rPr>
        <w:t xml:space="preserve"> should have no persuasive influence anymore and should not be followed. It is unfortunate and a waste of judicial resources for counsel to cite these cases, without the context of more recent authority, so requiring analysis that is readily apparent from more modern authorities. The "serious deficiencies" that existed in </w:t>
      </w:r>
      <w:r>
        <w:rPr>
          <w:rFonts w:ascii="arial" w:eastAsia="arial" w:hAnsi="arial" w:cs="arial"/>
          <w:i/>
          <w:color w:val="000000"/>
          <w:sz w:val="20"/>
          <w:lang w:val="en-US" w:eastAsia="en-US" w:bidi="ar-SA"/>
        </w:rPr>
        <w:t>Chen</w:t>
      </w:r>
      <w:r>
        <w:rPr>
          <w:rFonts w:ascii="arial" w:eastAsia="arial" w:hAnsi="arial" w:cs="arial"/>
          <w:color w:val="000000"/>
          <w:sz w:val="20"/>
          <w:lang w:val="en-US" w:eastAsia="en-US" w:bidi="ar-SA"/>
        </w:rPr>
        <w:t xml:space="preserve"> are akin to the minimal expertise in </w:t>
      </w:r>
      <w:r>
        <w:rPr>
          <w:rFonts w:ascii="arial" w:eastAsia="arial" w:hAnsi="arial" w:cs="arial"/>
          <w:i/>
          <w:color w:val="000000"/>
          <w:sz w:val="20"/>
          <w:lang w:val="en-US" w:eastAsia="en-US" w:bidi="ar-SA"/>
        </w:rPr>
        <w:t>Wilson v. Swanson</w:t>
      </w:r>
      <w:r>
        <w:rPr>
          <w:rFonts w:ascii="arial" w:eastAsia="arial" w:hAnsi="arial" w:cs="arial"/>
          <w:color w:val="000000"/>
          <w:sz w:val="20"/>
          <w:lang w:val="en-US" w:eastAsia="en-US" w:bidi="ar-SA"/>
        </w:rPr>
        <w:t>. The real test of qualification is whether the expert's knowledge, skill, or experience is sufficiently reliable to be of assistance to the trier of fact (</w:t>
      </w:r>
      <w:r>
        <w:rPr>
          <w:rFonts w:ascii="arial" w:eastAsia="arial" w:hAnsi="arial" w:cs="arial"/>
          <w:i/>
          <w:color w:val="000000"/>
          <w:sz w:val="20"/>
          <w:lang w:val="en-US" w:eastAsia="en-US" w:bidi="ar-SA"/>
        </w:rPr>
        <w:t>R. v. Fisher</w:t>
      </w:r>
      <w:r>
        <w:rPr>
          <w:rFonts w:ascii="arial" w:eastAsia="arial" w:hAnsi="arial" w:cs="arial"/>
          <w:color w:val="000000"/>
          <w:sz w:val="20"/>
          <w:lang w:val="en-US" w:eastAsia="en-US" w:bidi="ar-SA"/>
        </w:rPr>
        <w:t>). That is a question of law to be determined in the context of each case. Generalized principles that a specialist cannot opine about the work of a general practitioner or that an opinion cannot be admissible if the expert has not practiced in the locale or in the exact circumstances of the defendant are not determinative of the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Dr. Feinstadt has extensive experience working with nurses in the emergency departments of rural community hospitals in British Columbia. He has trained nurses within that setting. He knows the team effort that is required and knows what is expected when a pregnant patient appears at a rural emergency ward. He possesses the skill, knowledge and experience about standards of nursing within the emergency department to be of assistance to the court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Dr. DuPlessis's expertise as an obstetrician/gynecologist overlaps that of a general practitioner who attends to a pregnant patient in the emergency department. He has specific experience with the Powell River General Hospital and Dr. Morwood because he is the specialist who would be called if there was a problem in the emergency ward needing his attention and it was he who would have been called if the plaintiff had been determined to have pre-eclampsia. Dr. DuPlessis would have experienced many patients who had been previously assessed and treated in the emergency ward by these defendants and is uniquely qualified to express an opinion to the court on the standard of care expected by the general practitioner who was on duty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J.R. DILLON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45" style="position:absolute;z-index:25183641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19"/>
          <w:headerReference w:type="default" r:id="rId520"/>
          <w:footerReference w:type="even" r:id="rId521"/>
          <w:footerReference w:type="default" r:id="rId522"/>
          <w:headerReference w:type="first" r:id="rId523"/>
          <w:footerReference w:type="first" r:id="rId52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25" w:history="1">
        <w:r>
          <w:rPr>
            <w:rFonts w:ascii="arial" w:eastAsia="arial" w:hAnsi="arial" w:cs="arial"/>
            <w:b/>
            <w:bCs/>
            <w:i/>
            <w:color w:val="0077CC"/>
            <w:kern w:val="32"/>
            <w:sz w:val="28"/>
            <w:szCs w:val="32"/>
            <w:u w:val="single"/>
            <w:shd w:val="clear" w:color="auto" w:fill="FFFFFF"/>
            <w:lang w:val="en-US" w:eastAsia="en-US" w:bidi="ar-SA"/>
          </w:rPr>
          <w:t>Pipe v. Dusome, [2007] B.C.J. No. 1587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J.R. Dillon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7-11 and 14-16,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17,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27856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Penticton</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[2007] B.C.J. No. 1587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2007 BCSC 1066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159 A.C.W.S. (3d) 768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Ross Clifford Pipe, Plaintiff, and Paul Dusome, Janice Dusome and Harvey Dusome,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46" style="position:absolute;z-index:2516838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68" w:name="Keywords_24"/>
      <w:bookmarkEnd w:id="168"/>
      <w:r>
        <w:rPr>
          <w:rFonts w:ascii="arial" w:eastAsia="arial" w:hAnsi="arial" w:cs="arial"/>
          <w:b/>
          <w:color w:val="000000"/>
          <w:sz w:val="20"/>
          <w:lang w:val="en-US" w:eastAsia="en-US" w:bidi="ar-SA"/>
        </w:rPr>
        <w:t>Damages — General damages — For personal injuries — Considerations — Aggravation of pre-existing injury — Pre-existing medical conditions — Cost of future care — Loss of earning capacity — Retired or unemployed persons — Non-pecuniary damages, including pain and suffering — Personal injury action arising out of collision between plaintiff's motorcycle and defendant's truck — Plaintiff suffered laceration to tibial vessel of right ankle and minor laceration of a tendon in accident — Plaintiff had significant pre-existing ligament tear, osteoarthritis, tendinopathy, and fracture of right knee - Plaintiff, 58, did not look for permanent, full-time work as truck driver before or after accident — Action allowed in part — Plaintiff awarded 80 per cent of damages assessed — Nominal damages for past wage loss of $5,000 awarded — Plaintiff awarded $35,000 for non-pecuniary damages and $5,000 for loss of future earning capacity.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Physical injuries — Leg injuries — Foot — Lacerations — Non-pecuniary award — $20,001 to $40,000 - Considerations impacting on award — Pre-existing injury — Mitigation — Personal injury action arising out of collision between plaintiff's motorcycle and defendant's truck — Plaintiff suffered laceration to tibial vessel of right ankle and minor laceration of a tendon in accident — Plaintiff had significant pre-existing ligament tear, osteoarthritis, tendinopathy, and fracture of right knee — Plaintiff, 58, did not look for permanent, full-time work as truck driver before or after accident — Action allowed in part — Plaintiff awarded 80 per cent of damages assessed — Nominal damages for past wage loss of $5,000 awarded — Plaintiff awarded $35,000 for non-pecuniary damages and $5,000 for loss of future earning capacity.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Causation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Apportionment of liability — Motor vehicles — Rules of the road — Signals and warnings — Personal injury action arising out of collision between plaintiff's motorcycle and defendant's truck — Defendant prepared to turn left into driveway and turned slightly to right — Believing defendant would make right hand turn, plaintiff overtook defendant's truck — Defendant's left turn light not working — Action allowed in part — Plaintiff 20 per cent liable — Plaintiff did not ensure that his passing could be completed in safety — Defendant did not ensure that he could complete his turn in safety — Failure of left turn signal was principal cause of accident.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69" w:name="Case Summary_22"/>
            <w:bookmarkEnd w:id="16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Personal injury action arising out of collision between plaintiff's motorcycle and defendant's truck -- Plaintiff traveled motorcycle behind defendant's truck -- Defendant prepared to turn left into driveway and turned slightly to right -- Believing defendant would make right hand turn, plaintiff overtook defendant's truck -- Defendant's left turn light not working -- Defendant did not check his left side mirror to locate motorcycle just before he turned -- Plaintiff did not sound his horn -- Defendant collided with plaintiff's motorcycle -- Plaintiff, 58, was off work as truck driver for several years prior to accident due to injuries and depression -- Just before accident, plaintiff returned to part time long haul trucking for a friend at $500 to $700 per week -- Plaintiff did not look for permanent, full-time work -- Plaintiff suffered a deep laceration to tibial vessel of right ankle and minor laceration of a tendon in accident -- Ongoing pain in foot and ankle -- After accident, plaintiff continued to experience depression and sleep apnea -- Boney fragments indicative of arthritis pre-existed accident but were not symptomatic prior to accident -- Plaintiff had significant pre-existing ligament tear, osteoarthritis, tendinopathy, and fracture of right knee -- HELD: Action allowed in part -- Defendant 80 per cent liable -- Plaintiff awarded 80 per cent of damages assessed -- Plaintiff did not ensure that his passing could be completed in safety -- He failed to wait to ascertain direction of defendant's vehicle when he knew that vehicle was slowing to turn -- Defendant did not ensure that he could complete his turn in safety -- No operational left turn signal -- Failure of left turn signal was principal cause of accident -- Neither depression nor sleep disorder caused or exacerbated by accident -- Plaintiff awarded $35,000 for non-pecuniary damages, considering plaintiff would have experienced pain and disability in right ankle eventually -- Highly unlikely that plaintiff would have worked full time in period from accident to trial -- Pre-existing knee condition, chronic depression, and latent right ankle arthritis affected plaintiff's capacity prior to accident -- Nominal damages for past wage loss in amount of $5,000 awarded due to failure to mitigate -- Accident did not further impair plaintiff's ability to work except for short period of absolute disability and a limited time thereafter -- Accident put plaintiff over the top in terms of his ability to search for and obtain work -- Loss of future earning capacity was $5,000 -- Special damages of $4,310 for drugs, physiotherapy and ambulance awarded -- Future cost of $3,900 for physiotherapy and pain killers awarded.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70" w:name="Counsel_24"/>
      <w:bookmarkEnd w:id="17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47" style="position:absolute;z-index:2517350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P.S. Boles.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H. Grewal, T. Jespersen.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71" w:name="Judgment_24"/>
      <w:bookmarkEnd w:id="171"/>
      <w:r>
        <w:pict>
          <v:line id="_x0000_s1148" style="position:absolute;z-index:251786240"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72" w:name="J.R. DILLON J._1"/>
            <w:bookmarkEnd w:id="172"/>
            <w:r>
              <w:rPr>
                <w:rFonts w:ascii="arial" w:eastAsia="arial" w:hAnsi="arial" w:cs="arial"/>
                <w:b/>
                <w:color w:val="000000"/>
                <w:sz w:val="30"/>
                <w:lang w:val="en-US" w:eastAsia="en-US" w:bidi="ar-SA"/>
              </w:rPr>
              <w:t>J.R. DILLON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action arises from a collision between a motorcycle driven by the plaintiff, Ross Pipe ("Pipe"), and a pickup truck driven by the defendant, Paul Dusome ("Dusome"), on August 26, 2005. Liability and damages are in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was travelling westbound on his 1997 Harley Davidson motorcycle in a residential neighbourhood on 48th Avenue near 200th Street in Langley, British Columbia, headed to his girlfriend's nearby house. He wore leather riding boots, vest, gloves and a helmet. Although still light in the evening, Pipe had his central headlight, road lights, and orange fender lights turned on. He overtook the 1994 Ranger pickup driven by Dusome and owned by his mother and father, the defendants, Janice and Harvey Dusome. Dusome had seen the motorcycle approaching as he prepared to turn left into the driveway of a house where he planned to attend a party. He had his running lights on as it was twilight.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came within a car length of the pickup and noticed the truck reduce speed and turn slightly to the right. Pipe saw the right brake light of the truck go on but not the left. He assumed that the Dusome vehicle was turning right. The plaintiff slowed his vehicle, turned his left turn signal on and proceeded to pass the pickup on the left in the eastbound lane of 48th Avenue. He was not going very fast, about 30 to 35 kilometres per hour. He did not sound his horn. The pickup had not come to a stop.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Dusome slowed his truck from 50 kilometres per hour to about 15 kilometres per hour within two car lengths, intending to turn left across 48th Avenue into the driveway of the party house. He denied that he would have moved towards the right of the roadway. He checked his rearview mirror, saw the motorcycle, and turned on his left signal. Unbeknownst to him, his left signal was not working. He did not check his right side mirror before starting his left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pickup struck the motorcycle at the driver's door as it passed to the left. It struck the right side of the motorcycle, knocking the plaintiff off the bike. The plaintiff landed forward of the bike, which thankfully did not land on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was taken by ambulance to hospital where he was attended to by Dr. Chan for a severed artery in his right ankle.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defendants' vehicle was examined by insurance adjusters who noticed that the left turn signal did not work when the headlights were 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 conclude that the left turn signal of the Dusome vehicle was not working at the time of the accident. Although the vehicle may have veered slightly towards the right, there were driveways on both sides of the road and it was apparent from the slowing of the vehicle and the brake lights that the vehicle was about to turn. It was also apparent that the brake lights were not working and the plaintiff did not observe a right turn signal illuminate to confirm his assumption that the vehicle was turning right. Dusome did not check his left side mirror to locate the motorcycle just before he turned. The plaintiff did not sound his horn. The vehicles collided.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I conclude that the plaintiff did not ensure that his passing could be completed in safety contrary to section 159 of the </w:t>
      </w:r>
      <w:r>
        <w:rPr>
          <w:rFonts w:ascii="arial" w:eastAsia="arial" w:hAnsi="arial" w:cs="arial"/>
          <w:b/>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He failed to wait to ascertain the direction of the Dusome vehicle when he knew that the vehicle was slowing to turn and there was some uncertainty as to which direction as evidenced by the failure of the lights and lack of a turn signal. He failed to sound his horn in the face of this uncertainty.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Dusome did not ensure that he could complete his turn in safety, contrary to section 166 of the </w:t>
      </w:r>
      <w:r>
        <w:rPr>
          <w:rFonts w:ascii="arial" w:eastAsia="arial" w:hAnsi="arial" w:cs="arial"/>
          <w:b/>
          <w:i/>
          <w:color w:val="000000"/>
          <w:sz w:val="20"/>
          <w:lang w:val="en-US" w:eastAsia="en-US" w:bidi="ar-SA"/>
        </w:rPr>
        <w:t>Motor Vehicle Act</w:t>
      </w:r>
      <w:r>
        <w:rPr>
          <w:rFonts w:ascii="arial" w:eastAsia="arial" w:hAnsi="arial" w:cs="arial"/>
          <w:color w:val="000000"/>
          <w:sz w:val="20"/>
          <w:lang w:val="en-US" w:eastAsia="en-US" w:bidi="ar-SA"/>
        </w:rPr>
        <w:t xml:space="preserve">. He did not cause his vehicle to be near the centre of the roadway before starting his turn and did not check his side mirror prior to turning when he knew that the plaintiff's motorcycle had been behind him. He also did not have an operational left turn signal, contrary to section 170 of the </w:t>
      </w:r>
      <w:r>
        <w:rPr>
          <w:rFonts w:ascii="arial" w:eastAsia="arial" w:hAnsi="arial" w:cs="arial"/>
          <w:b/>
          <w:i/>
          <w:color w:val="000000"/>
          <w:sz w:val="20"/>
          <w:lang w:val="en-US" w:eastAsia="en-US" w:bidi="ar-SA"/>
        </w:rPr>
        <w:t>Motor Vehicle Act</w:t>
      </w:r>
      <w:r>
        <w:rPr>
          <w:rFonts w:ascii="arial" w:eastAsia="arial" w:hAnsi="arial" w:cs="arial"/>
          <w:color w:val="000000"/>
          <w:sz w:val="20"/>
          <w:lang w:val="en-US" w:eastAsia="en-US" w:bidi="ar-SA"/>
        </w:rPr>
        <w:t>. The failure of the left turn signal was the principal cause of the accident. The plaintiff had noticed the brake lights of the pickup and would have noticed a left turn signal had it been working.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Apportionment of liability in this situation requires consideration that the overtaking driver generally bears greater obligation to ensure that he can pass in safety (</w:t>
      </w:r>
      <w:r>
        <w:rPr>
          <w:rFonts w:ascii="arial" w:eastAsia="arial" w:hAnsi="arial" w:cs="arial"/>
          <w:b/>
          <w:i/>
          <w:color w:val="000000"/>
          <w:sz w:val="20"/>
          <w:lang w:val="en-US" w:eastAsia="en-US" w:bidi="ar-SA"/>
        </w:rPr>
        <w:t>Smith v. Bileck</w:t>
      </w:r>
      <w:r>
        <w:rPr>
          <w:rFonts w:ascii="arial" w:eastAsia="arial" w:hAnsi="arial" w:cs="arial"/>
          <w:color w:val="000000"/>
          <w:sz w:val="20"/>
          <w:lang w:val="en-US" w:eastAsia="en-US" w:bidi="ar-SA"/>
        </w:rPr>
        <w:t xml:space="preserve">, </w:t>
      </w:r>
      <w:hyperlink r:id="rId526" w:history="1">
        <w:r>
          <w:rPr>
            <w:rFonts w:ascii="arial" w:eastAsia="arial" w:hAnsi="arial" w:cs="arial"/>
            <w:i/>
            <w:color w:val="0077CC"/>
            <w:sz w:val="20"/>
            <w:u w:val="single"/>
            <w:shd w:val="clear" w:color="auto" w:fill="FFFFFF"/>
            <w:lang w:val="en-US" w:eastAsia="en-US" w:bidi="ar-SA"/>
          </w:rPr>
          <w:t>2006 BCSC 989</w:t>
        </w:r>
      </w:hyperlink>
      <w:r>
        <w:rPr>
          <w:rFonts w:ascii="arial" w:eastAsia="arial" w:hAnsi="arial" w:cs="arial"/>
          <w:color w:val="000000"/>
          <w:sz w:val="20"/>
          <w:lang w:val="en-US" w:eastAsia="en-US" w:bidi="ar-SA"/>
        </w:rPr>
        <w:t xml:space="preserve"> at para. 23; </w:t>
      </w:r>
      <w:r>
        <w:rPr>
          <w:rFonts w:ascii="arial" w:eastAsia="arial" w:hAnsi="arial" w:cs="arial"/>
          <w:b/>
          <w:i/>
          <w:color w:val="000000"/>
          <w:sz w:val="20"/>
          <w:lang w:val="en-US" w:eastAsia="en-US" w:bidi="ar-SA"/>
        </w:rPr>
        <w:t>Samograd v. Collison</w:t>
      </w:r>
      <w:r>
        <w:rPr>
          <w:rFonts w:ascii="arial" w:eastAsia="arial" w:hAnsi="arial" w:cs="arial"/>
          <w:color w:val="000000"/>
          <w:sz w:val="20"/>
          <w:lang w:val="en-US" w:eastAsia="en-US" w:bidi="ar-SA"/>
        </w:rPr>
        <w:t xml:space="preserve"> </w:t>
      </w:r>
      <w:hyperlink r:id="rId527" w:history="1">
        <w:r>
          <w:rPr>
            <w:rFonts w:ascii="arial" w:eastAsia="arial" w:hAnsi="arial" w:cs="arial"/>
            <w:i/>
            <w:color w:val="0077CC"/>
            <w:sz w:val="20"/>
            <w:u w:val="single"/>
            <w:shd w:val="clear" w:color="auto" w:fill="FFFFFF"/>
            <w:lang w:val="en-US" w:eastAsia="en-US" w:bidi="ar-SA"/>
          </w:rPr>
          <w:t>(1996), 17 B.C.L.R. (3d) 51</w:t>
        </w:r>
      </w:hyperlink>
      <w:r>
        <w:rPr>
          <w:rFonts w:ascii="arial" w:eastAsia="arial" w:hAnsi="arial" w:cs="arial"/>
          <w:color w:val="000000"/>
          <w:sz w:val="20"/>
          <w:lang w:val="en-US" w:eastAsia="en-US" w:bidi="ar-SA"/>
        </w:rPr>
        <w:t xml:space="preserve"> (C.A.)). Although Pipe was uncertain as to the movements of the pickup truck, Dusome failed to signal his left turn and did not see the overtaking vehicle which was there to be seen if he had looked properly. In these circumstances, I apportion liability eighty percent to the defendants and twenty percent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w:t>
      </w:r>
      <w:r>
        <w:rPr>
          <w:rFonts w:ascii="arial" w:eastAsia="arial" w:hAnsi="arial" w:cs="arial"/>
          <w:sz w:val="20"/>
          <w:lang w:val="en-US" w:eastAsia="en-US" w:bidi="ar-SA"/>
        </w:rPr>
        <w:cr/>
      </w:r>
    </w:p>
    <w:p>
      <w:pPr>
        <w:numPr>
          <w:numId w:val="98"/>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non-pecuniary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Pipe is 58 years old. He is divorced and was a single father until his two children grew up. He had an eight-year relationship which terminated in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As a trucker loading and unloading freight, he had injured his back a number of times, the last in 1991. He had troubles with sleep because of the unusual work hours. Following the break-up of his relationship in 1999, Pipe became depressed and had a black out while truck driving. He suffered from depression and anxiety. He was off work from December 1999 to July 2000 on short term disability which the insurer said was due to transitory loss of attention with sleep apnoea. He returned to work for a month but had a recurrence and claimed long term disability.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Pipe's long term disability claim was initially turned down for lack of medical evidence but he received fifteen weeks disability pay from Employment Canada. He was then re-evaluated for long term disability and was granted it for the period to June 2002. When his disability ended, Pipe did not return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plaintiff said that he was not able to work in 2002 or 2003 due to "continuing problems". However, Dr. Simkus notes in 2005 that he had been doing well for several years with no evidence of further blackouts. He did, however, still have problems with sleep and continued to be depressed. The plaintiff continued to drive other vehicles but testified that there was a restriction on his driving commercially until he was clear of blackouts for a year. He returned to work in February 2004 and was able to perform all of the tasks of a driver short hauling demolition debris.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He was unemployed in 2005 and received regular unemployment benefits to November 2005 except for five weeks of medical benefits. In May 2005, he injured his knee when a dog ran into him at a park and he had a recurrence of knee problems in June. Problems with the right knee continued with swelling and pain causing loss of sleep at night. The plaintiff's right knee had previously undergone arthroscopic surgery. The general practitioner referred him to an orthopaedic surgeon who reported in June 2005 that the plaintiff had medial right knee pain with swelling. Ultimately, an MRI was done in October 2005, after the accident. It showed a complete medial meniscal tear and osteoarthritis of the right knee with a fracture of the tibia and patellar tendinopathy. Surgical intervention was recommended.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Just before the accident, Pipe had returned to part time long haul trucking for a friend. He had removed himself from depression medication and testified that he was sleeping better. He was in a new relationship, feeling good, and enjoying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Immediately following the accident, the plaintiff was in pain in his right leg and ankle. He was taken by ambulance to hospital where a lacerated tibial vessel in the right ankle was ligated. Pipe was ultimately seen by Dr. Chan, an orthopaedic surgeon. The radiology report noted considerable medial soft tissue swelling of the right ankle but no fractures. There was evidence of old injuries on the outside of the foot and a ligament tear on the ankle joint. Dr. Chan performed debridement of a five centimetre long but deep laceration of the right ankle near the medial malleolus. There was some laceration of a tendon but it was still intact. There was good circulation in the foot despite the lacerated tibial vessel and all else was normal.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plaintiff stayed at his girlfriend's home for almost a month following the accident. He said that he was in pain despite Tylenol 3 and was upset over the loss of his bike. He needed assistance at first with bathing. He did not sleep well. When he returned home, he was able to perform general chores but was in pain. He saw his general practitioner at the end of September. He remained on crutches until October.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 month following the accident, there was moderate medial soft tissue swelling on the right ankle. Dr. Chan felt that his patient was doing well. But, there was infection in late September, not an uncommon occurrence according to Dr. Chan. Pipe responded well to antibiotics. There was minimum swelling and he was cleared for full weight bearing and activity by November 2005. He returned to the care of his general practitioner with the recommendation that physiotherapy would be beneficial.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Eight months following the accident, there was still swelling about the ankle and radiology noted a bone chip within the soft tissue indicating a tiny chip fracture. Dr. Chan saw Pipe again upon referral from the general practitioner because the plaintiff complained of ongoing pain. The laceration had healed well but Pipe had tenderness in the back of the foot and ankle. Dr. Chan noted decreased range of motion relative to the other foot but not to an extent that Dr. Chan was concerned about functional incapacity. He could recommend no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An MRI of the ankle performed ten months post accident noted osteoarthritis in the ankle and mid foot which Dr. Chan said likely pre-dated the accident. In his medical report, Dr. Chan said that symptoms to the lateral aspect of his ankle were secondary to persistent tendinopathy and tendonitis and degenerative changes. Because there were no symptoms prior to the accident, this represented an enhancement of the potential underlying arthritis since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Dr. Chan saw the plaintiff in November 2006 and again in April 2007 at the request of the general practitioner. In November, the plaintiff was benefiting from anti-inflammatory medication and still receiving physiotherapy. There was no significant pathology but the plaintiff reported generalized pain after driving long distances. He walked relatively well. Dr. Chan saw no swelling or instability and did not feel that a second MRI was necessary. He recommended a heel raise to support the achilles tendon but there is no evidence that this advice was followed. In April 2007, the plaintiff still had discomfort and some swelling to his right ankle. The right ankle was unchanged clinically. It was felt that the osteoarthritis had not changed since June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Pipe's general practitioner described the plaintiff's pain as localized in the area of the tendon going behind the malleolus of the ankle. The pain had continued through to March 2007, such that the doctor reported that Pipe had chronic pain syndrome that had started with injury from the accident. He noted that the plaintiff still limped in 2007 and expected that Pipe would experience discomfort at some level for many years. The general practitioner did not consider that the pain was associated with the osteoarthritis in the mid foot and ankle because this was not the location of the pain. In cross-examination, the general practitioner agreed that there were painful symptoms, including instability and buckling of the right knee, before the accident. This could be aggravated by loading and squatting. He said that the knee could make loading, crouching, and kneeling activities difficult.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Dr. Chan stated in his report that the plaintiff had plateaued and would require anti-inflammatories, analgesics, and soft shoes with no significant improvement expected in the right ankle. He did not recommend steroid injections. Although surgery was not recommended in June 2006, Dr. Chan could foresee that degenerative changes could progress to end stage arthritis, possibly requiring ankle fusion or arthroplasty. In his report, Dr. Chan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any of these surgeries would need to be performed, it is my opinion that they are related to the motorcycle accident. It is recognized that Mr. Pipe has suffered permanent disability to his right ankle following the motorcycle accident. He still has activity-related discomfort to his right ankle. There is also stiffness. He also complains of a limp with prolong (sic) walking. Although he still has reasonable functional range of motion to his ankle, actual measurement of his right ankle motion shows decrease in the contralateral side. His dorsiflexion is just past neutral, and the inversion is about 15 degrees less than the contralateral side and he has minimal eversion. Activities that require prolong (sic) walking, standing and squatting probably will aggravate his symptoms. Return to work as a truck driver is discussed with the patient. Mr. Pipe is allowed to try returning to work with a partner driver. Because of his ankle symptoms, he may have difficulty with loading and unloading the cargo. He also may have difficulty performing the usual maintenance of his truck on the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Dr. Chan resiled from this opinion somewhat in cross-examination where he acknowledged that the osteoarthritis pre-dated the accident, that it was impossible to say whether surgery would be required but looked unlikely at this point, and that this situation existed absent the accident. He agreed that activities such as heavy loading and pressure would aggravate the arthritis even without the accident but found it impossible to say when this condition would have appeared. There was the potential that everyday activities such as crouching or kneeling would exacerbate the arthritis.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Dr. Chan noticed that the pain in the ankle was on the inside aspect of the achilles tendon and around the outside of the ankle. He also said that the plaintiff reported generalized pain after driving. This is in contrast to the general practitioner who said that the pain reported was localized near the medial malleolus. Dr. Chan said that the previous trauma to the ankle made Pipe more prone to stress from usual activities. He did not expect improvement. He considered the plaintiff fit to drive a truck but thought that a partner would be required to assist with its maintenance and heavier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Dr. Chan was unaware of the details of Pipe's right knee condition. When cross-examined about the knee following the presentation of details, Dr. Chan agreed that there was progressive degeneration of the right knee joint that would cause arthritis which would be aggravated by heavy lifting, kneeling, crouching, and crawling. It could also cause limping. Dr. Chan said that because of the knee, the plaintiff would have difficulty loading or unloading heavy cargo. Surgical intervention would be recommended. With this new information, Dr. Chan said that standing could alone exacerbate the situation. As he had not examined the plaintiff for this condition either in itself or in relation to the ankle, he could not express an opinion as to whether these symptoms were related to the ankle or to the knee.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Pipe's depression was long standing before the accident. He had stopped taking medication just before the accident, not on doctor's orders, but because he felt well. He resumed his medication upon doctor's recommendation after the accident. During the time after the accident, Pipe had other emotional upsets unrelated to the accident. His general practitioner thought that Pipe's continued depression was the result of continued pain and inability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He was seen once by a psychiatrist for purposes of a psychiatric report in February 2007. The psychiatrist noted that the plaintiff became depressed following the accident when issues of pain, inability to work, and financial stress restricted his improvement. He was unaware that the plaintiff had stopped medications without medical recommendation just prior to the accident and was also unaware, until review of medical records, that the plaintiff had a serious knee condition. He had concluded that Pipe had mild chronic depressive illness which was not caused by the accident but which contributed to the triggering of his recurrence of depressive symptoms. He said, however, that Pipe would have had further episodes of depression notwithstanding the accident and that it was possible that this recurrence would have occurred regardless of the accident. He was in remission and generally functioning well. He also had mild symptoms of post traumatic stress which had almost disappeared by February 2007. The psychiatrist thought that Pipe would benefit from cognitive therapy; but, he would have benefited from this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plaintiff had a long standing problem with sleep apnoea. He used a machine at night and sleeping pills for many years prior to the accident. His sleep remains much as it was.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 conclude that neither the depression nor the sleep disorder was caused or exacerbated by the accident. The depression medications have remained unchanged and his general practitioner did not comment on the nature of his depression at present. He had chronic mild depression and would have had depressive episodes in any event. The situation of financial stress and substantial unemployment existed before the accident and the plaintiff was in pain since at least May 2005 from the right knee.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plaintiff twisted his ankle in the summer of 2006, causing bruising and aggravation of symptoms. Although the plaintiff wears a brace on his ankle, it is not medically recommended.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plaintiff attended physiotherapy from December 2005 to January 2007, when he stopped because of affordability. Although he found the exercises useful, he has not used a gym and does not exercise the right knee which has become more painful over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This accident had a significant emotional impact upon the plaintiff. He became despondent over his future and continuing pain. Although he enjoys excellent relations with his children and parents and is well-liked generally, his children described that he seems to have aged and lost his confidence. Motorcycling was not just a hobby but also the source of social life and stress relief for the plaintiff. He went on trips and to shows with his son and others. He did not use the money that he received for the bike to buy a new one. Instead, he used the money to finance daily living. The plaintiff and his daughter said that he watches a lot of TV now and is less active. He takes longer to perform maintenance chores around the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plaintiff went for an evaluation of his ability to drive truck in August 2006. The results of the evaluation are not in evidence. He said that his ankle was stiff afterwards and, although he did not require medication, it was so sore that he saw his general practitioner.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A physical capacity evaluation was performed in November 2006. The occupational therapist reported that range of motion for the right ankle was within normal functional limits but Pipe had discomfort sitting, standing, or walking for extended periods. He was within the lowest category for back and cardio fitness. He had difficulty crouching and kneeling and had reduced balance on the right foot. He met the requirements for limited strength work but could not qualify for work that required lifting below knee level on more than an intermittent basis. In summary, the therapist concluded that Pipe had difficulty maintaining work positions on his feet or awkward posturing of his ankles which she related to discomfort in his right foot. Although employable, it was within a limited range of occupations owing to physical restrictions particularly related to weight bearing activities such as standing, walking, or crouching. The therapist concluded that Pipe was employable as a truck driver if required to lift light loads only but not competitively employable. Sedentary work was suitable but the osteoarthritis in the foot could eventually render him incapable of any work that required him to be on his feet.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occupational therapist knew that Pipe had right knee discomfort and that he reported that his "bum" right knee could be made worse from physical activity. Nonetheless, she focused only on the ankle in her report because the medical reports that she saw dealt only with the ankle and she knew that it was the ankle that was injured in the accident. She was unaware that the plaintiff had complained about a knee problem in 2005. All subjective complaints to the therapist were related to his ankle, except at the end when Pipe also complained of back pain. The plaintiff did not tell her that he had a meniscal tear, osteoarthritis, a fractured tibia, and tendinopathy in the right knee that required surgery. When presented with this information, the therapist ultimately could not say what the source of the incapacity was. Further, the plaintiff scored in the lowest categories for trunk movements and overall fitness, completely unrelated to the ankle, which could affect his ability to perform work related activities. The therapist could not say whether the pain from crouching and related activity was related to the knee or to the ankle. She did not know, and there was no way of knowing, if Pipe had been competitively employable before the accident because he did not have full time employment prior to the accident. She conceded that Pipe could drive truck without lifting or loading on a full time basis if allowed breaks. It is clear that the occupational therapist focused only on the ankle and did not evaluate the incapacity as a result of the knee or the impact of that injury on the ankle. All of this undermines the use that can be made of her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 conclude that the plaintiff suffered a deep laceration to the tibial vessel of his right ankle and minor laceration of a tendon in the accident. Eight months after the accident, there was still some swelling and pain. The plaintiff said that he still experiences periodic swelling in his ankle after activity. He has trouble going down stairs. Although the plaintiff testified that he limps and is in daily pain at present, it is difficult to explain this situation as related solely to the laceration. The plaintiff had previous injury to his ankle that, according to Dr. Chan, would have resulted in pain over time in any event. The boney fragments indicative of arthritis on the outside of his ankle would cause problems with his tendons which could be aggravated by heavy lifting or strenuous activity. This condition pre-existed the accident but was not symptomatic at the time of the accident. It appears to have worsened since the accident as the laceration itself has healed well with no apparent residual problems after the infection resolved. The plaintiff described the present pain as in the achilles area, more related to the previous asymptomatic injury. The evidence falls short of establishing that surgery will probably be required in the future. The plaintiff also suffered mild post-traumatic shock.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plaintiff had a significant pre-existing ligament tear, which requires surgery, osteoarthritis, tendinopathy, and fracture of the right knee. Although this injury had caused pain and restriction in June 2005, the plaintiff did not specifically complain about his right knee very much after the accident, most probably because he knows that he needs surgery which, for some reason, he has not obtained and because he is motivated to focus on the right ankle. The plaintiff did not call the orthopaedic surgeon to testify about the right knee condition and Dr. Chan was not made aware of the condition so to consider its impact within his report. The right knee injury caused the plaintiff to apply for unemployment medical benefits in 2005, causes difficulty with crouching, kneeling and squatting, and has worsened in the last year. The plaintiff also suffered from depression and sleep problems prior to the accident. None of these conditions can be attributed to the accident but they continue to cause the plaintiff loss and difficulty.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plaintiff sought damages for non-pecuniary loss in the range of $75,000 to $100,000. However, the cases relied upon (</w:t>
      </w:r>
      <w:r>
        <w:rPr>
          <w:rFonts w:ascii="arial" w:eastAsia="arial" w:hAnsi="arial" w:cs="arial"/>
          <w:b/>
          <w:i/>
          <w:color w:val="000000"/>
          <w:sz w:val="20"/>
          <w:lang w:val="en-US" w:eastAsia="en-US" w:bidi="ar-SA"/>
        </w:rPr>
        <w:t>Nicoll v. Strata Plan 1611</w:t>
      </w:r>
      <w:r>
        <w:rPr>
          <w:rFonts w:ascii="arial" w:eastAsia="arial" w:hAnsi="arial" w:cs="arial"/>
          <w:color w:val="000000"/>
          <w:sz w:val="20"/>
          <w:lang w:val="en-US" w:eastAsia="en-US" w:bidi="ar-SA"/>
        </w:rPr>
        <w:t xml:space="preserve">, </w:t>
      </w:r>
      <w:hyperlink r:id="rId528" w:history="1">
        <w:r>
          <w:rPr>
            <w:rFonts w:ascii="arial" w:eastAsia="arial" w:hAnsi="arial" w:cs="arial"/>
            <w:i/>
            <w:color w:val="0077CC"/>
            <w:sz w:val="20"/>
            <w:u w:val="single"/>
            <w:shd w:val="clear" w:color="auto" w:fill="FFFFFF"/>
            <w:lang w:val="en-US" w:eastAsia="en-US" w:bidi="ar-SA"/>
          </w:rPr>
          <w:t>2005 BCSC 770</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Holder v. MacLean</w:t>
      </w:r>
      <w:r>
        <w:rPr>
          <w:rFonts w:ascii="arial" w:eastAsia="arial" w:hAnsi="arial" w:cs="arial"/>
          <w:color w:val="000000"/>
          <w:sz w:val="20"/>
          <w:lang w:val="en-US" w:eastAsia="en-US" w:bidi="ar-SA"/>
        </w:rPr>
        <w:t xml:space="preserve">, </w:t>
      </w:r>
      <w:hyperlink r:id="rId529" w:history="1">
        <w:r>
          <w:rPr>
            <w:rFonts w:ascii="arial" w:eastAsia="arial" w:hAnsi="arial" w:cs="arial"/>
            <w:i/>
            <w:color w:val="0077CC"/>
            <w:sz w:val="20"/>
            <w:u w:val="single"/>
            <w:shd w:val="clear" w:color="auto" w:fill="FFFFFF"/>
            <w:lang w:val="en-US" w:eastAsia="en-US" w:bidi="ar-SA"/>
          </w:rPr>
          <w:t>2001 BCSC 1474</w:t>
        </w:r>
      </w:hyperlink>
      <w:r>
        <w:rPr>
          <w:rFonts w:ascii="arial" w:eastAsia="arial" w:hAnsi="arial" w:cs="arial"/>
          <w:color w:val="000000"/>
          <w:sz w:val="20"/>
          <w:lang w:val="en-US" w:eastAsia="en-US" w:bidi="ar-SA"/>
        </w:rPr>
        <w:t>) involve more serious and comprehensive injuries than the plaintiff experienced here. The plaintiff also failed to realistically consider the measurable risk that the pre-existing condition of the right ankle could have detrimentally affected him in the future, regardless of the accident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laceration alone would put the plaintiff within the range of $12,000 to $15,000 in damages as suggested by the defendant (</w:t>
      </w:r>
      <w:r>
        <w:rPr>
          <w:rFonts w:ascii="arial" w:eastAsia="arial" w:hAnsi="arial" w:cs="arial"/>
          <w:b/>
          <w:i/>
          <w:color w:val="000000"/>
          <w:sz w:val="20"/>
          <w:lang w:val="en-US" w:eastAsia="en-US" w:bidi="ar-SA"/>
        </w:rPr>
        <w:t>Whitney v. University College of the Cariboo</w:t>
      </w:r>
      <w:r>
        <w:rPr>
          <w:rFonts w:ascii="arial" w:eastAsia="arial" w:hAnsi="arial" w:cs="arial"/>
          <w:color w:val="000000"/>
          <w:sz w:val="20"/>
          <w:lang w:val="en-US" w:eastAsia="en-US" w:bidi="ar-SA"/>
        </w:rPr>
        <w:t xml:space="preserve">, </w:t>
      </w:r>
      <w:hyperlink r:id="rId530" w:history="1">
        <w:r>
          <w:rPr>
            <w:rFonts w:ascii="arial" w:eastAsia="arial" w:hAnsi="arial" w:cs="arial"/>
            <w:i/>
            <w:color w:val="0077CC"/>
            <w:sz w:val="20"/>
            <w:u w:val="single"/>
            <w:shd w:val="clear" w:color="auto" w:fill="FFFFFF"/>
            <w:lang w:val="en-US" w:eastAsia="en-US" w:bidi="ar-SA"/>
          </w:rPr>
          <w:t>2004 BCSC 1110</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Pare v. Halldorson</w:t>
      </w:r>
      <w:r>
        <w:rPr>
          <w:rFonts w:ascii="arial" w:eastAsia="arial" w:hAnsi="arial" w:cs="arial"/>
          <w:color w:val="000000"/>
          <w:sz w:val="20"/>
          <w:lang w:val="en-US" w:eastAsia="en-US" w:bidi="ar-SA"/>
        </w:rPr>
        <w:t xml:space="preserve">, </w:t>
      </w:r>
      <w:hyperlink r:id="rId531" w:history="1">
        <w:r>
          <w:rPr>
            <w:rFonts w:ascii="arial" w:eastAsia="arial" w:hAnsi="arial" w:cs="arial"/>
            <w:i/>
            <w:color w:val="0077CC"/>
            <w:sz w:val="20"/>
            <w:u w:val="single"/>
            <w:shd w:val="clear" w:color="auto" w:fill="FFFFFF"/>
            <w:lang w:val="en-US" w:eastAsia="en-US" w:bidi="ar-SA"/>
          </w:rPr>
          <w:t>[1996] S.J. No. 696</w:t>
        </w:r>
      </w:hyperlink>
      <w:r>
        <w:rPr>
          <w:rFonts w:ascii="arial" w:eastAsia="arial" w:hAnsi="arial" w:cs="arial"/>
          <w:color w:val="000000"/>
          <w:sz w:val="20"/>
          <w:lang w:val="en-US" w:eastAsia="en-US" w:bidi="ar-SA"/>
        </w:rPr>
        <w:t xml:space="preserve"> (Sask. Q.B.)). However, the plaintiff's pre-existing condition of arthritis in the right ankle was not symptomatic before the accident trauma. Pipe falls within the "crumbling skull" scenario recognized in </w:t>
      </w:r>
      <w:r>
        <w:rPr>
          <w:rFonts w:ascii="arial" w:eastAsia="arial" w:hAnsi="arial" w:cs="arial"/>
          <w:b/>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65"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 35 with the recognition that there was a measurable risk that the condition would have occurred without the accident (</w:t>
      </w:r>
      <w:r>
        <w:rPr>
          <w:rFonts w:ascii="arial" w:eastAsia="arial" w:hAnsi="arial" w:cs="arial"/>
          <w:b/>
          <w:i/>
          <w:color w:val="000000"/>
          <w:sz w:val="20"/>
          <w:lang w:val="en-US" w:eastAsia="en-US" w:bidi="ar-SA"/>
        </w:rPr>
        <w:t>Banga v. Takhar</w:t>
      </w:r>
      <w:r>
        <w:rPr>
          <w:rFonts w:ascii="arial" w:eastAsia="arial" w:hAnsi="arial" w:cs="arial"/>
          <w:color w:val="000000"/>
          <w:sz w:val="20"/>
          <w:lang w:val="en-US" w:eastAsia="en-US" w:bidi="ar-SA"/>
        </w:rPr>
        <w:t xml:space="preserve">, </w:t>
      </w:r>
      <w:hyperlink r:id="rId532" w:history="1">
        <w:r>
          <w:rPr>
            <w:rFonts w:ascii="arial" w:eastAsia="arial" w:hAnsi="arial" w:cs="arial"/>
            <w:i/>
            <w:color w:val="0077CC"/>
            <w:sz w:val="20"/>
            <w:u w:val="single"/>
            <w:shd w:val="clear" w:color="auto" w:fill="FFFFFF"/>
            <w:lang w:val="en-US" w:eastAsia="en-US" w:bidi="ar-SA"/>
          </w:rPr>
          <w:t>2003 BCSC 1822</w:t>
        </w:r>
      </w:hyperlink>
      <w:r>
        <w:rPr>
          <w:rFonts w:ascii="arial" w:eastAsia="arial" w:hAnsi="arial" w:cs="arial"/>
          <w:color w:val="000000"/>
          <w:sz w:val="20"/>
          <w:lang w:val="en-US" w:eastAsia="en-US" w:bidi="ar-SA"/>
        </w:rPr>
        <w:t xml:space="preserve"> at paras. 72-74; </w:t>
      </w:r>
      <w:r>
        <w:rPr>
          <w:rFonts w:ascii="arial" w:eastAsia="arial" w:hAnsi="arial" w:cs="arial"/>
          <w:b/>
          <w:i/>
          <w:color w:val="000000"/>
          <w:sz w:val="20"/>
          <w:lang w:val="en-US" w:eastAsia="en-US" w:bidi="ar-SA"/>
        </w:rPr>
        <w:t>Ible v. Chirag</w:t>
      </w:r>
      <w:r>
        <w:rPr>
          <w:rFonts w:ascii="arial" w:eastAsia="arial" w:hAnsi="arial" w:cs="arial"/>
          <w:color w:val="000000"/>
          <w:sz w:val="20"/>
          <w:lang w:val="en-US" w:eastAsia="en-US" w:bidi="ar-SA"/>
        </w:rPr>
        <w:t xml:space="preserve">, </w:t>
      </w:r>
      <w:hyperlink r:id="rId533" w:history="1">
        <w:r>
          <w:rPr>
            <w:rFonts w:ascii="arial" w:eastAsia="arial" w:hAnsi="arial" w:cs="arial"/>
            <w:i/>
            <w:color w:val="0077CC"/>
            <w:sz w:val="20"/>
            <w:u w:val="single"/>
            <w:shd w:val="clear" w:color="auto" w:fill="FFFFFF"/>
            <w:lang w:val="en-US" w:eastAsia="en-US" w:bidi="ar-SA"/>
          </w:rPr>
          <w:t>2006 BCSC 1624</w:t>
        </w:r>
      </w:hyperlink>
      <w:r>
        <w:rPr>
          <w:rFonts w:ascii="arial" w:eastAsia="arial" w:hAnsi="arial" w:cs="arial"/>
          <w:color w:val="000000"/>
          <w:sz w:val="20"/>
          <w:lang w:val="en-US" w:eastAsia="en-US" w:bidi="ar-SA"/>
        </w:rPr>
        <w:t xml:space="preserve"> at paras. 9-10). The plaintiff would have experienced pain and disability in the right ankle eventually. In these circumstances, the plaintiff is entitled to $35,000 for non-pecuniary damages.</w:t>
      </w:r>
      <w:r>
        <w:rPr>
          <w:rFonts w:ascii="arial" w:eastAsia="arial" w:hAnsi="arial" w:cs="arial"/>
          <w:sz w:val="20"/>
          <w:lang w:val="en-US" w:eastAsia="en-US" w:bidi="ar-SA"/>
        </w:rPr>
        <w:cr/>
      </w:r>
    </w:p>
    <w:p>
      <w:pPr>
        <w:numPr>
          <w:numId w:val="2"/>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b/>
          <w:color w:val="000000"/>
          <w:sz w:val="20"/>
          <w:lang w:val="en-US" w:eastAsia="en-US" w:bidi="ar-SA"/>
        </w:rPr>
        <w:t>pecuniary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Pipe left school after completing grade eleven and was employed in a candle manufacturing plant until he injured his back. He re-trained as a truck driver, his father's profession, and obtained his class one licence in about 1975. He has maintained that licence ever since.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He went to work shuffling trailers at the same company as his father and soon was trucking sleeper team on long haul with his father. He did this for five years before the company stopped tandem truckers and ran only with singles. Pipe found day cabs rough and accepted an offer from another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He started work with Langley Freight Lines in 1981 where there was better pay and equipment. He said that he earned about $47,000 per year hauling and delivering milk throughout British Columbia on a regular route. He had a partner in the truck who shared the "swamping", loading and unloading freight, and the driving. Pipe switched to Commercial Truck and Crane, hauling trailers to Seattle, with no swamping involved, but the company closed in 1983. Pipe worked the spare board for Clark Reefer until February 1984 hauling general freight and refrigerator commodities and then secured full time employment which he held for fifteen years. During this time, he unloaded by hand at times and used a pallet jack or fork lift for freight. Due to de-certification at Clark Reefer, Pipe's wages went down in the 1990's from $19 to $17 per hour for loading freight plus mileage rates, earning him annual wages of about $43,600.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As described earlier in this judgment, Pipe was off work on disability from December 1999 to June 2002. In May 2002, Clark Reefer advised Pipe that his job was waiting for him. When he failed to return to work, his job was terminated. Pipe never contacted Clark Reefer again to find out whether there was other work available and did not look for work elsewhere. He did not consider retraining. He explained that he was unsure about the blackouts. However, there is no medical evidence to support that he could not work for this reason at this time and Pipe continued to drive cars and motorcycles.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Pipe did not work again until February 2004, short hauling demolition debris for BC Industrial Containers. This required him to climb onto the top of the load to cover it to prevent debris from flying, a process that he had no trouble with. He performed the usual checks of his truck that required him to climb under the vehicle to inspect it. He worked thirty to forty hours per week at a wage of $20 per hour with no benefits or mileage. There was a shortage of work and Pipe was laid off in December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Pipe received employment insurance from January 2005 to November 2005, including medical benefits. He said that he tried to find work with regular pay and benefits, but he could not remember where he applied for work. He was offered work with BC Industrial Containers but did not take it. Around the end of July 2005, he obtained part-time work with a friendly trucker doing spare trips for mileage only. This friend owns one truck for which he is the principal driver, making it unlikely that Pipe would obtain more work from him. He had done three trips over the month of August 2005 before the accident occurred, earning about $1,200. This was long haul with little swamping of light freight. This employer did not produce a T4, a record of employment, or cancelled cheques and was not called to testify. Pipe could not explain why he could not have worked both for BC Industrial Containers and for his friend as both appeared to be part-time. Basically, Pipe did not look for work and chose to help out a friend in August 2005 in a situation with little likelihood of regular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plaintiff applied for work with the Teamsters Local 155 in the movie industry on August 26, 2005. He said that he was called immediately to ascertain his availability for work, but Pipe had the accident over the weekend. Later, however, the plaintiff said that he had applied for work much earlier, likely in May 2005. He would have to have worked a certain number of hours before he could join the union. He was called for work in July 2006 but did not take the work or ask for details.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After the accident, Pipe did not work as a trucker again. He made no enquiries as to what might be available to him as a trucker. He has made no effort to find out what other jobs might be available for him in the trucking or any other industry, aside from an assessment by an occupational therapist in November 2006 and vocational assessment in January 2007. In April 2007, Dr. Chan reported that driving itself was not a problem but the loading and heavy work associated with being a trucker could cause difficulty. When Dr. Chan said this, he was not aware of the problem with the right knee.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 find the occupational therapy report of limited assistance when the question is whether the knee or the ankle prevented the plaintiff from working in the aftermath of the accident. Certainly, the knee condition prevented the plaintiff from crouching, squatting, and standing for long periods prior to the accident and completely disabled him from finding work two months before the accident. In the five years prior to the accident, the plaintiff worked approximately eleven months. He had changed from long haul trucking to local short haul with light duties prior to the accident. He appears to have had little motivation to go back to trucking before the accident as he did not accept work with Clark Reefer in 2002, nor with BC Industrial Containers in 2005. He did not seek employment of any kind after the accident and the evaluation of his truck driving skills and safety concerns was not in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plaintiff's assessment that he would have earned $2,500 per month over the twenty months since the accident based on evidence of having worked three trips for his friend in August 2005 and his pay over ten months in 2004 simply does not reflect the reality of the plaintiff's employment over the five years prior to the accident. Depression, stress, and anxiety disabled the plaintiff from working from 1999 to 2002. When he was presumably competitively looking for work from June 2002 to February 2004 and in 2005, he could not or did not find employment. It is highly unlikely that the plaintiff would have worked full time in the period from the accident to the trial. It is improbable that he would have worked regular part-time as he had turned down jobs that he could perform before the accident and would have taken time to become qualified for regular work within the movie business union in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last pay received was $500 to $700 per week working intermittently for a friend with no expectation of continuing employment during a time when the plaintiff felt relieved of his depression for the first time in years. The evidence established that this relief would have been short lived. In all of the circumstances and in consideration of failure to mitigate, nominal damages for past wage loss in the amount of $5,000 are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Future wage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plaintiff claimed for loss of capacity to earn income in the future in the amount of $193,810. The defendant said that the plaintiff's earning capacity remained much as it did before the accident so that no compensation was payable.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plaintiff was evaluated as a trucker in August 2006. The evaluation itself is not in evidence. Particularly, there is no support to Pipe's personal evaluation that his ankle condition rendered it "unsafe" to drive truck. Pipe said that he was able to do the work but his ankle was in pain afterwards. He said that he came to the conclusion that he could no longer do long haul trucking. He said that he would do better trucking around town as it was less stressful and permitted regular hours of sleep. I conclude that this attitude pre-dated the accident as Pipe had abandoned long haul trucking before the accident, except for the brief work for a friend, because he preferred local hauling with regular hours. But, the plaintiff also said that he came to the conclusion that he could not do any trucking because of the unreliability of his ankle. In coming to this subjective conclusion, I find that the plaintiff has ignored the reality of his right knee condition and chronic depression that prevented him from working in 2005 and previously. In an evaluation by the occupational therapist in November 2006, Pipe said that he had a "bum knee" that caused pain when doing physical activity such as crouching, kneeling, crawling, or descending stairs. Although Pipe has been told that he should have surgery on the knee, he has not done so. The knee continues to be symptomatic, including pain at night that interferes with sleep and swelling.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occupational therapist reported that Pipe was not competitively employable as a trucker because of his inability to lift beyond the light strength category. She agreed that he could perform light sedentary work and was able to drive a truck if he could stretch his foot at intervals. Dr. Chan said that the injuries from the accident did not prevent the plaintiff from prolonged driving but could cause difficulty with loading and unloading cargo and conducting usual truck maintenance. This was stated before the doctor considered the condition of the right knee that, he concluded, would cause discomfort with kneeling, crouching, and standing. He also said that the arthritis in the right ankle would have been aggravated by heavy lifting and strenuous activity.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plaintiff had looked for light trucking work competitively in 2005 before the accident and had not found work except for a friend. The pre-existing knee condition, chronic depression, and latent right ankle arthritis affected the plaintiff's capacity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A vocational consultant discussed the various factors in the plaintiff's vocational profile, including Dr. Chan's report concerning the ankle, the restrictions found by the occupational therapist, the chronic depression, and the plaintiff's age and education. He concluded the likelihood of Pipe finding work as a truck driver to be small. When this conclusion was reached, the consultant had not been told of the right knee condition, was unaware that the plaintiff had secured medical disability benefits from unemployment insurance in 2005, and was not told that the plaintiff had turned down work in 2005 from a previous employer. The consultant assumed that all limitations referred to the ankle injury. Given his education and age, he was not a good candidate for retraining. He could, however, likely find part-time work as a chauffeur/driver with earning potential lower than a truck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In terms of fitness for work and ability to pursue a vocation, Pipe was already unfit for certain kinds of employment before the accident due to age, limited education, the right knee condition, latent arthritis in the right ankle, chronic depression, and sleep problems. I conclude that the accident did not further impair Pipe's ability to work except for the short period of absolute disability and a limited time thereafter for which he has already been compensated. This situation is similar to that in </w:t>
      </w:r>
      <w:r>
        <w:rPr>
          <w:rFonts w:ascii="arial" w:eastAsia="arial" w:hAnsi="arial" w:cs="arial"/>
          <w:b/>
          <w:i/>
          <w:color w:val="000000"/>
          <w:sz w:val="20"/>
          <w:lang w:val="en-US" w:eastAsia="en-US" w:bidi="ar-SA"/>
        </w:rPr>
        <w:t>Downey v.</w:t>
      </w:r>
      <w:r>
        <w:rPr>
          <w:rFonts w:ascii="arial" w:eastAsia="arial" w:hAnsi="arial" w:cs="arial"/>
          <w:b/>
          <w:color w:val="000000"/>
          <w:sz w:val="20"/>
          <w:lang w:val="en-US" w:eastAsia="en-US" w:bidi="ar-SA"/>
        </w:rPr>
        <w:t xml:space="preserve"> Brousseau</w:t>
      </w:r>
      <w:r>
        <w:rPr>
          <w:rFonts w:ascii="arial" w:eastAsia="arial" w:hAnsi="arial" w:cs="arial"/>
          <w:color w:val="000000"/>
          <w:sz w:val="20"/>
          <w:lang w:val="en-US" w:eastAsia="en-US" w:bidi="ar-SA"/>
        </w:rPr>
        <w:t xml:space="preserve">, </w:t>
      </w:r>
      <w:hyperlink r:id="rId534" w:history="1">
        <w:r>
          <w:rPr>
            <w:rFonts w:ascii="arial" w:eastAsia="arial" w:hAnsi="arial" w:cs="arial"/>
            <w:i/>
            <w:color w:val="0077CC"/>
            <w:sz w:val="20"/>
            <w:u w:val="single"/>
            <w:shd w:val="clear" w:color="auto" w:fill="FFFFFF"/>
            <w:lang w:val="en-US" w:eastAsia="en-US" w:bidi="ar-SA"/>
          </w:rPr>
          <w:t>2007 BCSC 149</w:t>
        </w:r>
      </w:hyperlink>
      <w:r>
        <w:rPr>
          <w:rFonts w:ascii="arial" w:eastAsia="arial" w:hAnsi="arial" w:cs="arial"/>
          <w:color w:val="000000"/>
          <w:sz w:val="20"/>
          <w:lang w:val="en-US" w:eastAsia="en-US" w:bidi="ar-SA"/>
        </w:rPr>
        <w:t xml:space="preserve"> at para. 89 (</w:t>
      </w:r>
      <w:r>
        <w:rPr>
          <w:rFonts w:ascii="arial" w:eastAsia="arial" w:hAnsi="arial" w:cs="arial"/>
          <w:b/>
          <w:i/>
          <w:color w:val="000000"/>
          <w:sz w:val="20"/>
          <w:lang w:val="en-US" w:eastAsia="en-US" w:bidi="ar-SA"/>
        </w:rPr>
        <w:t>Downey</w:t>
      </w:r>
      <w:r>
        <w:rPr>
          <w:rFonts w:ascii="arial" w:eastAsia="arial" w:hAnsi="arial" w:cs="arial"/>
          <w:color w:val="000000"/>
          <w:sz w:val="20"/>
          <w:lang w:val="en-US" w:eastAsia="en-US" w:bidi="ar-SA"/>
        </w:rPr>
        <w:t>) when Martinson J. concluded that there was no difference between the plaintiff's original position and his injured position. I cannot find that the accident negatively impacted Pipe's ability to earn an income. This is especially so when it is considered that the laceration itself has healed and that the triggering of the latent arthritis would have occurred in any event eventually, the exact timing of which is impossible to say except that it could have been triggered by heavy lifting or strenuous activity. Pipe's ability to perform work was already significantly compromised.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However, there is the fourth factor in </w:t>
      </w:r>
      <w:r>
        <w:rPr>
          <w:rFonts w:ascii="arial" w:eastAsia="arial" w:hAnsi="arial" w:cs="arial"/>
          <w:b/>
          <w:i/>
          <w:color w:val="000000"/>
          <w:sz w:val="20"/>
          <w:lang w:val="en-US" w:eastAsia="en-US" w:bidi="ar-SA"/>
        </w:rPr>
        <w:t>Kwei v. Boisclair</w:t>
      </w:r>
      <w:r>
        <w:rPr>
          <w:rFonts w:ascii="arial" w:eastAsia="arial" w:hAnsi="arial" w:cs="arial"/>
          <w:color w:val="000000"/>
          <w:sz w:val="20"/>
          <w:lang w:val="en-US" w:eastAsia="en-US" w:bidi="ar-SA"/>
        </w:rPr>
        <w:t xml:space="preserve"> </w:t>
      </w:r>
      <w:hyperlink r:id="rId535" w:history="1">
        <w:r>
          <w:rPr>
            <w:rFonts w:ascii="arial" w:eastAsia="arial" w:hAnsi="arial" w:cs="arial"/>
            <w:i/>
            <w:color w:val="0077CC"/>
            <w:sz w:val="20"/>
            <w:u w:val="single"/>
            <w:shd w:val="clear" w:color="auto" w:fill="FFFFFF"/>
            <w:lang w:val="en-US" w:eastAsia="en-US" w:bidi="ar-SA"/>
          </w:rPr>
          <w:t>(1991), 60 B.C.L.R. (2d) 393</w:t>
        </w:r>
      </w:hyperlink>
      <w:r>
        <w:rPr>
          <w:rFonts w:ascii="arial" w:eastAsia="arial" w:hAnsi="arial" w:cs="arial"/>
          <w:color w:val="000000"/>
          <w:sz w:val="20"/>
          <w:lang w:val="en-US" w:eastAsia="en-US" w:bidi="ar-SA"/>
        </w:rPr>
        <w:t xml:space="preserve"> (C.A.) to consider which was not directly approached in </w:t>
      </w:r>
      <w:r>
        <w:rPr>
          <w:rFonts w:ascii="arial" w:eastAsia="arial" w:hAnsi="arial" w:cs="arial"/>
          <w:b/>
          <w:i/>
          <w:color w:val="000000"/>
          <w:sz w:val="20"/>
          <w:lang w:val="en-US" w:eastAsia="en-US" w:bidi="ar-SA"/>
        </w:rPr>
        <w:t>Downey</w:t>
      </w:r>
      <w:r>
        <w:rPr>
          <w:rFonts w:ascii="arial" w:eastAsia="arial" w:hAnsi="arial" w:cs="arial"/>
          <w:color w:val="000000"/>
          <w:sz w:val="20"/>
          <w:lang w:val="en-US" w:eastAsia="en-US" w:bidi="ar-SA"/>
        </w:rPr>
        <w:t>. This asks whether the plaintiff is less valuable to himself as a person capable of earning income in a competitive labour market. Although I have concluded that the plaintiff did not really want heavy long distance work as a trucker prior to the accident and suffered from definite inability as previously described, he remained confident that he could obtain work. This confidence has dissipated since the accident as testified to by his children and the plaintiff. The accident 'put him over the top' in terms of his ability to search for and obtain work. In this circumstance, reasonable compensation for this minor loss is $5,000.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parties agreed that special damages are payable for ambulance, bandages, physiotherapy, and prescription costs in the total amount of $3,310.95. In addition, I find that the one MRI ordered by Dr. Chan is recoverable in the amount of $1,000. The costs for the ankle brace are not awarded as it was not medically recommended. The driving school evaluation and vocational assessment are related to litigation expense and are not special damages. The total awarded for special damages is $4,310.05.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Future Cost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plaintiff sought the costs of cognitive therapy as recommended by the psychiatrist. This, however, was for chronic depression, not caused by the accident. Dr. Chan noted that sporadic use of painkillers and anti-inflammatories would be required into the future. I allocate $1,500 for this future cost. I also allocate $2,400 for one year of physiotherapy. Although there was no specific recommendation for continuation of physiotherapy, the plaintiff stopped it in January 2007 due to affordability at a time when it was recommended and he found benefit from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damages awarded to the plaintiff are $35,000 for non-pecuniary loss, $5,000 for past wage loss, $5,000 for loss of future earning capacity, $4,310.05 for special damages, and $3,900 for future cost of care. Total damages are $53,210.05 of which the plaintiff shall receive eighty percent.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plaintiff is entitled to costs on the scale of B but either party is at liberty to bring the matter of costs before the court, if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J.R. DILLON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49" style="position:absolute;z-index:25183744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36"/>
          <w:headerReference w:type="default" r:id="rId537"/>
          <w:footerReference w:type="even" r:id="rId538"/>
          <w:footerReference w:type="default" r:id="rId539"/>
          <w:headerReference w:type="first" r:id="rId540"/>
          <w:footerReference w:type="first" r:id="rId54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42" w:history="1">
        <w:r>
          <w:rPr>
            <w:rFonts w:ascii="arial" w:eastAsia="arial" w:hAnsi="arial" w:cs="arial"/>
            <w:b/>
            <w:bCs/>
            <w:i/>
            <w:color w:val="0077CC"/>
            <w:kern w:val="32"/>
            <w:sz w:val="28"/>
            <w:szCs w:val="32"/>
            <w:u w:val="single"/>
            <w:shd w:val="clear" w:color="auto" w:fill="FFFFFF"/>
            <w:lang w:val="en-US" w:eastAsia="en-US" w:bidi="ar-SA"/>
          </w:rPr>
          <w:t>Pope v. Williams, [2001] B.C.J. No. 2752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Courtenay,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Singh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23 - 25,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4,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Courtenay Registry No. S5390</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[2001] B.C.J. No. 2752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2001 BCSC 1657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111 A.C.W.S. (3d) 64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Joan Diane Pope, plaintiff, and Charles Donald Williams,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50" style="position:absolute;z-index:2516848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73" w:name="Keywords_25"/>
      <w:bookmarkEnd w:id="173"/>
      <w:r>
        <w:rPr>
          <w:rFonts w:ascii="arial" w:eastAsia="arial" w:hAnsi="arial" w:cs="arial"/>
          <w:b/>
          <w:color w:val="000000"/>
          <w:sz w:val="20"/>
          <w:lang w:val="en-US" w:eastAsia="en-US" w:bidi="ar-SA"/>
        </w:rPr>
        <w:t>Damages — Limits of compensatory damages — Predisposition to damage (thin skull rule) — "Thin skull" or "crumbling skull" — Personal injury, victim's physical condition — Special damages — Loss of wages, deductions (including income tax and contingencies) — General damages for personal injury — Pain and suffering, loss of amenities and other nonpecuniary damages — Impairment of earning capacity — Prospective loss of wages or earnings — Pre-trial loss of wages or earning — Calculation and method of assessment, contingencies, deduction for.</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74" w:name="Case Summary_23"/>
            <w:bookmarkEnd w:id="17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was an action by the plaintiff, Pope, for damages for injuries she suffered in a motor vehicle accident when the defendant, William, rear ended Pope's car. Pope sought damages for non-pecuniary loss, past income loss, and loss of future earning capacity. Liability was admitted. The issue was the quantum of damages. Pope's main complaint was that lower back pain she experienced in the accident got progressively worse and greatly interfered with all of her activities and her employment. Pope was a 54-year-old nurse and was very active. She was unable to return to work as a nurse and experts indicated she would only be able to work part-time in any future job. Her loss of future earnings, and pension and other benefits was calculated to be $623,000. Pope had suffered several work related back injuries in the years before the accident. Williams argued that the damage amount should be reduced due to Pope's pre-existing back problems.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75" w:name="Holdings of Court_19"/>
            <w:bookmarkEnd w:id="175"/>
            <w:r>
              <w:rPr>
                <w:rFonts w:ascii="arial" w:eastAsia="arial" w:hAnsi="arial" w:cs="arial"/>
                <w:color w:val="000000"/>
                <w:sz w:val="20"/>
                <w:lang w:val="en-US" w:eastAsia="en-US" w:bidi="ar-SA"/>
              </w:rPr>
              <w:t>HELD: Non-pecuniary damages of $48,000 were awarded.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accident had a devastating effect on Pope's emotional and physical well-being. She was unable to participate in almost all of her recreational activities. A reasonable award was $80,000, but damages were reduced by 40 per cent due to Pope's pre-existing condition manifest at the time of the accident. Past wage loss of $76,000 was awarded. Damages for loss of future income were assessed at $345,000. Given Pope's age and restricted capabilities, employment possibilities were few. But for the accident, Pope could have returned to her work. Damages were reduced to reflect the contingency that Pope could work part-time, and the fact that her pre-existing condition would likely at some point have precluded her from working full-time or until she reached retirement age.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76" w:name="Counsel_25"/>
      <w:bookmarkEnd w:id="17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51" style="position:absolute;z-index:2517360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J.S. Godfrey and R. Bush, for the plaintiff. M.S. Kelly, for the defendant.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77" w:name="Judgment_25"/>
      <w:bookmarkEnd w:id="177"/>
      <w:r>
        <w:pict>
          <v:line id="_x0000_s1152" style="position:absolute;z-index:251787264"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5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78" w:name="SINGH J."/>
            <w:bookmarkEnd w:id="178"/>
            <w:r>
              <w:rPr>
                <w:rFonts w:ascii="arial" w:eastAsia="arial" w:hAnsi="arial" w:cs="arial"/>
                <w:b/>
                <w:color w:val="000000"/>
                <w:sz w:val="30"/>
                <w:lang w:val="en-US" w:eastAsia="en-US" w:bidi="ar-SA"/>
              </w:rPr>
              <w:t>SINGH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plaintiff's claim is for damages for injuries she suffered in a motor vehicle accident on the 2nd of October 1999. Liability is admitted. She seeks an award of damages to compensate her for non-pecuniary loss, past income loss, special damages and 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was travelling south from Courtenay to Cumberland in her 1988 Delta Oldsmobile. She had a 68 year-old passenger with her. She had stopped to yield to traffic that may be travelling from her left before entering the through highway. She had leaned forward and was looking to the left over her shoulder for any oncoming traffic when she was, without any warning, severely rear ended by the defendant's pick-up 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Immediately after the impact she experienced a weird sensation from the top of her head to the base of her tail bone together with pain in the neck, pain in the lower back and a burning sensation between the shoulders. She was taken by ambulance to the emergency department of St. Joseph's Hospital in Comox. Once at the hospital x-rays were taken and she was prescribed medication and released. Some three to four days later she saw her doctor. She was experiencing extreme low back pain and a solid stiff neck that precluded any movement. Thereafter her chief complaint was that her low back pain got progressively worse and that the pain greatly interfered with all of her activities and her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PRE-ACCIDENT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is 54 years old. She and her common law husband of some 16 years live in Cumberland, British Columbia, on a small acreage. They also own rental properties. Despite her being overly heavy set she has been a very active individual. She socialized, held barbecues, went fishing, golfing, walking, boating, travelling, and played bingo, softball and fastball. She assisted her husband in snow plowing, landscaping, lawn mowing, gardening and did all of the normal household duties. She completed grade 12 and her employment history has included work at the following jobs: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124"/>
        <w:gridCol w:w="2091"/>
        <w:gridCol w:w="261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01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Industrial first aid attendant</w:t>
            </w:r>
          </w:p>
        </w:tc>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9 years</w:t>
            </w:r>
          </w:p>
        </w:tc>
        <w:tc>
          <w:tcPr>
            <w:tcW w:w="256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8"/>
        <w:gridCol w:w="4496"/>
        <w:gridCol w:w="2718"/>
        <w:gridCol w:w="261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40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Heavy Duty Mechanic</w:t>
            </w:r>
          </w:p>
        </w:tc>
        <w:tc>
          <w:tcPr>
            <w:tcW w:w="266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 year</w:t>
            </w:r>
          </w:p>
        </w:tc>
        <w:tc>
          <w:tcPr>
            <w:tcW w:w="2560"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40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Driver of Coffee Truck</w:t>
            </w:r>
          </w:p>
        </w:tc>
        <w:tc>
          <w:tcPr>
            <w:tcW w:w="266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12 years</w:t>
            </w:r>
          </w:p>
        </w:tc>
        <w:tc>
          <w:tcPr>
            <w:tcW w:w="256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346"/>
        <w:gridCol w:w="3869"/>
        <w:gridCol w:w="261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Cashier</w:t>
            </w:r>
          </w:p>
        </w:tc>
        <w:tc>
          <w:tcPr>
            <w:tcW w:w="378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 to 3 years</w:t>
            </w:r>
          </w:p>
        </w:tc>
        <w:tc>
          <w:tcPr>
            <w:tcW w:w="256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555"/>
        <w:gridCol w:w="3660"/>
        <w:gridCol w:w="261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Waitress</w:t>
            </w:r>
          </w:p>
        </w:tc>
        <w:tc>
          <w:tcPr>
            <w:tcW w:w="358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 months</w:t>
            </w:r>
          </w:p>
        </w:tc>
        <w:tc>
          <w:tcPr>
            <w:tcW w:w="256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019"/>
        <w:gridCol w:w="2196"/>
        <w:gridCol w:w="261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91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Labourer in various sawmills</w:t>
            </w:r>
          </w:p>
        </w:tc>
        <w:tc>
          <w:tcPr>
            <w:tcW w:w="215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 year</w:t>
            </w:r>
          </w:p>
        </w:tc>
        <w:tc>
          <w:tcPr>
            <w:tcW w:w="256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078"/>
        <w:gridCol w:w="3137"/>
        <w:gridCol w:w="261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99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Inventory Clerk</w:t>
            </w:r>
          </w:p>
        </w:tc>
        <w:tc>
          <w:tcPr>
            <w:tcW w:w="307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 years</w:t>
            </w:r>
          </w:p>
        </w:tc>
        <w:tc>
          <w:tcPr>
            <w:tcW w:w="2560"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99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Courier Driver</w:t>
            </w:r>
          </w:p>
        </w:tc>
        <w:tc>
          <w:tcPr>
            <w:tcW w:w="307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 year</w:t>
            </w:r>
          </w:p>
        </w:tc>
        <w:tc>
          <w:tcPr>
            <w:tcW w:w="256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8"/>
        <w:gridCol w:w="3973"/>
        <w:gridCol w:w="3241"/>
        <w:gridCol w:w="261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89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Farm Labourer</w:t>
            </w:r>
          </w:p>
        </w:tc>
        <w:tc>
          <w:tcPr>
            <w:tcW w:w="317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 years</w:t>
            </w:r>
          </w:p>
        </w:tc>
        <w:tc>
          <w:tcPr>
            <w:tcW w:w="256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1988, because she had enjoyed the work as a first aid attendant she enrolled in the nurses training program at the College of New Caledonia in Prince George. She graduated as a nurse in December 1990. In May 1991, she commenced working as a registered nurse at St. Joseph's Hospital. She was stationed on the 3rd Floor. The 3rd Floor is described as the acute medical work horse floor consisting of 36 patients, many of whom are long term heavy patients suffering from various illnesses including strokes, cancer, heart problems, AIDs, recovering alcoholics, terminally ill and unable to care for themselves in their daily living activities. In addition to the normal nursing duties, nurses on this floor are required to lift and transfer patients. This involves constant bending.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evidence indicates that because of the nature of the work on this floor practically all of the nurses experienced low back problems, the most serious of which caused the nurses to be off work for some length of time and to enter into a work re-entry rehabilitative program. Furthermore, by reason of the Union contract the employer is obliged to accommodate nurses who have injured themselves on the job by providing them with less strenuous duties at the hospital, at the same rate of pay that that nurse received at the time of the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At the time of the accident the plaintiff worked 1879 hours a year and was earning $25.98 per hour. Her salary would have increased as of October 1, 2001, to $29.70 per hour and as of April 1, 2002, to $32.42 per hour. In addition, she would have received the usual shift differential payment.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 suffered work related back problems in November 1994, June 1996, June 1998 and December 26, 1998. The plaintiff had missed 14 days of work in total, nine of which were as a result of the December 1998 back injury. She returned to work on January 19, 1999, and worked continuously until March 23, 1999. On March 23, 1999, while she was repositioning a patient in bed by lifting and pulling him, she felt a sudden pain in the mid-lower back that got progressively worse during her 12-hour shift. The injury caused her to walk bent forward. She has been off work since then up to the present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For the first few months following the March work injury she experienced pain on the left side of her lower back and leg. Besides taking the usual medication for pain she received physiotherapy treatment in her recovery regime. In May 1999, she entered the Rehab in Motion program where she was taught how to lift and how to protect her back. She also participated in a gym exercise program for four hours a day for five days a week. This program involved her using the treadmill, exercises, lifting and pulling weights. Additionally, she was able to go for walks covering some four and a half kilometres. She was able to sit for at least an hour without moving her position and without pain. Her recovery progressed. By the summer of 1999 she had very little pain and could do gardening and weeding, including lawn mowing. If the weeding required lots of bending she did experience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May and July of 1999, she made two attempts to go back to work following her participation in the Rehab in Motion work hardening and work able-ing program. She was anxious to return to work. She thought that if she could do the work of a lay practical nurse including all of the heavy nursing duties, for a period of two hours, then she felt confident that she would be able to return to her normal 12-hour shift work on the 3rd Floor. She was unable to do so. Her pain level would increase to three or beyond out of a maximum of ten. Her family doctor ordered a CT scan which was done on August 27, 1999. The results of the scan showed that the plaintiff had extensive low lumbar degeneration disc disease. By September 1999, she was able to walk three or four miles, stand for unlimited periods, sit at bingo for six hours without taking any pain relief medication and was able to do gardening. She continued to experience some pain on forward bending. Out of precaution she did not play golf or fastball or softball but had returned to all of her normal activities including the performance of her household duties.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She testified that her pain level was one out of a maximum of ten. However, her most serious disability was the forward flexion and forward bending which caused her pain level to increase to three or more out of a maximum of ten. Such pain required her to take Tylenol 3 and rest for lengthy periods of time. The requirement for forward flexion, bending and heavy lifting was the single cause for her failed attempts to return to work in May and July 1999. She was scheduled to see Dr. Jarman of the Workers' Compensation Board on October 4, 1999, for an assessment with respect to her progress and future return to her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accident occurred on October 2, 1999. She attended upon Dr. Jarman on October 4, 1999, for an assessment. She disclosed to him the fact of the accident and the consequences upon her. Dr. Jarman then terminated all of her Workers' Compensation benefits and the disability payments of 75% of her wages.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consequences of the motor vehicle accident were very serious. After the accident the plaintiff suffered from a constant diagonally bi-lateral sharp pain across the lower back that radiated down the left buttock. Initially she was unable to do any activity including any of the housework or cooking. She tried all of the treatment modalities including physiotherapy, acupuncture, massage therapy, therapy from a kinesiologist, exercises at home and at the gym and treatment from Rehab in Motion. She took Tylenol 3 for extreme pain. She took Flexorall, Ibprophen and Advil. She used the hot tub and ice packs and initially was unable to do any exercises. By November/December 1999, she had more mobility in her neck and intermittent pain in the left leg. By Spring 2000, her pain level had decreased to a level of four out of ten. By then she was attending physiotherapy treatments that included traction and other modalities to increase her activity level. She also did home exercises including back strengthening requiring her to walk up and down stairs. These helped to decrease her level of pain to a scale of three. Her pain level remained constant at a level three. On occasion, depending on the activity, the pain fluctuated upwards to seven. Any shopping, light housekeeping such as washing dishes or dusting, or walking some four blocks, elevated her pain. She would have to stop and rest for one to two hours. Once her pain level decreased to level three she would go back to whatever activity she was doing. If she walked a distance of some eight blocks she would suffer from muscle spasms and a shortness of breath and her pain level would increase to the extent that she would have to take a few days off before the pain level decreased to the constant level of three.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From the time of the accident up to the present the plaintiff has not experienced a single day without lower back pain at a level three. She is now able to sit for a half hour to three quarters of an hour. Thereafter, she is required to stand and move about with an escalation of pain. If she is required to stand for any length of time, she has to seek support by using something to lean on or against.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During November to December 2000, the plaintiff tried to work as a unit clerk on the 3rd Floor for six weeks. This did not involve any forward bending or flexion. It was an attempt to assess her for sedentary light nursing duties at the hospital. She worked four hours per shift on alternate days. The duties involved her sitting for periods up to 30 minutes processing orders and answering telephones. This also involved getting up and down and moving to retrieve file charts and orders. She did this over a period of six weeks. However, even this type of light duty work resulted in the plaintiff being unable to do anything else after the shift. Towards the latter part of the six week period, her pain level increased. The increase in pain caused her to ingest Tylenol 3 more frequently. This further complicated her job performance in that it caused her to make mistakes.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Similarly, in January 2001, she again job shadowed as a pre-admission clinic nurse. This job did not entail any lifting or flexion but required walking a distance of some 100 feet to bring patients from the waiting room to the clinic and to drop off reports to other areas in the hospital. The job also entailed 30 to 60 minute intervals of sustained sitting for telephone interviews. In the first two weeks she was only able to work four-hour shifts over two days. She was not able to perform the duties. Her back pain increased to level five. After she failed to perform the work of a pre-admission clinic nurse the employer decided she should no longer be involved in rehabilitation. They determined she was not suitable for any occupation at the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plaintiff is now severely restricted in her activities. She no longer goes out boating or fishing or travelling long distances nor does she play golf, softball or fastball. She is able to do the lighter housekeeping chores such as washing, cooking, dusting. She is able to do a negligible amount of vacuuming which requires her to stand leaning against something for support and moving the vacuum from such a stationary position back and forth.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 have had the opportunity of observing the plaintiff when she testified at this trial. Clearly she is a stoic individual. However, it was obvious that after sitting for a very short time and thereafter she suffered extreme discomfort and pain. The pain required her to lean for support on the witness box and move around outside the witness box to seek relief. The pain and discomfort was so overpowering that she frequently teared. I wholly accept that she feels less useful and less productive and gets frustrated, angry and discouraged and has lost her self-esteem. Despite these devastating effects she is still hopeful that she will get better notwithstanding the tremendous odds against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 also heard evidence from Ms. Beverley Galli, a close friend of the plaintiff and Mr. Hartley Campbell, the plaintiff's common law husband of 16 years. Both described the plaintiff as physically active and involved in a variety of recreational activities prior to the accident. Ms. Galli and Mr. Campbell testified that the plaintiff no longer socialized to the same extent after the accident. Both witnesses testified that the plaintiff experienced significant pain following the October 2, 1999, accident. Mr. Campbell referred to the pain as constant. While Ms. Galli stated that the plaintiff was unable to sit for any length of time. Mr. Campbell also testified that the plaintiff was unable to do much of the housework.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evidence of Kathryn Binns was received by video deposition. She is a registered nurse employed at St. Joseph's Hospital and she is the Union shop steward. She described the plaintiff as very hardworking, conscientious, with a good work attitude, well liked and was lots of fun. A meeting of the Return to Work Committee of the Hospital, of which Ms. Binns was a member was scheduled to organize the plaintiff's return to work. This meeting was interrupted by the motor vehicle accident. Ms. Binns testified that back and shoulder problems are common as recurring problems in the nursing profession. Because the plaintiff was unable to work for a period in excess of two hours there were no other employment opportunities available to her at the hospital. She also testified that the mandatory retirement age as a nurse is age 65.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Kitty Thomas is also a registered nurse and has worked with the St. Joseph's Hospital since 1989 on the 3rd Floor. She is also a preceptor for nurses in training and has been such since 1985. The plaintiff was one of those trainee nurses under her supervision. She found the plaintiff, who was valedictorian for her class, to be extremely capable, bright, mature, confident, focussed in advancing her knowledge and her job performance. The plaintiff had strong abilities as a nurse, was respected and completed her tasks ahead of time so as to be able to help others. She too said that back injury is extremely common in the nursing profession. The back injuries require nurses to take time off to work through this disability through the Workers' Compensation Board Rehabilitation Program and appropriate care and medication. She saw the plaintiff at the hospital after the motor vehicle accident and found that there was a marked change in her posture. Her gait was very slow. The plaintiff was stooped forward and had difficulty sitting and rising. She was present when the plaintiff work shadowed as a unit clerk and recalled the plaintiff giving her best effort but experiencing difficulty after performing the duties for two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PLAINTIFF'S MEDICAL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Dr. Richard Helmer has been the plaintiff's family doctor for over 10 years. In his medical report of April 23, 2001, he stated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a work colleague, I witnessed Joan's attempt to retrain into a more sedentary hospital job during the period of November to December 2000. As you know, Joan was recovering from a Workers' Compensation injury occurring on the job March 23, 1999. Prior to that, I am sure her x-rays would have shown evidence of degenerative disc disease in the lumbar spine; however, with the exception of two shifts missed in December 1998 with low back pain, she had no daily pain and has had no periods of disability related to her back, following her off-work injury in March 1999.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was a willing participant in the usual recovery measures, initially involving rest and physiotherapy, and then slowly advancing physio. At the end of September 1999, she was on the verge of going to a work conditioning program. Her functional abilities at that time were fairly well known. She could walk on a treadmill for 3 to 4 kilometers, pull 350 pounds, lift 100 pounds [I think that Dr. Helmer is in error as the records indicate that she was able to lift 10 pounds.] Her biggest problem at that time was related to forward flexion, in that any period of forward flexion, particularly under load, produced back pain quite quickly. This was an ongoing concern since work activities require a forward lean over patients and their beds, etc. She quite clearly did not have pain to any great extent and her pain level, to her own recollection, was about 1 out of 10 prior to her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Following her accident her functional abilities did and have remained substantially less than prior to this accident. She cannot stand, sit, or walk for long without pain. I watched her try to "shadow" several sedentary jobs at St. Joseph's Hospital, and it was clear to me that even casual observation showed she was having considerable discomfort. She was, in fact, unable to do more than 3 to 4 hours of these sedentary jobs on alternate days only because of the pain that they stirred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He concluded by stating: "I would have to say that based on current observations, her ability to return to work at any occupation is in doubt."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Dr. Helmer, because of a change in the nature of the complaints and the difference in the complaints of pain, ordered a bone x-ray and also a CT scan on February 11, 2000, so as to eliminate any compression fracture that she may have sustained. There was no change to the degenerative status as compared to the CT scan of August 1999, pre-accident. This finding, however, is not a measure of functional performance or the nature of the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Dr. Lynne MacKean is a specialist in physical medicine and rehabilitation. She saw the plaintiff on the February 7, 2001 and July 17, 2001. Dr. MacKean confirmed that the plaintiff had significant degenerative disc disease as disclosed by the CT scans. Because the plaintiff had no significant complaints of back pain prior to the injury in March 1999, she would classify the plaintiff's problem as an aggravation of a pre-existing condition with both the work related injury of March 23, 1999, and the motor vehicle accident of October 2, 1999. The two in combination have contributed to the ongoing back pain experienced by the plaintiff. In her examination of the plaintiff she objectively found that the plaintiff had restricted movement to the neck and the shoulders but without pain in any movement. In the penultimate paragraph of her report of July 17, 2001, she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 regards to separating out the WCB-related back problem and the increased back pain following the motor vehicle accident. I feel that she probably would have been able to return to work in a nursing position following her rehabilitation from the work-related injury, although she may have needed to go into a lighter-duty nursing position, such as day surgery. I do feel that her back problem has been worse following the motor vehicle accident, and this is what has prevented her from returning to gainful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Dr. D. Hemmerich is the medical advisor to the Workers' Compensation Board. He saw the plaintiff on July 24, 2000. He made the observation that the plaintiff could walk on her heels but that created pain in her low back. He found that she is able to descend into a deep knee bend but is unable to duck walk steps. Palpitation elicited tenderness in the soft tissue of the lower lumbar region, particularly on the left side. He concluded that there were no objective findings of impairment on examination and that her ongoing symptoms were in keeping with the mechanical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 agree with Dr. Helmer when he testified that he didn't understand what Dr. Hemmerich meant when he said that there were no objective findings of impairment. He did make objective findings of impairment by his observation and examination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plaintiff was also seen on April 28, 2000, by Dr. N.K. Reebye, a specialist in physical medicine and rehabilitation. At the request of the defendant for an independent medical examination, Dr. Reebye found restricted movement of the head and neck. He found that movement of her lumber spine was limited in flexion and that extension of her lumbar spine was full. On palpitation, tenderness was worse at the lower part of her back. It was his opinion that the accident of the October 2, 1999, caused soft tissue injuries which would have healed within a very short period of time. In his opinion her ongoing complaints were as a result of the pre-existing extensive degenerative disc disease and the previous injuries at work. Both Drs. Helmer and MacKean disagreed with the conclusions reached by Dr. Reebye. I prefer their evidence over that of Dr. Reebye. Dr. Reebye attempted to isolate and compartmentalize the various factors without any consideration as to the interplay amongst the factors that have made the plaintiff actively symptomatic.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The essential purpose of tort law is that the plaintiff must be placed in the position she would have been, absent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However, the plaintiff must not be placed in a position better than her original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In this case, liability is admitted.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"materially contributed" to the occurrence of the plaintiff's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The leading case in determining causation is Athey v. Leonati, </w:t>
      </w:r>
      <w:hyperlink r:id="rId65"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In the recent decision of W.R.B. v. Plint, </w:t>
      </w:r>
      <w:hyperlink r:id="rId543" w:history="1">
        <w:r>
          <w:rPr>
            <w:rFonts w:ascii="arial" w:eastAsia="arial" w:hAnsi="arial" w:cs="arial"/>
            <w:i/>
            <w:color w:val="0077CC"/>
            <w:sz w:val="20"/>
            <w:u w:val="single"/>
            <w:shd w:val="clear" w:color="auto" w:fill="FFFFFF"/>
            <w:lang w:val="en-US" w:eastAsia="en-US" w:bidi="ar-SA"/>
          </w:rPr>
          <w:t>[2001] B.C.J. No. 1446</w:t>
        </w:r>
      </w:hyperlink>
      <w:r>
        <w:rPr>
          <w:rFonts w:ascii="arial" w:eastAsia="arial" w:hAnsi="arial" w:cs="arial"/>
          <w:color w:val="000000"/>
          <w:sz w:val="20"/>
          <w:lang w:val="en-US" w:eastAsia="en-US" w:bidi="ar-SA"/>
        </w:rPr>
        <w:t xml:space="preserve"> (B.C.S.C.), the Court summarized Athey, supra,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Athey at paras. 13-15, 23, the Supreme Court set out the following principles to be applied in determining causation: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Causation is established where the plaintiff proves to the civil standard on a balance of probabilities that the defendant caused or contributed to the injury.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general, but not conclusive test for causation is the "but for" test, which requires the plaintiff show that the injury would not have occurred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"but for" test is unworkable in some circumstances, so the courts have recognized that causation is established where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"materially contributed" to the occurrence of the injury.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Apportionment between tortious and non-tortious causes is contrary to the principles of tort law, because the defendant would escape full liability even though he or she caused or contributed to the plaintiff's entire injuries. The plaintiff would not be adequately compensated, since the plaintiff would not be placed in the position he or she would have been absent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pre-disposition to a problem is not sufficient to diminish liability. The Court continued a para 34-35 to note that the 'thin skull' rule makes: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tortfeasor liable for the plaintiff's injuries even if the injuries are unexpectedly severe owing to a pre-existing condition.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contrast, the 'crumbling skull' rule recognizes that: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defendant is liable for the injuries caused, even if they are extreme, but need not compensate the plaintiff for any debilitating effects of the pre-existing condition which the plaintiff would have experienced anyway. The defendant is liable for the additional damage but not the pre-existing damage....Likewise, if there is a measurable risk that the pre-existing condition would have detrimentally affected the plaintiff in the future, regardless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then this can be taken into account in reducing the overall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It is this distinction between 'thin skull' and 'crumbling skull' that is important to the consideration of damages in this case. In 'thin skull', the plaintiff recovers full damages for the injuries suffered. In 'crumbling skull', the plaintiff recovers a portion of damages awarded due to the existence of a pre-existing condition. Thus, I must determine whether, on the evidence, the plaintiff had a pre-existing condition. Moreover, if I find that such a pre-existing condition does exist, I must either indicate that the condition does not form a measurable risk or indicate that the risk was taken into account in the overall assessment of damages (McKelvie v. Ng, </w:t>
      </w:r>
      <w:hyperlink r:id="rId544" w:history="1">
        <w:r>
          <w:rPr>
            <w:rFonts w:ascii="arial" w:eastAsia="arial" w:hAnsi="arial" w:cs="arial"/>
            <w:i/>
            <w:color w:val="0077CC"/>
            <w:sz w:val="20"/>
            <w:u w:val="single"/>
            <w:shd w:val="clear" w:color="auto" w:fill="FFFFFF"/>
            <w:lang w:val="en-US" w:eastAsia="en-US" w:bidi="ar-SA"/>
          </w:rPr>
          <w:t>[2001] B.C.J. No. 1245</w:t>
        </w:r>
      </w:hyperlink>
      <w:r>
        <w:rPr>
          <w:rFonts w:ascii="arial" w:eastAsia="arial" w:hAnsi="arial" w:cs="arial"/>
          <w:color w:val="000000"/>
          <w:sz w:val="20"/>
          <w:lang w:val="en-US" w:eastAsia="en-US" w:bidi="ar-SA"/>
        </w:rPr>
        <w:t xml:space="preserve"> (B.C.C.A.)).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The decision of Pryor v. Bains </w:t>
      </w:r>
      <w:hyperlink r:id="rId545" w:history="1">
        <w:r>
          <w:rPr>
            <w:rFonts w:ascii="arial" w:eastAsia="arial" w:hAnsi="arial" w:cs="arial"/>
            <w:i/>
            <w:color w:val="0077CC"/>
            <w:sz w:val="20"/>
            <w:u w:val="single"/>
            <w:shd w:val="clear" w:color="auto" w:fill="FFFFFF"/>
            <w:lang w:val="en-US" w:eastAsia="en-US" w:bidi="ar-SA"/>
          </w:rPr>
          <w:t>(1986), 69 B.C.L.R. 395</w:t>
        </w:r>
      </w:hyperlink>
      <w:r>
        <w:rPr>
          <w:rFonts w:ascii="arial" w:eastAsia="arial" w:hAnsi="arial" w:cs="arial"/>
          <w:color w:val="000000"/>
          <w:sz w:val="20"/>
          <w:lang w:val="en-US" w:eastAsia="en-US" w:bidi="ar-SA"/>
        </w:rPr>
        <w:t xml:space="preserve"> (B.C.C.A.), provides some guidance with respect to the determination of whether or not a plaintiff has a pre-existing condition. The court explained at p. 399-400: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do not consider this to be a case for the application of the 'thin skull' principle of assessing damages. The present case, where there was a pre-existing condition as found by the trial judge, already manifest and presently disabling, must be distinguished from the 'thin skull' cases where the weakness of latent susceptibility of the victim is quiescent but is activated into being as a result of the tortious conduct of another.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Athey, does not expressly refer to the decision of the British Columbia Court of Appeal in Pryor, supra, however, Pryor, continues to be cited with approval (W.R.B., supra, and Shahidi v. Oppersma, </w:t>
      </w:r>
      <w:hyperlink r:id="rId546" w:history="1">
        <w:r>
          <w:rPr>
            <w:rFonts w:ascii="arial" w:eastAsia="arial" w:hAnsi="arial" w:cs="arial"/>
            <w:i/>
            <w:color w:val="0077CC"/>
            <w:sz w:val="20"/>
            <w:u w:val="single"/>
            <w:shd w:val="clear" w:color="auto" w:fill="FFFFFF"/>
            <w:lang w:val="en-US" w:eastAsia="en-US" w:bidi="ar-SA"/>
          </w:rPr>
          <w:t>[1998] B.C.J. No. 2017</w:t>
        </w:r>
      </w:hyperlink>
      <w:r>
        <w:rPr>
          <w:rFonts w:ascii="arial" w:eastAsia="arial" w:hAnsi="arial" w:cs="arial"/>
          <w:color w:val="000000"/>
          <w:sz w:val="20"/>
          <w:lang w:val="en-US" w:eastAsia="en-US" w:bidi="ar-SA"/>
        </w:rPr>
        <w:t xml:space="preserve"> (B.C.S.C.)). Thus, a consideration of whether the pre-existing condition was latent or active prior to the accident, is important to the categorization of the plaintiff as 'thin skull' or 'crumbling skull'.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Plaintiff's counsel argues that this is a 'thin skull' case. In support of this position plaintiff's counsel relies on Shahidi, supra. In Shahidi, the plaintiff was injured when her vehicle collided with the defendant's vehicle while the defendant's vehicle was turning left. The Court held the defendant 30% liable and the plaintiff 70% liable. The plaintiff, a licensed practical care nurse experienced periodic back pain prior to the accident. The plaintiff also exhibited early degenerative disc disease. At the time of the accident, the plaintiff had returned to work. Applying the reasoning from Pryor, the Court assessed damages based on 'thin skull' rather than aggravated damages or 'crumbling skull'. The Court held that the plaintiff's pre-existing back pain was not persisting nor disabling. The court went on however to reduce the award by 40% due to negative contingencies. The Court reasoned that the plaintiff would not have been physically able to cope with home care nursing until age 65.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defendant argued for a reduction to the damage amount based on the decision of Pryor.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the case at bar, the evidence is that the plaintiff had suffered work related back problems in 1994, 1996, 1998 and 1999. Prior to the March 1999 incident, the plaintiff had only missed 14 days of work; however, subsequent to March 1999 the plaintiff was unable to return to work. The plaintiff made two attempts to return to work in the summer of 1999. Her pain level increased from level one to level three and beyond, such that she was unable to continue working. The plaintiff's August 1999, CT scan showed extensive low lumbar degeneration disc disease. By September 1999, the plaintiff could sit for a period of up to six hours without pain medication as well as walk three or four miles. Her pain level remained constant at level one. The plaintiff performed household duties; however, she continued to experience pain on forward flexion and did not engage in golf, softball or fastball.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Following the accident on October 2, 1999, the plaintiff suffered from constant pain across her lower back. The plaintiff has not experienced a single day without pain. Her pain level remains constant at level three. The plaintiff is only able to sit for approximately 45 minutes. While standing, the plaintiff must seek support by leaning against the wall. The plaintiff does not participate in any recreational activities and is only able to perform light housekeeping duties. The plaintiff's February 2000, CT scan showed no change to the degenerative status as compared to the August 1999, scan.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As previously stated, I've accepted the evidence of Dr. Helmer and Dr. MacKean over that of Dr. Reebye. Dr. Helmer noted that there was no change to the degenerative status in the post accident scan, but also commented that this finding does not assist in determining whether there might have been a change in functional performance or nature of pain suffered. Dr. MacKean classified the plaintiff's condition as an aggravation of a pre-existing condition with both the work related injury of March 1999, and the motor vehicle accident of October 2, 1999. Dr. MacKean also found that the plaintiff's back condition has worsened as a result of the motor vehicle accident thus preventing the plaintiff from returning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light of the evidence, I find that the plaintiff had a pre-existing back condition. Moreover, although the plaintiff's symptoms had improved following the March 1999, work-related accident, her pre-existing condition was not latent at the time of the accident. I find there exists a measurable risk that the plaintiff would have suffered from debilitating effects due to her degenerative disc disease and prior work related injuries, notwithstanding the car accident. There will be a 40% reduction to the damage award to reflect the risk of ongoing pain and physical disability having regards to the evidence that the plaintiff suffered from a pre-existing condition manifest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 have also concluded that this plaintiff is disabled with severe physical limitations. The plaintiff experiences constant low back pain at a level three and is unable to sit, walk or stand for any significant period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plaintiff was a very active individual. She had engaged in many recreational physical activities and was able to do all of the household chores including gardening, landscaping and lawn mowing. Apart from her work related injuries quite common to nurses in the nursing profession she was a healthy individual. Up until the March 23, 1999, work related injury she was able to recover from her work injuries in a relatively short period of time. She enjoyed her work, was well regarded in her work activities and lead a very full life. In addition to her activities and her nursing employment she was also involved in the pasta and dog grooming business. The March 23, 1999, work related injury had serious consequences. However, through participation in various treatment modalities she was on the road to recovery. She had returned to her physical activities with respect to the household chores, lawn mowing and gardening albeit to a lesser extent. She experienced constant pain at level one. She attempted to work as a licensed practical nurse in May and July of 1999, but was only able to tolerate two hours on each occasion. With a view of having her return to the work force in the nursing profession, the Workers' Compensation Board had her participating in the Rehab in Motion work conditioning program. The motor vehicle accident had a disastrous effect on her. She is unable to participate in almost all of her recreational activity. She is unable to walk a very short distance without an elevation in her pain level. She is restricted to the very basic minimal household duties. She is in daily, constant pain at level three. The motor vehicle accident has had a devastating effect upon her emotional and physical well being. Her relationships with her common law husband and her friends have been affected.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Plaintiff's counsel suggest an award of $70,000 to $80,000 reduced to $60,000 to account for the fact that the plaintiff experienced back discomfort prior to the accident. I have considered McCartney v. Rawlins, </w:t>
      </w:r>
      <w:hyperlink r:id="rId547" w:history="1">
        <w:r>
          <w:rPr>
            <w:rFonts w:ascii="arial" w:eastAsia="arial" w:hAnsi="arial" w:cs="arial"/>
            <w:i/>
            <w:color w:val="0077CC"/>
            <w:sz w:val="20"/>
            <w:u w:val="single"/>
            <w:shd w:val="clear" w:color="auto" w:fill="FFFFFF"/>
            <w:lang w:val="en-US" w:eastAsia="en-US" w:bidi="ar-SA"/>
          </w:rPr>
          <w:t>[2000] B.C.J. No. 1340</w:t>
        </w:r>
      </w:hyperlink>
      <w:r>
        <w:rPr>
          <w:rFonts w:ascii="arial" w:eastAsia="arial" w:hAnsi="arial" w:cs="arial"/>
          <w:color w:val="000000"/>
          <w:sz w:val="20"/>
          <w:lang w:val="en-US" w:eastAsia="en-US" w:bidi="ar-SA"/>
        </w:rPr>
        <w:t xml:space="preserve"> (B.C.S.C.), as presented to me by plaintiff's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Counsel for the defendant suggests a more appropriate award would be in the range of $60,000 and that this award should be substantially reduced. Counsel relies upon Sprague v. Brigham, </w:t>
      </w:r>
      <w:hyperlink r:id="rId548" w:history="1">
        <w:r>
          <w:rPr>
            <w:rFonts w:ascii="arial" w:eastAsia="arial" w:hAnsi="arial" w:cs="arial"/>
            <w:i/>
            <w:color w:val="0077CC"/>
            <w:sz w:val="20"/>
            <w:u w:val="single"/>
            <w:shd w:val="clear" w:color="auto" w:fill="FFFFFF"/>
            <w:lang w:val="en-US" w:eastAsia="en-US" w:bidi="ar-SA"/>
          </w:rPr>
          <w:t>[1997] B.C.J. No. 2924</w:t>
        </w:r>
      </w:hyperlink>
      <w:r>
        <w:rPr>
          <w:rFonts w:ascii="arial" w:eastAsia="arial" w:hAnsi="arial" w:cs="arial"/>
          <w:color w:val="000000"/>
          <w:sz w:val="20"/>
          <w:lang w:val="en-US" w:eastAsia="en-US" w:bidi="ar-SA"/>
        </w:rPr>
        <w:t xml:space="preserve"> (B.C.S.C.) and Shahidi.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 find the sum of $80,000 to be a reasonable global award. This amount will be reduced by 40% with respect to her pre-existing condition prior to the motor vehicle accident. I therefore award the plaintiff $48,000 with respect to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Special damages have been agreed to at $1,046.70.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PAST INCOME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plaintiff was employed as a registered nurse on the 3rd Floor of St. Joseph's Hospital in Comox. She worked 1879 hours per year. At the time of the motor vehicle accident her rate of pay was $25.98 per hour plus the usual overtime and shift differential payments. Very recently a new wage scale was negotiated whereby as of October 1, 2001, she would receive $29.70 per hour and as of April 1, 2002, $32.42 per hour together with the additional shift differential.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Mr. Don Tate, the Director of Human Resource Services for St. Joseph's General Hospital, in a letter dated September 17, 2001, calculated the gross wage loss of this plaintiff from October 2, 1999, the date of the accident, to September 15, 2001, to be $100,105.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trial concluded on October 25, 2001. Mr. Godfrey, on behalf of the plaintiff, calculated the wage loss as of the date of trial to be $105,105, an increase of $5,000 from the calculations made by Don Tate. This $5,000 accounts for the additional number of days from September 15, 2001, to the date of the trial, together with the increase in the wage rate. I find that the amount is fair and reasonable. After allowing for income tax and employment insurance deductions, at a rate of 26%, the net wage loss equals $76,000. The defendant did not take issue with this calculation. I therefore award the plaintiff past wage loss of $76,000.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The law in relation to future loss of earning capacity is set out in the following passage from the decision of Parypa v. Wickware, </w:t>
      </w:r>
      <w:hyperlink r:id="rId549" w:history="1">
        <w:r>
          <w:rPr>
            <w:rFonts w:ascii="arial" w:eastAsia="arial" w:hAnsi="arial" w:cs="arial"/>
            <w:i/>
            <w:color w:val="0077CC"/>
            <w:sz w:val="20"/>
            <w:u w:val="single"/>
            <w:shd w:val="clear" w:color="auto" w:fill="FFFFFF"/>
            <w:lang w:val="en-US" w:eastAsia="en-US" w:bidi="ar-SA"/>
          </w:rPr>
          <w:t>[1999] B.C.J. No. 270</w:t>
        </w:r>
      </w:hyperlink>
      <w:r>
        <w:rPr>
          <w:rFonts w:ascii="arial" w:eastAsia="arial" w:hAnsi="arial" w:cs="arial"/>
          <w:color w:val="000000"/>
          <w:sz w:val="20"/>
          <w:lang w:val="en-US" w:eastAsia="en-US" w:bidi="ar-SA"/>
        </w:rPr>
        <w:t xml:space="preserve"> (B.C.C.A.), at para. 62: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principles relevant to determining the quantum of damages for future loss of earning capacity are well established. It is clear that this determination is not a precise or mechanical exercise. The difficult and inherently uncertain task of predicting the future is described in the following oft quoted passage by Dickson J., in Andrews v. Grand &amp; Toy Alberta Ltd., </w:t>
      </w:r>
      <w:hyperlink r:id="rId550"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 xml:space="preserve"> at 251:</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We must now gaze more deeply into the crystal ball. What sort of career would the accident victim have had? What were his prospects and potential prior to the accident? It is not loss of earnings but, rather, loss of earning capacity for which compensation must be made: The Queen v. Jennings, </w:t>
      </w:r>
      <w:hyperlink r:id="rId551" w:history="1">
        <w:r>
          <w:rPr>
            <w:rFonts w:ascii="arial" w:eastAsia="arial" w:hAnsi="arial" w:cs="arial"/>
            <w:i/>
            <w:color w:val="0077CC"/>
            <w:sz w:val="20"/>
            <w:u w:val="single"/>
            <w:shd w:val="clear" w:color="auto" w:fill="FFFFFF"/>
            <w:lang w:val="en-US" w:eastAsia="en-US" w:bidi="ar-SA"/>
          </w:rPr>
          <w:t>[1966] S.C.R. 532</w:t>
        </w:r>
      </w:hyperlink>
      <w:r>
        <w:rPr>
          <w:rFonts w:ascii="arial" w:eastAsia="arial" w:hAnsi="arial" w:cs="arial"/>
          <w:color w:val="000000"/>
          <w:sz w:val="20"/>
          <w:lang w:val="en-US" w:eastAsia="en-US" w:bidi="ar-SA"/>
        </w:rPr>
        <w:t>. A capital asset has been lost: what was its value?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passage makes clear the principle that it is not the lost earnings themselves that must be compensated, but loss of earning capacity as a capital asset that requires compensation.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There is also the question of what types of factors the court should take into account when considering the extent of future loss of earning capacity. This issue was dealt with by Taggart J.A. in Kwei v. Boisclair, </w:t>
      </w:r>
      <w:hyperlink r:id="rId535" w:history="1">
        <w:r>
          <w:rPr>
            <w:rFonts w:ascii="arial" w:eastAsia="arial" w:hAnsi="arial" w:cs="arial"/>
            <w:i/>
            <w:color w:val="0077CC"/>
            <w:sz w:val="20"/>
            <w:u w:val="single"/>
            <w:shd w:val="clear" w:color="auto" w:fill="FFFFFF"/>
            <w:lang w:val="en-US" w:eastAsia="en-US" w:bidi="ar-SA"/>
          </w:rPr>
          <w:t>[1991] B.C.J. No. 3344</w:t>
        </w:r>
      </w:hyperlink>
      <w:r>
        <w:rPr>
          <w:rFonts w:ascii="arial" w:eastAsia="arial" w:hAnsi="arial" w:cs="arial"/>
          <w:color w:val="000000"/>
          <w:sz w:val="20"/>
          <w:lang w:val="en-US" w:eastAsia="en-US" w:bidi="ar-SA"/>
        </w:rPr>
        <w:t xml:space="preserve"> at 399:</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trial judge, as I have said, referred to the judgment of Mr. Justice Finch in Brown v. Golaiy, </w:t>
      </w:r>
      <w:hyperlink r:id="rId81" w:history="1">
        <w:r>
          <w:rPr>
            <w:rFonts w:ascii="arial" w:eastAsia="arial" w:hAnsi="arial" w:cs="arial"/>
            <w:i/>
            <w:color w:val="0077CC"/>
            <w:sz w:val="20"/>
            <w:u w:val="single"/>
            <w:shd w:val="clear" w:color="auto" w:fill="FFFFFF"/>
            <w:lang w:val="en-US" w:eastAsia="en-US" w:bidi="ar-SA"/>
          </w:rPr>
          <w:t>[1985] B.C.J. No. 31</w:t>
        </w:r>
      </w:hyperlink>
      <w:r>
        <w:rPr>
          <w:rFonts w:ascii="arial" w:eastAsia="arial" w:hAnsi="arial" w:cs="arial"/>
          <w:color w:val="000000"/>
          <w:sz w:val="20"/>
          <w:lang w:val="en-US" w:eastAsia="en-US" w:bidi="ar-SA"/>
        </w:rPr>
        <w:t>. I think the considerations referred to by Mr. Justice Finch at p. 4 of his reasons have application in cases where loss of future earning capacity is in issue. I refer to this language at p. 4 of Mr. Finch's judgment: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The means by which the value of the lost, or impaired, asset is to be assessed varies of course from case to case. Some of the considerations to take into account in making that assessment include whether:</w:t>
      </w:r>
    </w:p>
    <w:p>
      <w:pPr>
        <w:numPr>
          <w:numId w:val="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been rendered less capable overall from earning income from all types of employment;</w:t>
      </w:r>
    </w:p>
    <w:p>
      <w:pPr>
        <w:numPr>
          <w:numId w:val="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marketable or attractive as an employee to potential employers;</w:t>
      </w:r>
    </w:p>
    <w:p>
      <w:pPr>
        <w:numPr>
          <w:numId w:val="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lost the ability to take advantage of all job opportunities which might otherwise have been open to him, had he not been injured; and</w:t>
      </w:r>
    </w:p>
    <w:p>
      <w:pPr>
        <w:numPr>
          <w:numId w:val="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valuable to himself as a person capable of earning income in a competitive labour market.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Athey v. Leonati, </w:t>
      </w:r>
      <w:hyperlink r:id="rId65"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the Supreme Court of Canada adopted the same approach, at 470-471:</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Hypothetical events (such as how the plaintiff's life would have proceeded without the tortious injury) or future events need not be proven on a balance of probabilities. Instead, they are simply given weight according to their relative likelihood.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Any employment in the nursing profession including sedentary, light, part-time or otherwise is forever foreclosed to this plaintiff given her disabilities. Her family physician was doubtful as to whether the plaintiff would be suitable for any type of employment. Dr. MacKean, a specialist in physical medicine and rehabilitation concurred with the evaluation of the occupational therapist Ms. Fischer that the plaintiff would be capable of returning to some sort of sedentary work that required her to work four hours a day on alternative days to a maximum of 20 hours a week. Dr. MacKean said, "The most ideal situation for her would be to retrain in a job position where she could work out of her home where she would have the opportunity to take breaks and lie down as needed and work at her own pace." The plaintiff's most serious disability is the constant low back pain at level three and the inability to forward flex.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Ms. Jodi Ann Fischer is an occupational therapist and a certified work capacity evaluator for Functional Outcomes Rehabilitation Services Inc. She saw the plaintiff on June 7, 2001, for an assessment of the plaintiff's physical abilities and limitations. In her summary and recommendations Ms. Fischer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Pope presented with impaired balance, precluding her from work on narrow, slippery or erratically moving surfaces. She is capable of slow paced incidental walking and stair climbing only. Ladder climbing is not advised. Mild to moderate bending should be kept to very short intervals (i.e. five minutes at a time) and performed on an incidental basis only. Prolonged bending, especially ?45% at the waist should be avoided entirely. She is not capable of low level work (i.e. kneeling, crouching, crawling) due to her static bending limitations and difficulty resuming standing from such positions.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Pope presents with a reasonable sitting tolerance of approximately 30 minutes to one hour at a time. Following prolonged periods of sitting, she should be provided with the opportunity to alter her activity and/or stand and stretch. Standing tolerance is in the 20 to 30 minute range.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terms of Ms. Pope's work tolerance, she is capable of some types of part-time sedentary strength work (in keeping with the restrictions outlined above), to a maximum of approximately four hours per day. A reasonable amount of work per week would be in the 10 to 20 hour range. Working consecutive days would require increased medication intake and result in compromise to her avocation (non-work)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plaintiff was seen by Ms. Barbara Wilkinson, a vocational rehabilitation consultant, on June 6, 2001. As a vocational rehabilitation consultant she assists persons with physical, emotional and cognitive limitations to return to the work force in a maximized capacity. Ms. Wilkinson's vocational assessment determined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Pope is a particularly intelligent individual with strong academic skills and cognitive capabilities. Unfortunately her continued physical limitations would interfere significantly with any potential or competitive employment. Her functional capacity evaluations suggested she could perform selective part-time lighter jobs with a number of restrictions. However, I was unable to confidently identify any job which Ms. Pope might pursue given her ongoing physical difficulties. Her inability to comfortably sit, stand or walk to a reasonable degree will in my view significantly deter any potential employer from hiring her. At best she might perform some occasional part time duty or work from her home, if appropriate work could be found.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At the request of the defendant the plaintiff was assessed by Christopher Cooke, a vocational consultant and certified work capacity evaluator. He saw her on August 13, 2001, for an assessment lasting seven hours. Not surprisingly he found the plaintiff to be extremely pain focused and disability-oriented. He was the only one to make such a conclusion. Notwithstanding this he concluded that the plaintiff did not have sufficient strength to tolerate the physical demands of her pre-accident job as a registered nurse. He found that the nature and extent of the plaintiff's symptom response combined with her over pain behaviour suggested that she was severely disabled as a result of low back discomfort. Moreover, because of her severe behavioral response to pain and given her upper strength levels for lifting and carrying he concluded that the plaintiff remains competitively unemployable due to behavioral factors associated with her perception of low back pain. I reiterate that during the testimony of the plaintiff I had the opportunity to carefully observe her. I am satisfied that the plaintiff was sincere and forthright. Within a very short period of time and throughout her attendance to give evidence in this trial, she experienced extreme pain and discomfort. She was not malingering or exaggerating.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evidence clearly establishes that the plaintiff has been left with chronic significant pain in the low back. This pain has affected her seriously in her personal and vocational life. She has been severely limited in sitting, walking, lifting or forward bending due to the fact that these activities increase her pain to an intolerable level. Even when not engaged in these activities she is at a level three out of ten for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plaintiff has undertaken all level of treatment modalities together with her own exercises in an attempt to alleviate the low back pain without success. Her prognosis for recovery is gloomy. It is obvious she will be able to manage her pain by frequent rests and the ingestion of medication in anticipation of any activities that extend beyond her limitations.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At the time of the motor vehicle accident the plaintiff was in the Rehab in Motion work conditioning program. It was most probable that she would have returned to her nursing work albeit in a more sedentary position with light or less physically demanding job requirements, without requiring any forward flexion and perhaps less than full time. She would have received the same hourly salary rate and benefits as she had previously received. Now, due to the accident, any opportunity to return to work in the nursing profession has been permanently foreclosed. The only avenues of employment that may be available to the plaintiff are in a light sedentary job where she can control her periods of rest and movement; ideally in a home environment but restricted to a maximum of 20 hours per week with four hours on alternate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Given her age and her restricted capabilities because of the constant low back pain and the elimination of any forward bending or flexion the possibilities of such employment are gloomy.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Exhibit 6 is the report of Robert Carson who is a consulting economist. The report calculates the value of the plaintiff's future earnings, pension benefits, extended health care, dental, group life insurance, CPP, Workers' Compensation and other disability benefits lost in the future. Nurses have to mandatory retire at the age of 65. The plaintiff was born on July 12, 1947. The date of trial was October 22, 2001. Mr. Carson determined that the net present value of an annual sum of $1,000 from the trial date to the plaintiff's 65th birthday is $9,160. He used an annual salary of $54,000.35 and factored in the 2.5% discount rate and the survival probabilities of females of the plaintiff's age. He determined that her loss of future earnings until date of retirement is $494,961. However, as a result of the new collective agreement with respect to nurses' salaries the plaintiff's salary as of April 1, 2002, would be approximately $61,000. Therefore, the loss of future earnings based on the increased salary would be about $540,000. Mr. Carson calculated the lost pension benefits at $53,053 and the loss of other employee benefits to age 65 as approximately $30,000. Therefore, using Mr. Carson's calculation the present value of the plaintiff's loss of future earnings, including her pension and other employee benefits approximates $623,000. I am mindful that I may use Mr. Carson's calculations as a guide in making an assessment of the plaintiff's future loss of earnings. To do so I must gaze into the crystal ball to arrive at a fair and equitable sum.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Plaintiff's counsel relies on the principles set out in Athey, and Kennelly v. Monk, </w:t>
      </w:r>
      <w:hyperlink r:id="rId552" w:history="1">
        <w:r>
          <w:rPr>
            <w:rFonts w:ascii="arial" w:eastAsia="arial" w:hAnsi="arial" w:cs="arial"/>
            <w:i/>
            <w:color w:val="0077CC"/>
            <w:sz w:val="20"/>
            <w:u w:val="single"/>
            <w:shd w:val="clear" w:color="auto" w:fill="FFFFFF"/>
            <w:lang w:val="en-US" w:eastAsia="en-US" w:bidi="ar-SA"/>
          </w:rPr>
          <w:t>[1994] B.C.J. No. 905</w:t>
        </w:r>
      </w:hyperlink>
      <w:r>
        <w:rPr>
          <w:rFonts w:ascii="arial" w:eastAsia="arial" w:hAnsi="arial" w:cs="arial"/>
          <w:color w:val="000000"/>
          <w:sz w:val="20"/>
          <w:lang w:val="en-US" w:eastAsia="en-US" w:bidi="ar-SA"/>
        </w:rPr>
        <w:t xml:space="preserve"> (B.C.C.A.). Mr. Godfrey, on behalf of the plaintiff, concedes that the plaintiff's pre-accident work related instances of low back strain and the extensive degenerative changes that were evident in the lower lumbar area and the plaintiff's pre-existing pre-accident condition as a result of the March 23, 1999 work injury should be taken into account. Plaintiff's counsel also concedes that the plaintiff's possibility of earning a modest income in the future should be considered. Thus he submits, applying a contingency factor of some 30%, the plaintiff is entitled to a loss for future earning capacity in the sum of $450,000.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On the other hand Mr. Kelly, on behalf of the defendant, submits that the plaintiff's pre-existing condition is an important factor in considering the plaintiff's loss of future earning capacity. He says under this head alone there should be a 50% reduction and relies upon the cases of Matell v. Hardy, </w:t>
      </w:r>
      <w:hyperlink r:id="rId553" w:history="1">
        <w:r>
          <w:rPr>
            <w:rFonts w:ascii="arial" w:eastAsia="arial" w:hAnsi="arial" w:cs="arial"/>
            <w:i/>
            <w:color w:val="0077CC"/>
            <w:sz w:val="20"/>
            <w:u w:val="single"/>
            <w:shd w:val="clear" w:color="auto" w:fill="FFFFFF"/>
            <w:lang w:val="en-US" w:eastAsia="en-US" w:bidi="ar-SA"/>
          </w:rPr>
          <w:t>[1995] B.C.J. No. 129</w:t>
        </w:r>
      </w:hyperlink>
      <w:r>
        <w:rPr>
          <w:rFonts w:ascii="arial" w:eastAsia="arial" w:hAnsi="arial" w:cs="arial"/>
          <w:color w:val="000000"/>
          <w:sz w:val="20"/>
          <w:lang w:val="en-US" w:eastAsia="en-US" w:bidi="ar-SA"/>
        </w:rPr>
        <w:t xml:space="preserve"> (B.C.C.A.); Coghill v. Thon, </w:t>
      </w:r>
      <w:hyperlink r:id="rId554" w:history="1">
        <w:r>
          <w:rPr>
            <w:rFonts w:ascii="arial" w:eastAsia="arial" w:hAnsi="arial" w:cs="arial"/>
            <w:i/>
            <w:color w:val="0077CC"/>
            <w:sz w:val="20"/>
            <w:u w:val="single"/>
            <w:shd w:val="clear" w:color="auto" w:fill="FFFFFF"/>
            <w:lang w:val="en-US" w:eastAsia="en-US" w:bidi="ar-SA"/>
          </w:rPr>
          <w:t>[1999] B.C.J. No. 2788</w:t>
        </w:r>
      </w:hyperlink>
      <w:r>
        <w:rPr>
          <w:rFonts w:ascii="arial" w:eastAsia="arial" w:hAnsi="arial" w:cs="arial"/>
          <w:color w:val="000000"/>
          <w:sz w:val="20"/>
          <w:lang w:val="en-US" w:eastAsia="en-US" w:bidi="ar-SA"/>
        </w:rPr>
        <w:t xml:space="preserve"> (B.C.S.C.) and Harlow v. Thompson, </w:t>
      </w:r>
      <w:hyperlink r:id="rId555" w:history="1">
        <w:r>
          <w:rPr>
            <w:rFonts w:ascii="arial" w:eastAsia="arial" w:hAnsi="arial" w:cs="arial"/>
            <w:i/>
            <w:color w:val="0077CC"/>
            <w:sz w:val="20"/>
            <w:u w:val="single"/>
            <w:shd w:val="clear" w:color="auto" w:fill="FFFFFF"/>
            <w:lang w:val="en-US" w:eastAsia="en-US" w:bidi="ar-SA"/>
          </w:rPr>
          <w:t>[1999] B.C.J. No. 998</w:t>
        </w:r>
      </w:hyperlink>
      <w:r>
        <w:rPr>
          <w:rFonts w:ascii="arial" w:eastAsia="arial" w:hAnsi="arial" w:cs="arial"/>
          <w:color w:val="000000"/>
          <w:sz w:val="20"/>
          <w:lang w:val="en-US" w:eastAsia="en-US" w:bidi="ar-SA"/>
        </w:rPr>
        <w:t xml:space="preserve"> (B.C.C.A.).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In Matell, supra, the British Columbia Court of Appeal upheld the trial judge's 50% apportionment noting that the car accident was relatively minor. Here the car accident was not minor.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In Coghill, supra, the Court declined to reduce non-pecuniary damages due to a pre-existing condition but did reduce wage loss. The Court apportioned the loss as between causes noting that the loss for future earnings "was just as reasonable a possibility even without the motor vehicle collision". Coghill can be distinguished on the facts. In this case the evidence does not support the conclusion that the loss of future earnings would have occurred in any event. I have concluded, based on the evidence, that notwithstanding the accident, this plaintiff would have returned to work as a nurse, albeit perhaps less than full time and in sedentary type duties.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In Harlow, supra, the British Columbia Court of Appeal reduced the trial judge's award for non-pecuniary damages, future care, past income and pension benefits. The Court did not reduce the award for future income loss. I have considered Harlow in my assessment of whether the plaintiff in this case should be awarded future loss of pension benefits apart from future income loss. I have concluded that unlike the plaintiff in Harlow the plaintiff before me has proven, on the evidence, a separate loss for pension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I have also considered decisions in which damage awards were reduced by less than 50%: Friesen v. Hsu, </w:t>
      </w:r>
      <w:hyperlink r:id="rId556" w:history="1">
        <w:r>
          <w:rPr>
            <w:rFonts w:ascii="arial" w:eastAsia="arial" w:hAnsi="arial" w:cs="arial"/>
            <w:i/>
            <w:color w:val="0077CC"/>
            <w:sz w:val="20"/>
            <w:u w:val="single"/>
            <w:shd w:val="clear" w:color="auto" w:fill="FFFFFF"/>
            <w:lang w:val="en-US" w:eastAsia="en-US" w:bidi="ar-SA"/>
          </w:rPr>
          <w:t>[1997] B.C.J. No. 2177</w:t>
        </w:r>
      </w:hyperlink>
      <w:r>
        <w:rPr>
          <w:rFonts w:ascii="arial" w:eastAsia="arial" w:hAnsi="arial" w:cs="arial"/>
          <w:color w:val="000000"/>
          <w:sz w:val="20"/>
          <w:lang w:val="en-US" w:eastAsia="en-US" w:bidi="ar-SA"/>
        </w:rPr>
        <w:t xml:space="preserve"> (B.C.S.C.); Stewart v. Munden, </w:t>
      </w:r>
      <w:hyperlink r:id="rId557" w:history="1">
        <w:r>
          <w:rPr>
            <w:rFonts w:ascii="arial" w:eastAsia="arial" w:hAnsi="arial" w:cs="arial"/>
            <w:i/>
            <w:color w:val="0077CC"/>
            <w:sz w:val="20"/>
            <w:u w:val="single"/>
            <w:shd w:val="clear" w:color="auto" w:fill="FFFFFF"/>
            <w:lang w:val="en-US" w:eastAsia="en-US" w:bidi="ar-SA"/>
          </w:rPr>
          <w:t>[1998] B.C.J. No. 2708</w:t>
        </w:r>
      </w:hyperlink>
      <w:r>
        <w:rPr>
          <w:rFonts w:ascii="arial" w:eastAsia="arial" w:hAnsi="arial" w:cs="arial"/>
          <w:color w:val="000000"/>
          <w:sz w:val="20"/>
          <w:lang w:val="en-US" w:eastAsia="en-US" w:bidi="ar-SA"/>
        </w:rPr>
        <w:t xml:space="preserve"> (B.C.S.C.) and Gabbard v. Hung, </w:t>
      </w:r>
      <w:hyperlink r:id="rId558" w:history="1">
        <w:r>
          <w:rPr>
            <w:rFonts w:ascii="arial" w:eastAsia="arial" w:hAnsi="arial" w:cs="arial"/>
            <w:i/>
            <w:color w:val="0077CC"/>
            <w:sz w:val="20"/>
            <w:u w:val="single"/>
            <w:shd w:val="clear" w:color="auto" w:fill="FFFFFF"/>
            <w:lang w:val="en-US" w:eastAsia="en-US" w:bidi="ar-SA"/>
          </w:rPr>
          <w:t>[1999] B.C.J. No. 1907</w:t>
        </w:r>
      </w:hyperlink>
      <w:r>
        <w:rPr>
          <w:rFonts w:ascii="arial" w:eastAsia="arial" w:hAnsi="arial" w:cs="arial"/>
          <w:color w:val="000000"/>
          <w:sz w:val="20"/>
          <w:lang w:val="en-US" w:eastAsia="en-US" w:bidi="ar-SA"/>
        </w:rPr>
        <w:t xml:space="preserve">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Mr. Kelly submits further that there should be additional reductions because of the negative contingencies and the potential employability of the plaintiff in the future. He submits that the negative contingencies include early death, risk of further injury in a non-working and working environment and also unemployment for any number of reasons that the plaintiff may have experienced unconnected with the accident. With respect to the future employability of the plaintiff, he says that the evidence indicates that the plaintiff is capable of working four hours a day on alternative days, up to 20 hours a week, and that there should be a deduction for such employment opportunity. For these propositions he relies on Bennett v. Mitchell </w:t>
      </w:r>
      <w:hyperlink r:id="rId559" w:history="1">
        <w:r>
          <w:rPr>
            <w:rFonts w:ascii="arial" w:eastAsia="arial" w:hAnsi="arial" w:cs="arial"/>
            <w:i/>
            <w:color w:val="0077CC"/>
            <w:sz w:val="20"/>
            <w:u w:val="single"/>
            <w:shd w:val="clear" w:color="auto" w:fill="FFFFFF"/>
            <w:lang w:val="en-US" w:eastAsia="en-US" w:bidi="ar-SA"/>
          </w:rPr>
          <w:t>(1988), 32 B.C.L.R. (2d) 92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 have concluded that the plaintiff is disabled with severe physical limitations. The plaintiff experiences constant back pain at a level three and is unable to sit, walk or stand for any significant period of time. It is clear from the evidence that this plaintiff has been rendered incapable of earning income from any employment with an employer.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With respect to an award for future earnings, I must consider what is both fair and reasonable in all the circumstances. The plaintiff in this case would have been able to return to her work as a nurse performing alternative light duty positions within the hospital but for the accident. Moreover, these alternative positions would have provided the plaintiff with the same salary and benefits. I have also found, on the evidence, that this plaintiff would have most likely experienced debilitating effects due to her pre-existing condition. Such effects would have most likely prevented her from working full time or until she reached the age 65.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With respect to further contingency deductions, the evidence indicates that the plaintiff is capable of working between 10-20 hours from home on alternative days. Therefore the future earnings award must take this factor into consideration.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Considering all the evidence, including the above reductions, I assess this head of damage at $345,000.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There was no claim advanced with respect to costs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SUMMARY OF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556"/>
        <w:gridCol w:w="2195"/>
        <w:gridCol w:w="4078"/>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Non-Pecuniary Damages</w:t>
            </w:r>
          </w:p>
        </w:tc>
        <w:tc>
          <w:tcPr>
            <w:tcW w:w="215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$ 48,000.00</w:t>
            </w:r>
          </w:p>
        </w:tc>
        <w:tc>
          <w:tcPr>
            <w:tcW w:w="399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137"/>
        <w:gridCol w:w="2614"/>
        <w:gridCol w:w="4078"/>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07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Past Income Loss</w:t>
            </w:r>
          </w:p>
        </w:tc>
        <w:tc>
          <w:tcPr>
            <w:tcW w:w="256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$ 76,000.00</w:t>
            </w:r>
          </w:p>
        </w:tc>
        <w:tc>
          <w:tcPr>
            <w:tcW w:w="399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973"/>
        <w:gridCol w:w="1778"/>
        <w:gridCol w:w="4078"/>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89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Future Earning Capacity Loss</w:t>
            </w:r>
          </w:p>
        </w:tc>
        <w:tc>
          <w:tcPr>
            <w:tcW w:w="174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$345,000.00</w:t>
            </w:r>
          </w:p>
        </w:tc>
        <w:tc>
          <w:tcPr>
            <w:tcW w:w="399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137"/>
        <w:gridCol w:w="1359"/>
        <w:gridCol w:w="1255"/>
        <w:gridCol w:w="4078"/>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07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Special Damages</w:t>
            </w:r>
          </w:p>
        </w:tc>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122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1,046.70</w:t>
            </w:r>
          </w:p>
        </w:tc>
        <w:tc>
          <w:tcPr>
            <w:tcW w:w="399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510"/>
        <w:gridCol w:w="3241"/>
        <w:gridCol w:w="4078"/>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w:t>
            </w:r>
          </w:p>
        </w:tc>
        <w:tc>
          <w:tcPr>
            <w:tcW w:w="317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$470,046.70</w:t>
            </w:r>
          </w:p>
        </w:tc>
        <w:tc>
          <w:tcPr>
            <w:tcW w:w="399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Plaintiff will have her costs at Scale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SINGH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53" style="position:absolute;z-index:25183846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60"/>
          <w:headerReference w:type="default" r:id="rId561"/>
          <w:footerReference w:type="even" r:id="rId562"/>
          <w:footerReference w:type="default" r:id="rId563"/>
          <w:headerReference w:type="first" r:id="rId564"/>
          <w:footerReference w:type="first" r:id="rId56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66" w:history="1">
        <w:r>
          <w:rPr>
            <w:rFonts w:ascii="arial" w:eastAsia="arial" w:hAnsi="arial" w:cs="arial"/>
            <w:b/>
            <w:bCs/>
            <w:i/>
            <w:color w:val="0077CC"/>
            <w:kern w:val="32"/>
            <w:sz w:val="28"/>
            <w:szCs w:val="32"/>
            <w:u w:val="single"/>
            <w:shd w:val="clear" w:color="auto" w:fill="FFFFFF"/>
            <w:lang w:val="en-US" w:eastAsia="en-US" w:bidi="ar-SA"/>
          </w:rPr>
          <w:t>Samaroo v. Canada (Revenue Agency), [2016] B.C.J. No. 601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R.D. Punnett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16 and 17,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24,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12-1154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Victoria</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[2016] B.C.J. No. 601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567" w:history="1">
        <w:r>
          <w:rPr>
            <w:rFonts w:ascii="arial" w:eastAsia="arial" w:hAnsi="arial" w:cs="arial"/>
            <w:i/>
            <w:color w:val="0077CC"/>
            <w:sz w:val="20"/>
            <w:u w:val="single"/>
            <w:shd w:val="clear" w:color="auto" w:fill="FFFFFF"/>
            <w:lang w:val="en-US" w:eastAsia="en-US" w:bidi="ar-SA"/>
          </w:rPr>
          <w:t>2016 BCSC 531</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567" w:history="1">
        <w:r>
          <w:rPr>
            <w:rFonts w:ascii="arial" w:eastAsia="arial" w:hAnsi="arial" w:cs="arial"/>
            <w:i/>
            <w:color w:val="0077CC"/>
            <w:sz w:val="20"/>
            <w:u w:val="single"/>
            <w:shd w:val="clear" w:color="auto" w:fill="FFFFFF"/>
            <w:lang w:val="en-US" w:eastAsia="en-US" w:bidi="ar-SA"/>
          </w:rPr>
          <w:t>2016 CarswellBC 811</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567" w:history="1">
        <w:r>
          <w:rPr>
            <w:rFonts w:ascii="arial" w:eastAsia="arial" w:hAnsi="arial" w:cs="arial"/>
            <w:i/>
            <w:color w:val="0077CC"/>
            <w:sz w:val="20"/>
            <w:u w:val="single"/>
            <w:shd w:val="clear" w:color="auto" w:fill="FFFFFF"/>
            <w:lang w:val="en-US" w:eastAsia="en-US" w:bidi="ar-SA"/>
          </w:rPr>
          <w:t>[2016] G.S.T.C. 31</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567" w:history="1">
        <w:r>
          <w:rPr>
            <w:rFonts w:ascii="arial" w:eastAsia="arial" w:hAnsi="arial" w:cs="arial"/>
            <w:i/>
            <w:color w:val="0077CC"/>
            <w:sz w:val="20"/>
            <w:u w:val="single"/>
            <w:shd w:val="clear" w:color="auto" w:fill="FFFFFF"/>
            <w:lang w:val="en-US" w:eastAsia="en-US" w:bidi="ar-SA"/>
          </w:rPr>
          <w:t>264 A.C.W.S. (3d) 345</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567" w:history="1">
        <w:r>
          <w:rPr>
            <w:rFonts w:ascii="arial" w:eastAsia="arial" w:hAnsi="arial" w:cs="arial"/>
            <w:i/>
            <w:color w:val="0077CC"/>
            <w:sz w:val="20"/>
            <w:u w:val="single"/>
            <w:shd w:val="clear" w:color="auto" w:fill="FFFFFF"/>
            <w:lang w:val="en-US" w:eastAsia="en-US" w:bidi="ar-SA"/>
          </w:rPr>
          <w:t>2016 D.T.C. 5044</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Tony Samaroo and Helen Samaroo, Plaintiffs, and Canada Revenue Agency, Brian David Jones, Brian D. Jones Law Corporation,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(157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54" style="position:absolute;z-index:2516858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79" w:name="Keywords_26"/>
      <w:bookmarkEnd w:id="179"/>
      <w:r>
        <w:rPr>
          <w:rFonts w:ascii="arial" w:eastAsia="arial" w:hAnsi="arial" w:cs="arial"/>
          <w:b/>
          <w:color w:val="000000"/>
          <w:sz w:val="20"/>
          <w:lang w:val="en-US" w:eastAsia="en-US" w:bidi="ar-SA"/>
        </w:rPr>
        <w:t>Civil litigation — Civil procedure — Discovery — Examination for discovery — Persons who may be examined — Application by the plaintiffs, the Samaroos, to examine McLean and Down allowed in part — After being acquitted of tax-related charges, the Samaroos commenced an action for negligent investigation and malicious prosecution — McLean was an employee of the Public Prosecution Service of Canada — The Samaroos sought to examine Down as a second representative of the defendant law corporation — McLean's evidence could be material given her role in the charge approval process, and she was to be examined — However, Down was not to be examined as the first representative was not uncooperative or unresponsive.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Government law — Crown — Practice and procedure — Discovery — Application by the plaintiffs, the Samaroos, to examine McLean and Down allowed in part — After being acquitted of tax-related charges, the Samaroos commenced an action for negligent investigation and malicious prosecution — McLean was an employee of the Public Prosecution Service of Canada — The Samaroos sought to examine Down as a second representative of the defendant law corporation — McLean's evidence could be material given her role in the charge approval process, and she was to be examined — However, Down was not to be examined as the first representative was not uncooperative or unresponsive.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Practice and procedure — Discovery — Persons subject to examination — Application by the plaintiffs, the Samaroos, to examine McLean and Down allowed in part — After being acquitted of tax-related charges, the Samaroos commenced an action for negligent investigation and malicious prosecution — McLean was an employee of the Public Prosecution Service of Canada — The Samaroos sought to examine Down as a second representative of the defendant law corporation — McLean's evidence could be material given her role in the charge approval process, and she was to be examined — However, Down was not to be examined as the first representative was not uncooperative or unresponsive.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80" w:name="Case Summary_24"/>
            <w:bookmarkEnd w:id="18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plaintiffs, the Samaroos, to examine McLean and Down and to be released from an implied undertaking. The Samaroos were acquitted of various charges under the Income Tax Act and the Excise Tax Act. They then commenced an action for negligent investigation and malicious prosecution. McLean was an employee of the Public Prosecution Service of Canada. The Samaroos sought to examine Down as a second representative of the defendant law corporation. The implied undertaking related to information and documents provided by the defendant Jones and the defendant law corporation. The Samaroos sought to use the documents and information in Tax Court proceedings. The Samaroos submitted that the question of who approved the charges was relevant to the action. They further submitted that Gibson, the selected representative of the corporate defendant, was unable or unwilling to inform himself and was uncooperative and unresponsive.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81" w:name="Holdings of Court_20"/>
            <w:bookmarkEnd w:id="181"/>
            <w:r>
              <w:rPr>
                <w:rFonts w:ascii="arial" w:eastAsia="arial" w:hAnsi="arial" w:cs="arial"/>
                <w:color w:val="000000"/>
                <w:sz w:val="20"/>
                <w:lang w:val="en-US" w:eastAsia="en-US" w:bidi="ar-SA"/>
              </w:rPr>
              <w:t>HELD: Application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McLean's evidence could be material given her role in the charge approval process, and she was to be examined. Gibson's preparation was not deficient and he was not uncooperative or unresponsive. Furthermore, it was not appropriate to grant an application to examine a second representative prior to completion of the examination of Gibson. As a result, the application to examine Down was dismissed. With respect to the implied undertaking, the public interest in disclosing the information received from Jones and the defendant law corporation outweighed their privacy interests.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82" w:name="Legislation Cited_18"/>
      <w:bookmarkEnd w:id="18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55" style="position:absolute;z-index:2517370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Canada Revenue Agency Act, S.C. 1999, c. 178, s. 4, s. 14, s. 30(1)(d), s. 51, s. 53, s. 55, s. 58, s. 61, s. 69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Canadian Charter of Rights and Freedoms, 1982,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Crown Liability and Proceedings Act, </w:t>
      </w:r>
      <w:hyperlink r:id="rId568" w:history="1">
        <w:r>
          <w:rPr>
            <w:rFonts w:ascii="arial" w:eastAsia="arial" w:hAnsi="arial" w:cs="arial"/>
            <w:i/>
            <w:color w:val="0077CC"/>
            <w:sz w:val="20"/>
            <w:u w:val="single"/>
            <w:shd w:val="clear" w:color="auto" w:fill="FFFFFF"/>
            <w:lang w:val="en-US" w:eastAsia="en-US" w:bidi="ar-SA"/>
          </w:rPr>
          <w:t>R.S.C. 1985, c. C-50, s. 23</w:t>
        </w:r>
      </w:hyperlink>
      <w:r>
        <w:rPr>
          <w:rFonts w:ascii="arial" w:eastAsia="arial" w:hAnsi="arial" w:cs="arial"/>
          <w:color w:val="000000"/>
          <w:sz w:val="20"/>
          <w:lang w:val="en-US" w:eastAsia="en-US" w:bidi="ar-SA"/>
        </w:rPr>
        <w:t>, s. 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Excise Tax Act, R.S.C., 1985, c. E-15,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Income Tax Act, R.S.C., 1985, c. 1 (5th Supp.),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Supreme Court Civil Rules, </w:t>
      </w:r>
      <w:r>
        <w:rPr>
          <w:rFonts w:ascii="arial" w:eastAsia="arial" w:hAnsi="arial" w:cs="arial"/>
          <w:i/>
          <w:color w:val="000000"/>
          <w:sz w:val="20"/>
          <w:lang w:val="en-US" w:eastAsia="en-US" w:bidi="ar-SA"/>
        </w:rPr>
        <w:t>B.C. Reg. 168/2009, Rule 7-2</w:t>
      </w:r>
      <w:r>
        <w:rPr>
          <w:rFonts w:ascii="arial" w:eastAsia="arial" w:hAnsi="arial" w:cs="arial"/>
          <w:color w:val="000000"/>
          <w:sz w:val="20"/>
          <w:lang w:val="en-US" w:eastAsia="en-US" w:bidi="ar-SA"/>
        </w:rPr>
        <w:t>(5), Rule 7-2(25), Rule 7-5, Rule 8-1, Rule 14-1(12)</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83" w:name="Counsel_26"/>
      <w:bookmarkEnd w:id="183"/>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56" style="position:absolute;z-index:2517882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S.M. Kelliher, D.C. Redman.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D.J. Strachan, S.A. Lord.</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84" w:name="Judgment_26"/>
      <w:bookmarkEnd w:id="184"/>
      <w:r>
        <w:pict>
          <v:line id="_x0000_s1157" style="position:absolute;z-index:25183948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Applications to Examine and Relief</w: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 from Implied Undertaking</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85" w:name="R.D. PUNNETT J."/>
            <w:bookmarkEnd w:id="185"/>
            <w:r>
              <w:rPr>
                <w:rFonts w:ascii="arial" w:eastAsia="arial" w:hAnsi="arial" w:cs="arial"/>
                <w:b/>
                <w:color w:val="000000"/>
                <w:sz w:val="30"/>
                <w:lang w:val="en-US" w:eastAsia="en-US" w:bidi="ar-SA"/>
              </w:rPr>
              <w:t>R.D. PUNNETT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Nature of the Applications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plaintiff husband and wife were acquitted in the Provincial Court of British Columbia of various charges under the </w:t>
      </w:r>
      <w:r>
        <w:rPr>
          <w:rFonts w:ascii="arial" w:eastAsia="arial" w:hAnsi="arial" w:cs="arial"/>
          <w:i/>
          <w:color w:val="000000"/>
          <w:sz w:val="20"/>
          <w:lang w:val="en-US" w:eastAsia="en-US" w:bidi="ar-SA"/>
        </w:rPr>
        <w:t>Income Tax Act</w:t>
      </w:r>
      <w:r>
        <w:rPr>
          <w:rFonts w:ascii="arial" w:eastAsia="arial" w:hAnsi="arial" w:cs="arial"/>
          <w:color w:val="000000"/>
          <w:sz w:val="20"/>
          <w:lang w:val="en-US" w:eastAsia="en-US" w:bidi="ar-SA"/>
        </w:rPr>
        <w:t xml:space="preserve">, R.S.C., 1985, c. 1 (5th Supp.) and the </w:t>
      </w:r>
      <w:r>
        <w:rPr>
          <w:rFonts w:ascii="arial" w:eastAsia="arial" w:hAnsi="arial" w:cs="arial"/>
          <w:i/>
          <w:color w:val="000000"/>
          <w:sz w:val="20"/>
          <w:lang w:val="en-US" w:eastAsia="en-US" w:bidi="ar-SA"/>
        </w:rPr>
        <w:t>Excise Tax Act</w:t>
      </w:r>
      <w:r>
        <w:rPr>
          <w:rFonts w:ascii="arial" w:eastAsia="arial" w:hAnsi="arial" w:cs="arial"/>
          <w:color w:val="000000"/>
          <w:sz w:val="20"/>
          <w:lang w:val="en-US" w:eastAsia="en-US" w:bidi="ar-SA"/>
        </w:rPr>
        <w:t>, R.S.C., 1985, c. E-15. This action for negligent investigation and malicious prosecution arises as a result. The plaintiffs sue the defendants Brian David Jones in his person capacity, his law corporation and the Canada Revenue Agency (the "CRA") as a corporation liable for the acts of its agent Brian Jones.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plaintiffs are also the defendants in an action in Tax Court respecting the tax assessments that gave rise to the Provincial Court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plaintiffs bring three applications. The first seeks an order pursuant to Rule 7-5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168/2009</w:t>
      </w:r>
      <w:r>
        <w:rPr>
          <w:rFonts w:ascii="arial" w:eastAsia="arial" w:hAnsi="arial" w:cs="arial"/>
          <w:color w:val="000000"/>
          <w:sz w:val="20"/>
          <w:lang w:val="en-US" w:eastAsia="en-US" w:bidi="ar-SA"/>
        </w:rPr>
        <w:t>, entitling the plaintiffs to examine Ms. Lisa McLean, an employee of the Public Prosecution Service of Canada (the "PPSC"). The second seeks an order pursuant to Rule 7-2(5) permitting the plaintiffs to examine Ms. Marsha Down as a second representative of the defendant Brian D. Jones Law Corporation (the "Law Corporation"). The third application seeks an order that the plaintiffs be released from the implied undertaking over information and documents provided by each of Brian Jones and Brian D. Jones Law Corporation in these proceedings so that the plaintiffs may use that information and documents in the Tax Court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CRA applies for orders that the plaintiffs produce information and documents requested on their examinations for discovery and that the plaintiffs answer questions objected to during their examinations for discovery. They also seek an order that the time for examinations for discovery of each of the plaintiffs be extended by a further two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Plaintiffs' Applications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Application Pursuant to Rule 7-5 to Examine Lisa McLean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Rule 7-5 permits the pre-trial examination of witnesses who are not parties to the litigation but may have material evidence relating to a matter in the litigation.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defendants in their amended response to civil claim have pleaded that the decision to prosecute the plaintiffs was made by Janna Hyman, Senior Counsel in the PPSC Economic Crimes Team. Mr. Jones in his examination for discovery confirmed that the decision to charge the plaintiffs was made by the Public Prosecution Service of Canada and he assumed Ms. Hyman made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However, disclosure by the defence and discovery of Mr. Jones indicate that Ms. McLean, counsel at PPSC, was also involved in charge approval as she prepared a charge approval memo and in it requested further investigation be undertaken before charges were approved. It is believed that she was in contact with Keith Kendal, CRA investigator, and Brian Jones the </w:t>
      </w:r>
      <w:r>
        <w:rPr>
          <w:rFonts w:ascii="arial" w:eastAsia="arial" w:hAnsi="arial" w:cs="arial"/>
          <w:i/>
          <w:color w:val="000000"/>
          <w:sz w:val="20"/>
          <w:lang w:val="en-US" w:eastAsia="en-US" w:bidi="ar-SA"/>
        </w:rPr>
        <w:t>ad hoc</w:t>
      </w:r>
      <w:r>
        <w:rPr>
          <w:rFonts w:ascii="arial" w:eastAsia="arial" w:hAnsi="arial" w:cs="arial"/>
          <w:color w:val="000000"/>
          <w:sz w:val="20"/>
          <w:lang w:val="en-US" w:eastAsia="en-US" w:bidi="ar-SA"/>
        </w:rPr>
        <w:t xml:space="preserve"> crown prosecutor, respecting the process leading to charge approval. She also is anticipated to have evidence respecting whether her charge approval memorandum was ever provided to Mr. Jones or whether its contents were ever communicated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On August 18, 2015, pursuant to Rule 7-5(3)(c), counsel for the plaintiffs sent an email to Ms. McLean requesting that she provide a responsive statement in writing respecting a number of matters relating to charge approval.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Counsel for the defendants responded by email on August 24, 2015 indicating that Ms. McLean was on indefinite leave and so could not respond and then by letter dated September 1, 2015 stated "Ms. McLean is a key employee of the Crown who is a defendant in this litigation. Therefore any attempt obtain evidence from her is, in effect, an attempt to discover a second representative of the defendant, Canada Revenue Agency".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 September 4, 2015 the plaintiffs responded to the defendants' September 1, 2015 letter asking for confirmation that Ms. McLean received the plaintiffs' August 18, 2015 email. No response was received from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applicable portions of Rule 7-5 provide:</w:t>
      </w:r>
      <w:r>
        <w:rPr>
          <w:rFonts w:ascii="arial" w:eastAsia="arial" w:hAnsi="arial" w:cs="arial"/>
          <w:sz w:val="20"/>
          <w:lang w:val="en-US" w:eastAsia="en-US" w:bidi="ar-SA"/>
        </w:rPr>
        <w:cr/>
      </w:r>
    </w:p>
    <w:p>
      <w:pPr>
        <w:numPr>
          <w:numId w:val="9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a person who is not a party of record to an action may have material evidence relating to a matter in question in the action, the court may</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order that the person be examined on oath on the matters in question in the action, and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 application for an order under subrule (1) must be supported by affidavit setting out</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matter in question in the action to which the applicant believes that the evidence of the proposed witness may be material,</w:t>
      </w:r>
    </w:p>
    <w:p>
      <w:pPr>
        <w:numPr>
          <w:numId w:val="5"/>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proposed witness is an expert retained or specially employed by another party in anticipation of litigation or preparation for trial, that the applicant is unable to obtain facts and opinion on the same subject by other means, and</w:t>
      </w:r>
    </w:p>
    <w:p>
      <w:pPr>
        <w:numPr>
          <w:numId w:val="6"/>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proposed witness</w:t>
      </w:r>
    </w:p>
    <w:p>
      <w:pPr>
        <w:numPr>
          <w:numId w:val="7"/>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has refused or neglected on request by the applicant to give a responsive statement, either orally or in writing relating to the witness' knowledge of the matters in question, or</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has given conflicting statements.</w:t>
      </w:r>
    </w:p>
    <w:p>
      <w:pPr>
        <w:numPr>
          <w:numId w:val="9"/>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 applicant for an order under subrule (1) must comply with Rule 8-1, and, without limiting this, the applicant must serve the application materials on the proposed witness and Rule 8-1 applies to the witness as if he or she were a party of record.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Rule 8-1 requires service of the application materials on all parties of record.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Position of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plaintiffs submit that Ms. McLean's anticipated testimony is relevant to the question of whether Crown Counsel (PPSC or Mr. Jones) ever did give charge approval and, if so, who approved charges, against whom and on what basis. They submit that there is an issue respecting whether or not charges were approved by Crown Counsel who act as gatekeepers. As a result, they submit that the question of who approved the charges is relevant to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Position of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defendants submit that Ms. McLean, a Crown Counsel, is employed by the Government of Canada as an agent of the Attorney General of Canada. The defendants state that the plaintiffs have brought the application under the wrong rule. They submit that Rule 7-5 provides for the pre-trial examination of a person who is not a party of record in the action however they state that here the plaintiffs are seeking to examine an employee of the Crown, who they say is a defendant in this litigation. Therefore they argue the application should properly have been brought pursuant to Rule 7-2(5) as an application to allow the examination of more than one representative of a party who is not an individual.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In support of their position they note that the plaintiffs have named the CRA as a defendant in this action and that the CRA is an agent of the Crown: </w:t>
      </w:r>
      <w:r>
        <w:rPr>
          <w:rFonts w:ascii="arial" w:eastAsia="arial" w:hAnsi="arial" w:cs="arial"/>
          <w:i/>
          <w:color w:val="000000"/>
          <w:sz w:val="20"/>
          <w:lang w:val="en-US" w:eastAsia="en-US" w:bidi="ar-SA"/>
        </w:rPr>
        <w:t>Canada Revenue Agency Act</w:t>
      </w:r>
      <w:r>
        <w:rPr>
          <w:rFonts w:ascii="arial" w:eastAsia="arial" w:hAnsi="arial" w:cs="arial"/>
          <w:color w:val="000000"/>
          <w:sz w:val="20"/>
          <w:lang w:val="en-US" w:eastAsia="en-US" w:bidi="ar-SA"/>
        </w:rPr>
        <w:t>, S.C. 1999, c. 178, s. 4(2). As a result of Ms. McLean's employment by PPSC they submit she is an agent of the Attorney General of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Given the plaintiffs chose to examine investigator Keith Kendal as the representative of the CRA they submit this is really an application to examine a second representative. They also state that Ms. McLean has returned from her leave of absence and is now able and willing to answer in writing the questions put to her but that the plaintiffs have rejected that proposal.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They also submit that accepting the written answers would have been a proportional and reasonable approach noting that if necessary the plaintiffs could renew their application once the examinations of the defendants are complete.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There are two preliminary issues. The first is whether or not the Crown is a defendant in this litigation. The second is, if Ms. McLean is not an employee of a party of record has proper service has been effected on her as required by Rule 7-5.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The defendants rely on the </w:t>
      </w:r>
      <w:r>
        <w:rPr>
          <w:rFonts w:ascii="arial" w:eastAsia="arial" w:hAnsi="arial" w:cs="arial"/>
          <w:i/>
          <w:color w:val="000000"/>
          <w:sz w:val="20"/>
          <w:lang w:val="en-US" w:eastAsia="en-US" w:bidi="ar-SA"/>
        </w:rPr>
        <w:t>Canada Revenue Agency Act</w:t>
      </w:r>
      <w:r>
        <w:rPr>
          <w:rFonts w:ascii="arial" w:eastAsia="arial" w:hAnsi="arial" w:cs="arial"/>
          <w:color w:val="000000"/>
          <w:sz w:val="20"/>
          <w:lang w:val="en-US" w:eastAsia="en-US" w:bidi="ar-SA"/>
        </w:rPr>
        <w:t xml:space="preserve">, </w:t>
      </w:r>
      <w:hyperlink r:id="rId569" w:history="1">
        <w:r>
          <w:rPr>
            <w:rFonts w:ascii="arial" w:eastAsia="arial" w:hAnsi="arial" w:cs="arial"/>
            <w:i/>
            <w:color w:val="0077CC"/>
            <w:sz w:val="20"/>
            <w:u w:val="single"/>
            <w:shd w:val="clear" w:color="auto" w:fill="FFFFFF"/>
            <w:lang w:val="en-US" w:eastAsia="en-US" w:bidi="ar-SA"/>
          </w:rPr>
          <w:t>S.C. 1999, c. 17</w:t>
        </w:r>
      </w:hyperlink>
      <w:r>
        <w:rPr>
          <w:rFonts w:ascii="arial" w:eastAsia="arial" w:hAnsi="arial" w:cs="arial"/>
          <w:color w:val="000000"/>
          <w:sz w:val="20"/>
          <w:lang w:val="en-US" w:eastAsia="en-US" w:bidi="ar-SA"/>
        </w:rPr>
        <w:t>. The applicable sections 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Continuation</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4. (1)</w:t>
      </w:r>
      <w:r>
        <w:rPr>
          <w:rFonts w:ascii="arial" w:eastAsia="arial" w:hAnsi="arial" w:cs="arial"/>
          <w:color w:val="000000"/>
          <w:sz w:val="20"/>
          <w:lang w:val="en-US" w:eastAsia="en-US" w:bidi="ar-SA"/>
        </w:rPr>
        <w:t xml:space="preserve"> The Canada Customs and Revenue Agency is continued as a body corporate under the name of the Canada Revenue Agency.</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Agent of Her Majesty</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Agency is for all purposes an agent of Her Majesty in right of Canada.</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defendants submit that Ms. McLean as a federal government employee is in fact an employee of a party of record and does not fall under Rule 7-5.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It is clear from the </w:t>
      </w:r>
      <w:r>
        <w:rPr>
          <w:rFonts w:ascii="arial" w:eastAsia="arial" w:hAnsi="arial" w:cs="arial"/>
          <w:i/>
          <w:color w:val="000000"/>
          <w:sz w:val="20"/>
          <w:lang w:val="en-US" w:eastAsia="en-US" w:bidi="ar-SA"/>
        </w:rPr>
        <w:t>Canada Revenue Agency Act</w:t>
      </w:r>
      <w:r>
        <w:rPr>
          <w:rFonts w:ascii="arial" w:eastAsia="arial" w:hAnsi="arial" w:cs="arial"/>
          <w:color w:val="000000"/>
          <w:sz w:val="20"/>
          <w:lang w:val="en-US" w:eastAsia="en-US" w:bidi="ar-SA"/>
        </w:rPr>
        <w:t xml:space="preserve"> that the CRA is a body corporate. It has a board of directors, described in s. 14 as a Board of Management. It has authority pursuant to ss. 30(1)(d), 51 and 53 to hire and manage its employees. It can enter into collective agreements (s. 58) and into contracts (s. 61). Section 55 of the </w:t>
      </w:r>
      <w:r>
        <w:rPr>
          <w:rFonts w:ascii="arial" w:eastAsia="arial" w:hAnsi="arial" w:cs="arial"/>
          <w:i/>
          <w:color w:val="000000"/>
          <w:sz w:val="20"/>
          <w:lang w:val="en-US" w:eastAsia="en-US" w:bidi="ar-SA"/>
        </w:rPr>
        <w:t>Canada Revenue Agency Act</w:t>
      </w:r>
      <w:r>
        <w:rPr>
          <w:rFonts w:ascii="arial" w:eastAsia="arial" w:hAnsi="arial" w:cs="arial"/>
          <w:color w:val="000000"/>
          <w:sz w:val="20"/>
          <w:lang w:val="en-US" w:eastAsia="en-US" w:bidi="ar-SA"/>
        </w:rPr>
        <w:t xml:space="preserve"> recognizes its employees status as employees of the CRA: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Mobility to departments</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55 (1)</w:t>
      </w:r>
      <w:r>
        <w:rPr>
          <w:rFonts w:ascii="arial" w:eastAsia="arial" w:hAnsi="arial" w:cs="arial"/>
          <w:color w:val="000000"/>
          <w:sz w:val="20"/>
          <w:lang w:val="en-US" w:eastAsia="en-US" w:bidi="ar-SA"/>
        </w:rPr>
        <w:t xml:space="preserve"> For the purpose of deployments or appointments made, or advertised internal appointment processes, under the </w:t>
      </w:r>
      <w:r>
        <w:rPr>
          <w:rFonts w:ascii="arial" w:eastAsia="arial" w:hAnsi="arial" w:cs="arial"/>
          <w:i/>
          <w:color w:val="000000"/>
          <w:sz w:val="20"/>
          <w:lang w:val="en-US" w:eastAsia="en-US" w:bidi="ar-SA"/>
        </w:rPr>
        <w:t>Public Service Employment Act</w:t>
      </w:r>
      <w:r>
        <w:rPr>
          <w:rFonts w:ascii="arial" w:eastAsia="arial" w:hAnsi="arial" w:cs="arial"/>
          <w:color w:val="000000"/>
          <w:sz w:val="20"/>
          <w:lang w:val="en-US" w:eastAsia="en-US" w:bidi="ar-SA"/>
        </w:rPr>
        <w:t xml:space="preserve">, employees of the Agency must be treated as if they were employees within the meaning of the </w:t>
      </w:r>
      <w:r>
        <w:rPr>
          <w:rFonts w:ascii="arial" w:eastAsia="arial" w:hAnsi="arial" w:cs="arial"/>
          <w:i/>
          <w:color w:val="000000"/>
          <w:sz w:val="20"/>
          <w:lang w:val="en-US" w:eastAsia="en-US" w:bidi="ar-SA"/>
        </w:rPr>
        <w:t>Public Service Employment</w:t>
      </w:r>
      <w:r>
        <w:rPr>
          <w:rFonts w:ascii="arial" w:eastAsia="arial" w:hAnsi="arial" w:cs="arial"/>
          <w:color w:val="000000"/>
          <w:sz w:val="20"/>
          <w:lang w:val="en-US" w:eastAsia="en-US" w:bidi="ar-SA"/>
        </w:rPr>
        <w:t xml:space="preserve"> Act, and had the rights of recourse provided by that Act.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When deployments made subject to terms</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Public Service Commission may, in consultation with the Treasury Board, set terms and conditions for the deployment of Agency employees to departments and agencies under the </w:t>
      </w:r>
      <w:r>
        <w:rPr>
          <w:rFonts w:ascii="arial" w:eastAsia="arial" w:hAnsi="arial" w:cs="arial"/>
          <w:i/>
          <w:color w:val="000000"/>
          <w:sz w:val="20"/>
          <w:lang w:val="en-US" w:eastAsia="en-US" w:bidi="ar-SA"/>
        </w:rPr>
        <w:t>Public Service Employment Act</w:t>
      </w:r>
      <w:r>
        <w:rPr>
          <w:rFonts w:ascii="arial" w:eastAsia="arial" w:hAnsi="arial" w:cs="arial"/>
          <w:color w:val="000000"/>
          <w:sz w:val="20"/>
          <w:lang w:val="en-US" w:eastAsia="en-US" w:bidi="ar-SA"/>
        </w:rPr>
        <w:t xml:space="preserve"> if, in the opinion of the Commission, the principles governing the Agency's staffing program are incompatible with those governing staffing under the </w:t>
      </w:r>
      <w:r>
        <w:rPr>
          <w:rFonts w:ascii="arial" w:eastAsia="arial" w:hAnsi="arial" w:cs="arial"/>
          <w:i/>
          <w:color w:val="000000"/>
          <w:sz w:val="20"/>
          <w:lang w:val="en-US" w:eastAsia="en-US" w:bidi="ar-SA"/>
        </w:rPr>
        <w:t>Public Service Employment Act</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Mobility to the Agency</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When the Agency considers employees within the meaning of the </w:t>
      </w:r>
      <w:r>
        <w:rPr>
          <w:rFonts w:ascii="arial" w:eastAsia="arial" w:hAnsi="arial" w:cs="arial"/>
          <w:i/>
          <w:color w:val="000000"/>
          <w:sz w:val="20"/>
          <w:lang w:val="en-US" w:eastAsia="en-US" w:bidi="ar-SA"/>
        </w:rPr>
        <w:t>Public Service Employment Act</w:t>
      </w:r>
      <w:r>
        <w:rPr>
          <w:rFonts w:ascii="arial" w:eastAsia="arial" w:hAnsi="arial" w:cs="arial"/>
          <w:color w:val="000000"/>
          <w:sz w:val="20"/>
          <w:lang w:val="en-US" w:eastAsia="en-US" w:bidi="ar-SA"/>
        </w:rPr>
        <w:t xml:space="preserve"> for employment within the Agency, it must treat them as if they were employees of the Agency and had the rights of recourse of Agency employees.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1999, C. 17, s. 55; 2003, c. 22, s. 229.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addition s. 69 provides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Legal Proceeding</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Actions, suits or other legal proceedings in respect of any right or obligation acquired or incurred by the Agency, whether in its own name or in the name of Her Majesty in right of Canada, may be brought or taken by or against the Agency in the name of the Agency.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As a result the applicable statutory provisions clearly recognize the independent nature of the CRA and are consistent with the "fundamental principal of company law ... that a company or corporation is a distinct person from its shareholders. It follows that a corporation wholly owned by the Crown is legally distinct from the Crown" (Karen Horsman &amp; Gareth Morley, </w:t>
      </w:r>
      <w:r>
        <w:rPr>
          <w:rFonts w:ascii="arial" w:eastAsia="arial" w:hAnsi="arial" w:cs="arial"/>
          <w:i/>
          <w:color w:val="000000"/>
          <w:sz w:val="20"/>
          <w:lang w:val="en-US" w:eastAsia="en-US" w:bidi="ar-SA"/>
        </w:rPr>
        <w:t>Government Liability: Law and Practice</w:t>
      </w:r>
      <w:r>
        <w:rPr>
          <w:rFonts w:ascii="arial" w:eastAsia="arial" w:hAnsi="arial" w:cs="arial"/>
          <w:color w:val="000000"/>
          <w:sz w:val="20"/>
          <w:lang w:val="en-US" w:eastAsia="en-US" w:bidi="ar-SA"/>
        </w:rPr>
        <w:t>, looseleaf (Aurora, Ont.: Canada Law Book, 2007 (updated October 2014)) at 1A.40.30).)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Section 23 of the </w:t>
      </w:r>
      <w:r>
        <w:rPr>
          <w:rFonts w:ascii="arial" w:eastAsia="arial" w:hAnsi="arial" w:cs="arial"/>
          <w:i/>
          <w:color w:val="000000"/>
          <w:sz w:val="20"/>
          <w:lang w:val="en-US" w:eastAsia="en-US" w:bidi="ar-SA"/>
        </w:rPr>
        <w:t>Crown Liability and Proceedings Act</w:t>
      </w:r>
      <w:r>
        <w:rPr>
          <w:rFonts w:ascii="arial" w:eastAsia="arial" w:hAnsi="arial" w:cs="arial"/>
          <w:color w:val="000000"/>
          <w:sz w:val="20"/>
          <w:lang w:val="en-US" w:eastAsia="en-US" w:bidi="ar-SA"/>
        </w:rPr>
        <w:t xml:space="preserve">, </w:t>
      </w:r>
      <w:hyperlink r:id="rId570" w:history="1">
        <w:r>
          <w:rPr>
            <w:rFonts w:ascii="arial" w:eastAsia="arial" w:hAnsi="arial" w:cs="arial"/>
            <w:i/>
            <w:color w:val="0077CC"/>
            <w:sz w:val="20"/>
            <w:u w:val="single"/>
            <w:shd w:val="clear" w:color="auto" w:fill="FFFFFF"/>
            <w:lang w:val="en-US" w:eastAsia="en-US" w:bidi="ar-SA"/>
          </w:rPr>
          <w:t>R.S.C. 1985, c. C-50</w:t>
        </w:r>
      </w:hyperlink>
      <w:r>
        <w:rPr>
          <w:rFonts w:ascii="arial" w:eastAsia="arial" w:hAnsi="arial" w:cs="arial"/>
          <w:color w:val="000000"/>
          <w:sz w:val="20"/>
          <w:lang w:val="en-US" w:eastAsia="en-US" w:bidi="ar-SA"/>
        </w:rPr>
        <w:t>, also recognizes the separate status of a crown agency: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Taking of Proceedings against Crown</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23 (1)</w:t>
      </w:r>
      <w:r>
        <w:rPr>
          <w:rFonts w:ascii="arial" w:eastAsia="arial" w:hAnsi="arial" w:cs="arial"/>
          <w:color w:val="000000"/>
          <w:sz w:val="20"/>
          <w:lang w:val="en-US" w:eastAsia="en-US" w:bidi="ar-SA"/>
        </w:rPr>
        <w:t xml:space="preserve"> Proceedings against the Crown may be taken in the name of the Attorney General of Canada or, in the case of an agency of the Crown against which proceedings are by an Act of Parliament authorized to be taken in the name of the agency, in the name of that agency.</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Service of originating document</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Where proceedings are taken against the Crown, the document originating the proceedings shall be served on the Crown by serving it on the Deputy Attorney General of Canada or the chief executive officer of the agency in whose name the proceedings are taken, as the case may be.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R.S. 1985, c. C-50, s. 23; 1990, c. 8, s. 29; 2001, c. 4, s. 47(F).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Also s. 27 provides that the "rules of practice and procedure of the court in which proceedings are taken apply in those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Given the corporate status of the CRA and the aforementioned statutory provisions it is clear that the investigator Mr. Kendal is an employee of the CRA but Ms. McLean is not. In my opinion the fact that Ms. McLean is employed by the PPSC and not by the CRA is determinative. The suggestion that the Crown is a defendant and that as a result Ms. McLean is an employee of the defendant ignores the corporate nature of the CRA and its statutory powers. For the purposes of this litigation the fact that the CRA is a crown agency does not make the Crown a defendant party in this litigation or all Crown employees representatives of a party, in this case the CRA.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With respect to service of Ms. McLean the Crown states that if she is simply a witness she has not been given notice nor had the opportunity to have separate counsel. This of course after counsel for the defendants purported to act for Ms. McLean and received notice of the application as such. Indeed, counsel for the defendant's criticized plaintiffs' counsel for corresponding directly with Ms. Mclean initially.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Counsel for the plaintiffs properly provided notice to the witness Ms. McLean. She chose not to reply but presumably instructed defence counsel to do so on her behalf. They in turn received notice of the application as required under Rule 7-5(4) which requires that the applicant comply with Rule 8-1.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my view it is not now open to either Ms. McLean or defence counsel to submit service was not effective. While defence counsel states that if Ms. McLean is not a party of record and Rule 7-5 applies she should be represented by separate counsel, there is no evidence from Ms. McLean that she wishes to be so represented. Nor is there a request from Ms. McLean to adjourn this application to seek counsel although defence counsel submits that the application should be adjourned to permit her to do so. In my view defence counsel having represented Ms. McLean and accepted service on her behalf cannot now resile from that position and require the plaintiffs to start over.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As a result with respect to the two preliminary issues I conclude Rule 7-5 is the appropriate rule given Ms. McLean is not a party nor a representative of a party of record and further that notice has been given.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 turn then to the issue of whether to grant the order that Ms. McLean be examined on oath.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As noted earlier the defendants state that Ms. McLean has offered to respond in writing and that her reason for not doing so is she was on leave. She does not however provide any evidence as to why being on leave means she could not respond. Instead she obviously relied on defence counsel to seek to dispute the requirement that she comply on the basis she was an employee of the Crown and not subject to Rule 7-5 as a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Rule 7-5(3)(c) states that the affidavit in support must set out that the proposed witness "has refused or neglected on request by the applicant to give a responsive statement, either orally or in writing". That has been shown to be the case. The rule does not appear to anticipate a proposed witness being given a "second chance" to comply.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With respect to the merits of the application I am satisfied that the evidence of Ms. McLean may be material given her role in the charge approval process. Nor is the application premature as the rule does not require that such examinations only occur after discovery of others has occurred. As a result I order that Ms. McLean be examined on the matters in question in this litigation.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Application Pursuant to Rule 7-2(5) to Examine Marsha 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This is an application by the plaintiffs to examine Ms. Marsha Down as a second representative of the defendant Brian D. Jones Law Corporation.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During the discovery of Mr. Jones he testified that he asked Ms. Down to draft the information and that he thought she did the first draft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plaintiffs had selected Robert Gibson as the representative of the corporate defendant on the basis that he was junior counsel in the Provincial Court proceedings. The plaintiffs bring this application on the basis that they allege that Mr. Gibson was either unwilling to answer questions posed or unable to answer them due to inadequate preparation for the examination. As a result the plaintiffs' counsel did not continue with the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On March 26, 2015 plaintiffs' counsel wrote to the defendants seeking to reconvene the examination of Mr. Gibson. Defence counsel responded and took the position in their letter of March 26, 2015 that Mr. Gibson was no longer an employee of the Law Corporation and as a result was no longer able to be examined. They proposed that the defendants select an alternate nominee or that answers to outstanding questions be provided by way of interrogatories. The plaintiffs refused this request and asked to examine Mr. Gibson after June 5, 2015. The defendants then relented and the examination was set for October 28, 2015. On July 21, 2015 defence counsel by letter of that date stated that Mr. Gibson would require witness fees of $111 per hour for 15 hours of preparation time together with fees for the date of the examination, travel and meals.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Then on July 28, 2015 defence counsel advised that Mr. Gibson had been appointed to the Immigration and Refugee Board of Canada for the Central Region (Toronto) and would be relocating in late August or early September and would not be available for discovery prior to his relocation. However, once again the defendants relented and agreed to conduct the examination on August 26, 2015 in Nanaimo,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On August 14, 2015 the plaintiffs asked to examine Ms. Down instead of Mr. Gibson as representative of the corporation but the defendants denied that request. They suggested that any questions that Mr. Gibson was unable to answer should be put on the record as requests.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On the day before the August 26, 2015 continuation of Mr. Gibson's examination counsel for the plaintiffs wrote to defence counsel asking that Mr. Gibson in particular inform himself with respect to his involvement with Diane Ye and Leonard Perrault and that he review his notes of interviews with those individuals and with respect to when the contents of those interviews were made available to the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At the discovery continuation Mr. Gibson when asked what he had reviewed in preparation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reviewed a portion of the previous transcript. I reviewed some of the billing sheets, which includes what appears to be Exhibit 1. I reviewed a pre-charge memo that appeared to be authored by Lisa McLean. I'm trying to recall what else I reviewed. I briefed some of the previous will-say -- briefly reviewed some of the previous will- says of some of the witnesses of the trial. I believe that's all I reviewed. That's all that comes to mind at the moment, in any event.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When asked if he reviewed the will say statements of Leonard Perrault and Deborah Ferens he stated that he believed he had "glanced [at them] quickly". He also stated he had reviewed "witness spreadsheets" and a portion of the pre-charge memo of Ms. McLean.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When asked about the notes of the interview with Ms. Ye it became evident that Mr. Gibson had not reviewed those notes in any detail. When asked about those notes and those relating to Mr. Perrault he stated: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 prepared sufficiently, but you didn't bother to read your notes of the interview of Diane Ye; is that 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My belief was that I prepared sufficiently.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By not reading the notes; is that 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I've answered the question.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With respect to charge approval he stated that he did not have any role in charge approval as his understanding was that his employment at the Law Corporation commenced following charge approval. While he was aware that Ms. Down was involved in charge approval he was not able to provide any information as to the extent of her involvement.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He was then examined respecting the charge approvals and other documents but his responses were that he did not recall but at some point he would have been more aware of the materials in the file. He indicated for example that he might have seen the charge approval memorandum prepared by Ms. McLean but had no recollection of it but was not certain. He was not able to provide any insight into the decision to approve charges against Helen Samaroo following the charging memo of Ms. McLean. He was also unable to state when the interview of Ms. Ferens occurred, the date of which is of significance in this action. He referred at times to "skimming" through the documents and not reading material "thoroughly" and just "familiarizing" himself briefly to see if for example he had read a memo before.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Rule 7-2(5)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Examination of party that is not an individual</w:t>
      </w:r>
    </w:p>
    <w:p>
      <w:pPr>
        <w:numPr>
          <w:numId w:val="10"/>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Unless the court otherwise orders, if a party to be examined for discovery I not an individual,</w:t>
      </w:r>
    </w:p>
    <w:p>
      <w:pPr>
        <w:numPr>
          <w:numId w:val="11"/>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examining party may examine one representative of the party to be examined,</w:t>
      </w:r>
    </w:p>
    <w:p>
      <w:pPr>
        <w:numPr>
          <w:numId w:val="12"/>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party to be examined must nominate as its representative an individual, who is knowledgeable concerning the matters in question in the action, to be examined on behalf of that party, and</w:t>
      </w:r>
    </w:p>
    <w:p>
      <w:pPr>
        <w:numPr>
          <w:numId w:val="1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examining party may examine</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representative nominated under paragraph (b), or</w:t>
      </w:r>
    </w:p>
    <w:p>
      <w:pPr>
        <w:numPr>
          <w:numId w:val="15"/>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any other person the examining party considers appropriate and who is or has been a director, officer, employee, agent or external auditor of the party to be examined.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The applicable principles to be applied on an application to examine a second representative of a corporate defendant were reviewed in </w:t>
      </w:r>
      <w:r>
        <w:rPr>
          <w:rFonts w:ascii="arial" w:eastAsia="arial" w:hAnsi="arial" w:cs="arial"/>
          <w:i/>
          <w:color w:val="000000"/>
          <w:sz w:val="20"/>
          <w:lang w:val="en-US" w:eastAsia="en-US" w:bidi="ar-SA"/>
        </w:rPr>
        <w:t>Conseil Scolaire Francophone de la Columbie-Britannique v. British Columbia (Education</w:t>
      </w:r>
      <w:r>
        <w:rPr>
          <w:rFonts w:ascii="arial" w:eastAsia="arial" w:hAnsi="arial" w:cs="arial"/>
          <w:color w:val="000000"/>
          <w:sz w:val="20"/>
          <w:lang w:val="en-US" w:eastAsia="en-US" w:bidi="ar-SA"/>
        </w:rPr>
        <w:t xml:space="preserve">), </w:t>
      </w:r>
      <w:hyperlink r:id="rId571" w:history="1">
        <w:r>
          <w:rPr>
            <w:rFonts w:ascii="arial" w:eastAsia="arial" w:hAnsi="arial" w:cs="arial"/>
            <w:i/>
            <w:color w:val="0077CC"/>
            <w:sz w:val="20"/>
            <w:u w:val="single"/>
            <w:shd w:val="clear" w:color="auto" w:fill="FFFFFF"/>
            <w:lang w:val="en-US" w:eastAsia="en-US" w:bidi="ar-SA"/>
          </w:rPr>
          <w:t>2012 BCSC 582</w:t>
        </w:r>
      </w:hyperlink>
      <w:r>
        <w:rPr>
          <w:rFonts w:ascii="arial" w:eastAsia="arial" w:hAnsi="arial" w:cs="arial"/>
          <w:color w:val="000000"/>
          <w:sz w:val="20"/>
          <w:lang w:val="en-US" w:eastAsia="en-US" w:bidi="ar-SA"/>
        </w:rPr>
        <w: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 The Province relies on principles discussed and summarized in </w:t>
      </w:r>
      <w:r>
        <w:rPr>
          <w:rFonts w:ascii="arial" w:eastAsia="arial" w:hAnsi="arial" w:cs="arial"/>
          <w:i/>
          <w:color w:val="000000"/>
          <w:sz w:val="20"/>
          <w:lang w:val="en-US" w:eastAsia="en-US" w:bidi="ar-SA"/>
        </w:rPr>
        <w:t>Order of the Oblates of Mary Immaculate in the Province of British Columbia v. Dohm, Jaffer &amp; Jeraj</w:t>
      </w:r>
      <w:r>
        <w:rPr>
          <w:rFonts w:ascii="arial" w:eastAsia="arial" w:hAnsi="arial" w:cs="arial"/>
          <w:color w:val="000000"/>
          <w:sz w:val="20"/>
          <w:lang w:val="en-US" w:eastAsia="en-US" w:bidi="ar-SA"/>
        </w:rPr>
        <w:t xml:space="preserve">, </w:t>
      </w:r>
      <w:hyperlink r:id="rId572" w:history="1">
        <w:r>
          <w:rPr>
            <w:rFonts w:ascii="arial" w:eastAsia="arial" w:hAnsi="arial" w:cs="arial"/>
            <w:i/>
            <w:color w:val="0077CC"/>
            <w:sz w:val="20"/>
            <w:u w:val="single"/>
            <w:shd w:val="clear" w:color="auto" w:fill="FFFFFF"/>
            <w:lang w:val="en-US" w:eastAsia="en-US" w:bidi="ar-SA"/>
          </w:rPr>
          <w:t>2007 BCSC 1709</w:t>
        </w:r>
      </w:hyperlink>
      <w:r>
        <w:rPr>
          <w:rFonts w:ascii="arial" w:eastAsia="arial" w:hAnsi="arial" w:cs="arial"/>
          <w:color w:val="000000"/>
          <w:sz w:val="20"/>
          <w:lang w:val="en-US" w:eastAsia="en-US" w:bidi="ar-SA"/>
        </w:rPr>
        <w:t xml:space="preserve"> (CanLII):</w:t>
      </w:r>
    </w:p>
    <w:p>
      <w:pPr>
        <w:numPr>
          <w:numId w:val="1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 discretion to permit a second representative to be appointed for examination for discovery;</w:t>
      </w:r>
    </w:p>
    <w:p>
      <w:pPr>
        <w:numPr>
          <w:numId w:val="1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discretion should be exercised where the party applying shows that the first representative cannot satisfactorily inform himself about the subject of the examination for discovery;</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this is an objective test and is not determined by the view of the examiner;</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determining whether the first representative can satisfactorily inform himself, the Court should consider:</w:t>
      </w:r>
    </w:p>
    <w:p>
      <w:pPr>
        <w:numPr>
          <w:numId w:val="20"/>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responsiveness of the witness under examination;</w:t>
      </w:r>
    </w:p>
    <w:p>
      <w:pPr>
        <w:numPr>
          <w:numId w:val="21"/>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degree to which he has taken pains to inform himself;</w:t>
      </w:r>
    </w:p>
    <w:p>
      <w:pPr>
        <w:numPr>
          <w:numId w:val="22"/>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nature and materiality of the particular evidence sought to be canvassed;</w:t>
      </w:r>
    </w:p>
    <w:p>
      <w:pPr>
        <w:numPr>
          <w:numId w:val="23"/>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most practical, convenient and expeditious alternative.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 The CSF says, relying on </w:t>
      </w:r>
      <w:r>
        <w:rPr>
          <w:rFonts w:ascii="arial" w:eastAsia="arial" w:hAnsi="arial" w:cs="arial"/>
          <w:i/>
          <w:color w:val="000000"/>
          <w:sz w:val="20"/>
          <w:lang w:val="en-US" w:eastAsia="en-US" w:bidi="ar-SA"/>
        </w:rPr>
        <w:t>Ridley Terminals Inc. v. Mitsubishi Canada Ltd.</w:t>
      </w:r>
      <w:r>
        <w:rPr>
          <w:rFonts w:ascii="arial" w:eastAsia="arial" w:hAnsi="arial" w:cs="arial"/>
          <w:color w:val="000000"/>
          <w:sz w:val="20"/>
          <w:lang w:val="en-US" w:eastAsia="en-US" w:bidi="ar-SA"/>
        </w:rPr>
        <w:t xml:space="preserve">, </w:t>
      </w:r>
      <w:hyperlink r:id="rId573" w:history="1">
        <w:r>
          <w:rPr>
            <w:rFonts w:ascii="arial" w:eastAsia="arial" w:hAnsi="arial" w:cs="arial"/>
            <w:i/>
            <w:color w:val="0077CC"/>
            <w:sz w:val="20"/>
            <w:u w:val="single"/>
            <w:shd w:val="clear" w:color="auto" w:fill="FFFFFF"/>
            <w:lang w:val="en-US" w:eastAsia="en-US" w:bidi="ar-SA"/>
          </w:rPr>
          <w:t>[1993] B.C.J. No. 1625</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Privest Properties Ltd. v. W.R. Grace &amp; Co. of Canada</w:t>
      </w:r>
      <w:r>
        <w:rPr>
          <w:rFonts w:ascii="arial" w:eastAsia="arial" w:hAnsi="arial" w:cs="arial"/>
          <w:color w:val="000000"/>
          <w:sz w:val="20"/>
          <w:lang w:val="en-US" w:eastAsia="en-US" w:bidi="ar-SA"/>
        </w:rPr>
        <w:t xml:space="preserve"> </w:t>
      </w:r>
      <w:hyperlink r:id="rId574" w:history="1">
        <w:r>
          <w:rPr>
            <w:rFonts w:ascii="arial" w:eastAsia="arial" w:hAnsi="arial" w:cs="arial"/>
            <w:i/>
            <w:color w:val="0077CC"/>
            <w:sz w:val="20"/>
            <w:u w:val="single"/>
            <w:shd w:val="clear" w:color="auto" w:fill="FFFFFF"/>
            <w:lang w:val="en-US" w:eastAsia="en-US" w:bidi="ar-SA"/>
          </w:rPr>
          <w:t>(1992), 67 B.C.L.R. (2d) 345</w:t>
        </w:r>
      </w:hyperlink>
      <w:r>
        <w:rPr>
          <w:rFonts w:ascii="arial" w:eastAsia="arial" w:hAnsi="arial" w:cs="arial"/>
          <w:color w:val="000000"/>
          <w:sz w:val="20"/>
          <w:lang w:val="en-US" w:eastAsia="en-US" w:bidi="ar-SA"/>
        </w:rPr>
        <w:t xml:space="preserve"> (C.A.), and </w:t>
      </w:r>
      <w:r>
        <w:rPr>
          <w:rFonts w:ascii="arial" w:eastAsia="arial" w:hAnsi="arial" w:cs="arial"/>
          <w:i/>
          <w:color w:val="000000"/>
          <w:sz w:val="20"/>
          <w:lang w:val="en-US" w:eastAsia="en-US" w:bidi="ar-SA"/>
        </w:rPr>
        <w:t>Moore International (Canada) Inc. v.</w:t>
      </w:r>
      <w:r>
        <w:rPr>
          <w:rFonts w:ascii="arial" w:eastAsia="arial" w:hAnsi="arial" w:cs="arial"/>
          <w:color w:val="000000"/>
          <w:sz w:val="20"/>
          <w:lang w:val="en-US" w:eastAsia="en-US" w:bidi="ar-SA"/>
        </w:rPr>
        <w:t xml:space="preserve"> Carter, </w:t>
      </w:r>
      <w:hyperlink r:id="rId575" w:history="1">
        <w:r>
          <w:rPr>
            <w:rFonts w:ascii="arial" w:eastAsia="arial" w:hAnsi="arial" w:cs="arial"/>
            <w:i/>
            <w:color w:val="0077CC"/>
            <w:sz w:val="20"/>
            <w:u w:val="single"/>
            <w:shd w:val="clear" w:color="auto" w:fill="FFFFFF"/>
            <w:lang w:val="en-US" w:eastAsia="en-US" w:bidi="ar-SA"/>
          </w:rPr>
          <w:t>[1981] B.C.J. No. 1484</w:t>
        </w:r>
      </w:hyperlink>
      <w:r>
        <w:rPr>
          <w:rFonts w:ascii="arial" w:eastAsia="arial" w:hAnsi="arial" w:cs="arial"/>
          <w:color w:val="000000"/>
          <w:sz w:val="20"/>
          <w:lang w:val="en-US" w:eastAsia="en-US" w:bidi="ar-SA"/>
        </w:rPr>
        <w:t>, discretion should be exercised only where the court is satisfied the first representative is unable or unwilling to inform himself and the court is satisfied that the discovery cannot be reasonably conducted on the basis of the examinee informing himself.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The purpose of examination for discovery is to enable a party to determine what the other side's case is and to obtain admissions. It is not to give an opposing party the opportunity to examine all witnesses adverse in interest or who may have information about an issue in a case: </w:t>
      </w:r>
      <w:r>
        <w:rPr>
          <w:rFonts w:ascii="arial" w:eastAsia="arial" w:hAnsi="arial" w:cs="arial"/>
          <w:i/>
          <w:color w:val="000000"/>
          <w:sz w:val="20"/>
          <w:lang w:val="en-US" w:eastAsia="en-US" w:bidi="ar-SA"/>
        </w:rPr>
        <w:t>Dann v. Dhaliwal</w:t>
      </w:r>
      <w:r>
        <w:rPr>
          <w:rFonts w:ascii="arial" w:eastAsia="arial" w:hAnsi="arial" w:cs="arial"/>
          <w:color w:val="000000"/>
          <w:sz w:val="20"/>
          <w:lang w:val="en-US" w:eastAsia="en-US" w:bidi="ar-SA"/>
        </w:rPr>
        <w:t xml:space="preserve">, </w:t>
      </w:r>
      <w:hyperlink r:id="rId576" w:history="1">
        <w:r>
          <w:rPr>
            <w:rFonts w:ascii="arial" w:eastAsia="arial" w:hAnsi="arial" w:cs="arial"/>
            <w:i/>
            <w:color w:val="0077CC"/>
            <w:sz w:val="20"/>
            <w:u w:val="single"/>
            <w:shd w:val="clear" w:color="auto" w:fill="FFFFFF"/>
            <w:lang w:val="en-US" w:eastAsia="en-US" w:bidi="ar-SA"/>
          </w:rPr>
          <w:t>2012 BCSC 1817</w:t>
        </w:r>
      </w:hyperlink>
      <w:r>
        <w:rPr>
          <w:rFonts w:ascii="arial" w:eastAsia="arial" w:hAnsi="arial" w:cs="arial"/>
          <w:color w:val="000000"/>
          <w:sz w:val="20"/>
          <w:lang w:val="en-US" w:eastAsia="en-US" w:bidi="ar-SA"/>
        </w:rPr>
        <w:t xml:space="preserve">, paras. 12-13; </w:t>
      </w:r>
      <w:r>
        <w:rPr>
          <w:rFonts w:ascii="arial" w:eastAsia="arial" w:hAnsi="arial" w:cs="arial"/>
          <w:i/>
          <w:color w:val="000000"/>
          <w:sz w:val="20"/>
          <w:lang w:val="en-US" w:eastAsia="en-US" w:bidi="ar-SA"/>
        </w:rPr>
        <w:t>Lord v. Royal Columbian Hospital</w:t>
      </w:r>
      <w:r>
        <w:rPr>
          <w:rFonts w:ascii="arial" w:eastAsia="arial" w:hAnsi="arial" w:cs="arial"/>
          <w:color w:val="000000"/>
          <w:sz w:val="20"/>
          <w:lang w:val="en-US" w:eastAsia="en-US" w:bidi="ar-SA"/>
        </w:rPr>
        <w:t xml:space="preserve"> </w:t>
      </w:r>
      <w:hyperlink r:id="rId577" w:history="1">
        <w:r>
          <w:rPr>
            <w:rFonts w:ascii="arial" w:eastAsia="arial" w:hAnsi="arial" w:cs="arial"/>
            <w:i/>
            <w:color w:val="0077CC"/>
            <w:sz w:val="20"/>
            <w:u w:val="single"/>
            <w:shd w:val="clear" w:color="auto" w:fill="FFFFFF"/>
            <w:lang w:val="en-US" w:eastAsia="en-US" w:bidi="ar-SA"/>
          </w:rPr>
          <w:t>(1981), 43 B.C.L.R. 147</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Dann</w:t>
      </w:r>
      <w:r>
        <w:rPr>
          <w:rFonts w:ascii="arial" w:eastAsia="arial" w:hAnsi="arial" w:cs="arial"/>
          <w:color w:val="000000"/>
          <w:sz w:val="20"/>
          <w:lang w:val="en-US" w:eastAsia="en-US" w:bidi="ar-SA"/>
        </w:rPr>
        <w:t xml:space="preserve"> Mr. Justice Goepel (referring to </w:t>
      </w:r>
      <w:r>
        <w:rPr>
          <w:rFonts w:ascii="arial" w:eastAsia="arial" w:hAnsi="arial" w:cs="arial"/>
          <w:i/>
          <w:color w:val="000000"/>
          <w:sz w:val="20"/>
          <w:lang w:val="en-US" w:eastAsia="en-US" w:bidi="ar-SA"/>
        </w:rPr>
        <w:t>Nesbitt v. Midland Walwyn Capital Inc.</w:t>
      </w:r>
      <w:r>
        <w:rPr>
          <w:rFonts w:ascii="arial" w:eastAsia="arial" w:hAnsi="arial" w:cs="arial"/>
          <w:color w:val="000000"/>
          <w:sz w:val="20"/>
          <w:lang w:val="en-US" w:eastAsia="en-US" w:bidi="ar-SA"/>
        </w:rPr>
        <w:t xml:space="preserve"> </w:t>
      </w:r>
      <w:hyperlink r:id="rId578" w:history="1">
        <w:r>
          <w:rPr>
            <w:rFonts w:ascii="arial" w:eastAsia="arial" w:hAnsi="arial" w:cs="arial"/>
            <w:i/>
            <w:color w:val="0077CC"/>
            <w:sz w:val="20"/>
            <w:u w:val="single"/>
            <w:shd w:val="clear" w:color="auto" w:fill="FFFFFF"/>
            <w:lang w:val="en-US" w:eastAsia="en-US" w:bidi="ar-SA"/>
          </w:rPr>
          <w:t>(1994) 90 B.C.L.R. (2d) 231</w:t>
        </w:r>
      </w:hyperlink>
      <w:r>
        <w:rPr>
          <w:rFonts w:ascii="arial" w:eastAsia="arial" w:hAnsi="arial" w:cs="arial"/>
          <w:color w:val="000000"/>
          <w:sz w:val="20"/>
          <w:lang w:val="en-US" w:eastAsia="en-US" w:bidi="ar-SA"/>
        </w:rPr>
        <w:t xml:space="preserve"> (S.C.)) noted that a party may be entitled to examine a second corporate representative in the exceptional case in which an officer is unable to adequately respond,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[16] In the course of his reasons Hutchinson J. noted that </w:t>
      </w:r>
      <w:r>
        <w:rPr>
          <w:rFonts w:ascii="arial" w:eastAsia="arial" w:hAnsi="arial" w:cs="arial"/>
          <w:color w:val="000000"/>
          <w:sz w:val="20"/>
          <w:u w:val="single"/>
          <w:lang w:val="en-US" w:eastAsia="en-US" w:bidi="ar-SA"/>
        </w:rPr>
        <w:t>a corporate officer, who thoroughly informs himself or herself on the corporation's activities, should be able to respond to all concerns. He explained that in the exceptional case in which an officer is unable to adequately respond, the plaintiff is entitled to seek in application of a second representative.</w:t>
      </w:r>
      <w:r>
        <w:rPr>
          <w:rFonts w:ascii="arial" w:eastAsia="arial" w:hAnsi="arial" w:cs="arial"/>
          <w:color w:val="000000"/>
          <w:sz w:val="20"/>
          <w:lang w:val="en-US" w:eastAsia="en-US" w:bidi="ar-SA"/>
        </w:rPr>
        <w:t xml:space="preserve"> He noted that if the defendant in the case before him was a natural person there would be no difficulty to be resolved.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In Westcoast Transmission Co. Ltd. v. Interprovincial Steel and Pipe Corp. Ltd.</w:t>
      </w:r>
      <w:r>
        <w:rPr>
          <w:rFonts w:ascii="arial" w:eastAsia="arial" w:hAnsi="arial" w:cs="arial"/>
          <w:color w:val="000000"/>
          <w:sz w:val="20"/>
          <w:lang w:val="en-US" w:eastAsia="en-US" w:bidi="ar-SA"/>
        </w:rPr>
        <w:t xml:space="preserve"> </w:t>
      </w:r>
      <w:hyperlink r:id="rId579" w:history="1">
        <w:r>
          <w:rPr>
            <w:rFonts w:ascii="arial" w:eastAsia="arial" w:hAnsi="arial" w:cs="arial"/>
            <w:i/>
            <w:color w:val="0077CC"/>
            <w:sz w:val="20"/>
            <w:u w:val="single"/>
            <w:shd w:val="clear" w:color="auto" w:fill="FFFFFF"/>
            <w:lang w:val="en-US" w:eastAsia="en-US" w:bidi="ar-SA"/>
          </w:rPr>
          <w:t>(1984), 59 B.C.L.R. 43</w:t>
        </w:r>
      </w:hyperlink>
      <w:r>
        <w:rPr>
          <w:rFonts w:ascii="arial" w:eastAsia="arial" w:hAnsi="arial" w:cs="arial"/>
          <w:color w:val="000000"/>
          <w:sz w:val="20"/>
          <w:lang w:val="en-US" w:eastAsia="en-US" w:bidi="ar-SA"/>
        </w:rPr>
        <w:t xml:space="preserve">, </w:t>
      </w:r>
      <w:hyperlink r:id="rId580" w:history="1">
        <w:r>
          <w:rPr>
            <w:rFonts w:ascii="arial" w:eastAsia="arial" w:hAnsi="arial" w:cs="arial"/>
            <w:i/>
            <w:color w:val="0077CC"/>
            <w:sz w:val="20"/>
            <w:u w:val="single"/>
            <w:shd w:val="clear" w:color="auto" w:fill="FFFFFF"/>
            <w:lang w:val="en-US" w:eastAsia="en-US" w:bidi="ar-SA"/>
          </w:rPr>
          <w:t>29 A.C.W.S. (2d) 328</w:t>
        </w:r>
      </w:hyperlink>
      <w:r>
        <w:rPr>
          <w:rFonts w:ascii="arial" w:eastAsia="arial" w:hAnsi="arial" w:cs="arial"/>
          <w:color w:val="000000"/>
          <w:sz w:val="20"/>
          <w:lang w:val="en-US" w:eastAsia="en-US" w:bidi="ar-SA"/>
        </w:rPr>
        <w:t xml:space="preserve"> (S.C.), Finch J. stated at paras. 39-40: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[39] The test whether an examination for discovery has been "satisfactory" on an application for the examination of a second officer is not a subjective test depending on the view of the examiner. The question is whether there has been a full inquiry into all matters which may be relevant to the issues raised on the pleadings, and whether those inquiries have been answered either of the witness's own knowledge, or upon his informing himself. An examination of a corporate litigant is not unsatisfactory only because the witness has had to inform himself, and thereafter has given answers on hearsay. The examination is not unsatisfactory because the informing process has limited the cut and thrust of "cross- examination." Nor is it unsatisfactory because the examiner is uncertain of the party's position. It is for the examiner to clarify and remove any doubt by his questions, and by requiring answers to them.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[40] To show that an examination for discovery has been unsatisfactory so as to entitle a party to a further examination, it is necessary to demonstrate that questions asked have not been answered, or that answers given are incomplete, unresponsive or ambiguous, or that follow-up questions have similarly not been answered in a clear, complete and responsive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time to determine whether to order a further representative is after the present examinations have been completed and it is known what information remains outstanding (</w:t>
      </w:r>
      <w:r>
        <w:rPr>
          <w:rFonts w:ascii="arial" w:eastAsia="arial" w:hAnsi="arial" w:cs="arial"/>
          <w:i/>
          <w:color w:val="000000"/>
          <w:sz w:val="20"/>
          <w:lang w:val="en-US" w:eastAsia="en-US" w:bidi="ar-SA"/>
        </w:rPr>
        <w:t>Lord</w:t>
      </w:r>
      <w:r>
        <w:rPr>
          <w:rFonts w:ascii="arial" w:eastAsia="arial" w:hAnsi="arial" w:cs="arial"/>
          <w:color w:val="000000"/>
          <w:sz w:val="20"/>
          <w:lang w:val="en-US" w:eastAsia="en-US" w:bidi="ar-SA"/>
        </w:rPr>
        <w:t xml:space="preserve"> at paras. 18-19).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As a result, in order to obtain an order for examination of a second representative, the plaintiffs need to demonstrate that Mr. Gibson is unable or unwilling to satisfactorily inform himself about the subject of the examination for discovery and that examining Ms. Down is necessary to obtain the particular evidence they seek.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Position of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plaintiffs' submission is set out in their application as follows:</w:t>
      </w:r>
      <w:r>
        <w:rPr>
          <w:rFonts w:ascii="arial" w:eastAsia="arial" w:hAnsi="arial" w:cs="arial"/>
          <w:sz w:val="20"/>
          <w:lang w:val="en-US" w:eastAsia="en-US" w:bidi="ar-SA"/>
        </w:rPr>
        <w:cr/>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Gibson has displayed a persistent inability or unwillingness to adequately inform himself on central matters in issue in this litigation, as illustrated by the examples set out above, which are summarized below as follows:</w:t>
      </w:r>
    </w:p>
    <w:p>
      <w:pPr>
        <w:numPr>
          <w:numId w:val="2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He testified that in preparation for the first examination, he had not reviewed the Prosecution Report;</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testified at the continuation of the examination, that he had not reviewed the notes of the interview with Diane Ye even though he was specifically asked to do so;</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testified that he had skimmed through the critical charge approval memorandum prepared by Lisa McLean;</w:t>
      </w:r>
    </w:p>
    <w:p>
      <w:pPr>
        <w:numPr>
          <w:numId w:val="2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He could not answer questions related to his own involvement in the prosecution;</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testified that he had no role in charge approval;</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did not know the extent to which Marsha Down was involved in charge approval;</w:t>
      </w:r>
    </w:p>
    <w:p>
      <w:pPr>
        <w:numPr>
          <w:numId w:val="31"/>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He did not know who approved charges, but he testified that he believed he did know at one point who approved charges, but that he had since forgotten;</w:t>
      </w:r>
    </w:p>
    <w:p>
      <w:pPr>
        <w:numPr>
          <w:numId w:val="3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He did not know the extent to which CRA was involved in charge approval; and,</w:t>
      </w:r>
    </w:p>
    <w:p>
      <w:pPr>
        <w:numPr>
          <w:numId w:val="3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He did not know who was involved or the how the decision had been made to charge Helen Samaroo;</w:t>
      </w:r>
    </w:p>
    <w:p>
      <w:pPr>
        <w:numPr>
          <w:numId w:val="3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He could not say whether he had seen Ms. McLean's charge approval memorandum though he did say that he thought it may have been in the file; and,</w:t>
      </w:r>
    </w:p>
    <w:p>
      <w:pPr>
        <w:numPr>
          <w:numId w:val="3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He testified that he was neither shocked nor surprised that Lisa McLean had taken the position in her charge approval memorandum that Helen Samaroo should not be charged with any offences.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Further they submit that the evidence sought to be canvassed with Ms. Down is highly relevant to the approval of charges against the Samaroo's, in particular, the decision of who was to be charged, with what offences, and in what amounts.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Position of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defendants dispute the plaintiffs' interpretation of what occurred at the discovery of Mr. Gibson. Firstly they observe that the plaintiffs selected Mr. Gibson as the representative of the corporate defendant that they wished to examine. They note that Mr. Gibson was examined for about four hours on January 4, 2014 and for one and three-quarter hours on August 26,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They observe as well that a number of requests were made during the January 2014 examination and that responses to some of the examination requests were provided to the plaintiff after the first discovery session on March 18, 2014. No requests were made during the August 2015 continuation of the 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With respect to Mr. Gibson's fees they proposed preparation fees consistent with Mr. Gibson's profession and experience.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assessment of the merits of this application requires consideration of certain factors involving the Provincial Court tax prosecution that gave rise to this litigation. Firstly, the information was sworn in 2008 and Mr. Gibson became involved in the file in the fall of 2009. The Provincial Court trial occurred during various periods between February 1, 2010 and February 24, 2011 and lasted for 19 days. This litigation was commenced March 2012. As a result by the time Mr. Gibson was examined four years had passed since the completion of the Provincial Court trial. In addition Mr. Gibson was junior counsel and was not primarily responsible for conducting the trial. It is also apparent, as confirmed by Mr. Gibson on his discovery, that this was a very document intensive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It is in that context that the basis for the plaintiffs' application must be assessed. In addition, while the plaintiffs have referred to particular questions and answers in support of their application, those must be read in the context of the discovery as a whole.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gist of the plaintiffs' application is that Mr. Gibson was unable or unwilling to inform himself and that he was uncooperative and unresponsive.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With respect to certain questions the documents referred to were returned to the client (PPSC) after the Provincial Court trial hence it appears were not available to Mr. Gibson in preparation for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Defence counsel also note that no requests were made of Mr. Gibson to inform himself of Ms. Down's involvement, whether she had seen certain emails, the CRA role in the charging process or other matters that plaintiffs wish to examine her about. As a result, the defendants say it has not been shown that Mr. Gibson is unable or unwilling to inform himself. They note as well that when information was requested from Mr. Jones on his discovery concerning Ms. Down that information was obtained and provided, indicating that information can be obtained through the corporate representative or Mr. Jones.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In my view it is relevant that after the first discovery session the plaintiffs were not dissatisfied with Mr. Gibson being examined as the corporate representative as they insisted on continuing his examination as the corporate representative after the plaintiffs learned he was leaving the firm despite being offered the option of an alternate representative or having the questions answered by way of interrogatories.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Having read the transcripts I do not agree given the length of time ago that the events occurred and the obvious document heavy nature of the case, that Mr. Gibson's preparation was deficient as alleged. Nor do I find that he was uncooperative or unresponsive.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By its very nature the examination of a representative of a corporation differs from that of an individual party who was principally involved in the issues. In all probability others will be involved in the matter. In a complex case as well it is unlikely that a witness preparing themself will anticipate every question or area of inquiry that examining counsel may raise. As a result even with diligent preparation it is to be expected that a representative witness will have to inform himself or herself further.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Finally, as noted in </w:t>
      </w:r>
      <w:r>
        <w:rPr>
          <w:rFonts w:ascii="arial" w:eastAsia="arial" w:hAnsi="arial" w:cs="arial"/>
          <w:i/>
          <w:color w:val="000000"/>
          <w:sz w:val="20"/>
          <w:lang w:val="en-US" w:eastAsia="en-US" w:bidi="ar-SA"/>
        </w:rPr>
        <w:t>Lord</w:t>
      </w:r>
      <w:r>
        <w:rPr>
          <w:rFonts w:ascii="arial" w:eastAsia="arial" w:hAnsi="arial" w:cs="arial"/>
          <w:color w:val="000000"/>
          <w:sz w:val="20"/>
          <w:lang w:val="en-US" w:eastAsia="en-US" w:bidi="ar-SA"/>
        </w:rPr>
        <w:t xml:space="preserve"> an application to examine a second representative should not be granted prior to completion of the examinations of Mr. Jones and Mr. Gibson and at the date of this application that had not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As a result the application to examine Ms. Down is dismissed although the plaintiffs may renew the application in the event after completion of the examinations for discovery of Mr. Jones and Mr. Gibson they seek to examine another representative of the corporation.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Application for Release From Implied Undertaking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plaintiffs seek an order releasing them from the implied undertaking over information and documents provided by each of Brian Jones and Brian D. Jones Law Corporation in these proceedings so that they may use that information and those documents in the Tax Court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As there were certain deadlines arising in the Tax Court proceedings I granted the order sought with reasons to follow. These reasons relating to the release from the implied undertaking are those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plaintiffs argue that the Tax Court proceedings are tainted and that they are an attempt by the defendants to re-litigate the criminal prosecution in another forum effectively continuing the malicious prosecution of the plaintiffs by the defendants. In order to advance that argument in the Tax Court proceedings the plaintiffs seek to use the documents and information requested.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They submit that Brian Jones and Brian D. Jones Law Corporation and not the CRA provided much of the relevant information and documents relating to the CRA's involvement and role in the criminal prosecution of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They further submit that the malicious prosecution and the Tax Court proceedings involve the same issues and are based on the same underlying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They submit that Mr. Jones has already disclosed much of the same information to the CRA and as a result it would be unjust to allow the CRA to use the information provided by Mr. Jones in the Tax Court proceedings while prohibiting the plaintiffs from doing the same.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defendants make two arguments against relieving the implied undertaking. They say that (1) the issues are not the same and (2) the Tax Court has no jurisdiction for the relief sought by the plaintiffs based on abuse of process so there is no public interest in allowing the plaintiffs to use that information for that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Law and Discussion of Implied Undertaking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The general rule respecting the implied undertaking arising in litigation disclosure was summarized by the Alberta Court of Queen's Bench </w:t>
      </w:r>
      <w:r>
        <w:rPr>
          <w:rFonts w:ascii="arial" w:eastAsia="arial" w:hAnsi="arial" w:cs="arial"/>
          <w:i/>
          <w:color w:val="000000"/>
          <w:sz w:val="20"/>
          <w:lang w:val="en-US" w:eastAsia="en-US" w:bidi="ar-SA"/>
        </w:rPr>
        <w:t>in Blindman Livestock Feeder Co-op Ltd. (Receiver of) v. Snyder</w:t>
      </w:r>
      <w:r>
        <w:rPr>
          <w:rFonts w:ascii="arial" w:eastAsia="arial" w:hAnsi="arial" w:cs="arial"/>
          <w:color w:val="000000"/>
          <w:sz w:val="20"/>
          <w:lang w:val="en-US" w:eastAsia="en-US" w:bidi="ar-SA"/>
        </w:rPr>
        <w:t xml:space="preserve">, </w:t>
      </w:r>
      <w:hyperlink r:id="rId581" w:history="1">
        <w:r>
          <w:rPr>
            <w:rFonts w:ascii="arial" w:eastAsia="arial" w:hAnsi="arial" w:cs="arial"/>
            <w:i/>
            <w:color w:val="0077CC"/>
            <w:sz w:val="20"/>
            <w:u w:val="single"/>
            <w:shd w:val="clear" w:color="auto" w:fill="FFFFFF"/>
            <w:lang w:val="en-US" w:eastAsia="en-US" w:bidi="ar-SA"/>
          </w:rPr>
          <w:t>2005 ABQB 689</w:t>
        </w:r>
      </w:hyperlink>
      <w:r>
        <w:rPr>
          <w:rFonts w:ascii="arial" w:eastAsia="arial" w:hAnsi="arial" w:cs="arial"/>
          <w:color w:val="000000"/>
          <w:sz w:val="20"/>
          <w:lang w:val="en-US" w:eastAsia="en-US" w:bidi="ar-SA"/>
        </w:rPr>
        <w:t xml:space="preserve"> at para. 4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 Generally when a party is obliged by either a rule of court or a court order to give discovery by producing documents or by submitting to oral examination, the party who obtains that discovery is obliged to maintain the documents and testimony in confidence unless relieved of that obligation by court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rationale behind this rule is the implied undertaking acts as a safeguard to balance the public interest of full disclosure in order that the truth may be discovered, against a desire to minimize intrusions on privacy (</w:t>
      </w:r>
      <w:r>
        <w:rPr>
          <w:rFonts w:ascii="arial" w:eastAsia="arial" w:hAnsi="arial" w:cs="arial"/>
          <w:i/>
          <w:color w:val="000000"/>
          <w:sz w:val="20"/>
          <w:lang w:val="en-US" w:eastAsia="en-US" w:bidi="ar-SA"/>
        </w:rPr>
        <w:t>Juman v. Doucette</w:t>
      </w:r>
      <w:r>
        <w:rPr>
          <w:rFonts w:ascii="arial" w:eastAsia="arial" w:hAnsi="arial" w:cs="arial"/>
          <w:color w:val="000000"/>
          <w:sz w:val="20"/>
          <w:lang w:val="en-US" w:eastAsia="en-US" w:bidi="ar-SA"/>
        </w:rPr>
        <w:t xml:space="preserve">, </w:t>
      </w:r>
      <w:hyperlink r:id="rId582" w:history="1">
        <w:r>
          <w:rPr>
            <w:rFonts w:ascii="arial" w:eastAsia="arial" w:hAnsi="arial" w:cs="arial"/>
            <w:i/>
            <w:color w:val="0077CC"/>
            <w:sz w:val="20"/>
            <w:u w:val="single"/>
            <w:shd w:val="clear" w:color="auto" w:fill="FFFFFF"/>
            <w:lang w:val="en-US" w:eastAsia="en-US" w:bidi="ar-SA"/>
          </w:rPr>
          <w:t>2008 SCC 8</w:t>
        </w:r>
      </w:hyperlink>
      <w:r>
        <w:rPr>
          <w:rFonts w:ascii="arial" w:eastAsia="arial" w:hAnsi="arial" w:cs="arial"/>
          <w:color w:val="000000"/>
          <w:sz w:val="20"/>
          <w:lang w:val="en-US" w:eastAsia="en-US" w:bidi="ar-SA"/>
        </w:rPr>
        <w:t xml:space="preserve"> at para. 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A court has the discretion to grant relief from the implied undertaking where on a balance of probabilities the applicant can demonstrate the existence of a public interest of greater weight than the values the implied undertaking is designed to protect -- namely privacy and the efficient conduct of civil litigation (</w:t>
      </w:r>
      <w:r>
        <w:rPr>
          <w:rFonts w:ascii="arial" w:eastAsia="arial" w:hAnsi="arial" w:cs="arial"/>
          <w:i/>
          <w:color w:val="000000"/>
          <w:sz w:val="20"/>
          <w:lang w:val="en-US" w:eastAsia="en-US" w:bidi="ar-SA"/>
        </w:rPr>
        <w:t>Juman</w:t>
      </w:r>
      <w:r>
        <w:rPr>
          <w:rFonts w:ascii="arial" w:eastAsia="arial" w:hAnsi="arial" w:cs="arial"/>
          <w:color w:val="000000"/>
          <w:sz w:val="20"/>
          <w:lang w:val="en-US" w:eastAsia="en-US" w:bidi="ar-SA"/>
        </w:rPr>
        <w:t xml:space="preserve"> at para. 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Turning first to the defendants' submission that the issues are not the same the stated purpose of the Tax Court proceedings is to determine the validity and correctness of the plaintiffs 2004 and 2005 income tax assessments. The plaintiffs wish to defend these allegations by demonstrating that the Tax Court proceedings are an abuse of process because they are a repetition of the criminal proceedings -- which in turn are being questioned as an abuse of process under these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The purpose of this litigation is to determine whether or not the criminal proceedings were an abuse of process. In my opinion if the plaintiffs wish to use this information to demonstrate that another branch of the Federal Government is abusing the process in a similar way, there is a public interest in allowing that information to be used. This accords with the Supreme Court's statement in </w:t>
      </w:r>
      <w:r>
        <w:rPr>
          <w:rFonts w:ascii="arial" w:eastAsia="arial" w:hAnsi="arial" w:cs="arial"/>
          <w:i/>
          <w:color w:val="000000"/>
          <w:sz w:val="20"/>
          <w:lang w:val="en-US" w:eastAsia="en-US" w:bidi="ar-SA"/>
        </w:rPr>
        <w:t>Juman</w:t>
      </w:r>
      <w:r>
        <w:rPr>
          <w:rFonts w:ascii="arial" w:eastAsia="arial" w:hAnsi="arial" w:cs="arial"/>
          <w:color w:val="000000"/>
          <w:sz w:val="20"/>
          <w:lang w:val="en-US" w:eastAsia="en-US" w:bidi="ar-SA"/>
        </w:rPr>
        <w:t xml:space="preserve">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[35] ... where discovery material in one action is sought to be used in another action with the same or similar parties and the same or similar issues, the prejudice to the examinee is virtually non-existent and leave will generally be granted.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As the plaintiffs wish to raise a defence in the Tax Court proceedings that is effectively the same as the cause of action they are pleading in this case, and since the parties are the same, there is little or no privacy issue at stake to deter the Court from relieving the plaintiffs from the implied undertaking. In fact, there is already some evidence that Mr. Jones has disclosed some of his information to the Canada Revenue Agency for the purpose of the Tax Court proceedings. There is little reason why (based on the criteria set out in </w:t>
      </w:r>
      <w:r>
        <w:rPr>
          <w:rFonts w:ascii="arial" w:eastAsia="arial" w:hAnsi="arial" w:cs="arial"/>
          <w:i/>
          <w:color w:val="000000"/>
          <w:sz w:val="20"/>
          <w:lang w:val="en-US" w:eastAsia="en-US" w:bidi="ar-SA"/>
        </w:rPr>
        <w:t>Juman</w:t>
      </w:r>
      <w:r>
        <w:rPr>
          <w:rFonts w:ascii="arial" w:eastAsia="arial" w:hAnsi="arial" w:cs="arial"/>
          <w:color w:val="000000"/>
          <w:sz w:val="20"/>
          <w:lang w:val="en-US" w:eastAsia="en-US" w:bidi="ar-SA"/>
        </w:rPr>
        <w:t>) the information should not be used in a related case against related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As stated above, all the parties in this case are the same. Albeit Mr. Jones was acting as an agent for the Public Prosecution Service of Canada, the parties involved in both cases are the plaintiffs and agents or corporate interests of the Federal Government.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The second issue raised by the defendants is that there is no public interest in allowing the plaintiffs to use the information in the Tax Court proceedings because the Tax Court has no jurisdiction to grant relief based on an abuse of process. The defendants suggest that there is no abuse of process, double jeopardy, or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issues because of the concurrent criminal prosecution and civil cases, or because there were the same people preparing the reports. The defendants suggested, and provided case law for the proposition that wrongful conduct by an income tax official is not relevant to the determination of the validity or correctness of an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In my view it is for the Tax Court to determine what evidence is admissible and what factors are to be taken into account in their proceedings. It is not for this Court to speculate on what is a permissible defence. The issue in this Court is whether it is in the public interest to relieve the plaintiffs from the implied undertaking.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In an earlier ruling in this proceeding ( </w:t>
      </w:r>
      <w:hyperlink r:id="rId583" w:history="1">
        <w:r>
          <w:rPr>
            <w:rFonts w:ascii="arial" w:eastAsia="arial" w:hAnsi="arial" w:cs="arial"/>
            <w:i/>
            <w:color w:val="0077CC"/>
            <w:sz w:val="20"/>
            <w:u w:val="single"/>
            <w:shd w:val="clear" w:color="auto" w:fill="FFFFFF"/>
            <w:lang w:val="en-US" w:eastAsia="en-US" w:bidi="ar-SA"/>
          </w:rPr>
          <w:t>2014 BCSC 1349</w:t>
        </w:r>
      </w:hyperlink>
      <w:r>
        <w:rPr>
          <w:rFonts w:ascii="arial" w:eastAsia="arial" w:hAnsi="arial" w:cs="arial"/>
          <w:color w:val="000000"/>
          <w:sz w:val="20"/>
          <w:lang w:val="en-US" w:eastAsia="en-US" w:bidi="ar-SA"/>
        </w:rPr>
        <w:t xml:space="preserve"> at para. 56, aff'd in </w:t>
      </w:r>
      <w:hyperlink r:id="rId584" w:history="1">
        <w:r>
          <w:rPr>
            <w:rFonts w:ascii="arial" w:eastAsia="arial" w:hAnsi="arial" w:cs="arial"/>
            <w:i/>
            <w:color w:val="0077CC"/>
            <w:sz w:val="20"/>
            <w:u w:val="single"/>
            <w:shd w:val="clear" w:color="auto" w:fill="FFFFFF"/>
            <w:lang w:val="en-US" w:eastAsia="en-US" w:bidi="ar-SA"/>
          </w:rPr>
          <w:t>2015 BCCA 116</w:t>
        </w:r>
      </w:hyperlink>
      <w:r>
        <w:rPr>
          <w:rFonts w:ascii="arial" w:eastAsia="arial" w:hAnsi="arial" w:cs="arial"/>
          <w:color w:val="000000"/>
          <w:sz w:val="20"/>
          <w:lang w:val="en-US" w:eastAsia="en-US" w:bidi="ar-SA"/>
        </w:rPr>
        <w:t>) I noted: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[56] In cases involving an allegation of unconscionable behaviour by government or its agents, there is an argument in favour of disclosure as the government cannot be permitted to hide behind secrecy in order to facilitate improper conduct; in that case, releasing the documents helps support the public interest in seeing that justice is done (see </w:t>
      </w:r>
      <w:r>
        <w:rPr>
          <w:rFonts w:ascii="arial" w:eastAsia="arial" w:hAnsi="arial" w:cs="arial"/>
          <w:i/>
          <w:color w:val="000000"/>
          <w:sz w:val="20"/>
          <w:lang w:val="en-US" w:eastAsia="en-US" w:bidi="ar-SA"/>
        </w:rPr>
        <w:t>Carey</w:t>
      </w:r>
      <w:r>
        <w:rPr>
          <w:rFonts w:ascii="arial" w:eastAsia="arial" w:hAnsi="arial" w:cs="arial"/>
          <w:color w:val="000000"/>
          <w:sz w:val="20"/>
          <w:lang w:val="en-US" w:eastAsia="en-US" w:bidi="ar-SA"/>
        </w:rPr>
        <w:t xml:space="preserve">), </w:t>
      </w:r>
      <w:hyperlink r:id="rId585" w:history="1">
        <w:r>
          <w:rPr>
            <w:rFonts w:ascii="arial" w:eastAsia="arial" w:hAnsi="arial" w:cs="arial"/>
            <w:i/>
            <w:color w:val="0077CC"/>
            <w:sz w:val="20"/>
            <w:u w:val="single"/>
            <w:shd w:val="clear" w:color="auto" w:fill="FFFFFF"/>
            <w:lang w:val="en-US" w:eastAsia="en-US" w:bidi="ar-SA"/>
          </w:rPr>
          <w:t>[1986] 2 S.C.R. 637</w:t>
        </w:r>
      </w:hyperlink>
      <w:r>
        <w:rPr>
          <w:rFonts w:ascii="arial" w:eastAsia="arial" w:hAnsi="arial" w:cs="arial"/>
          <w:color w:val="000000"/>
          <w:sz w:val="20"/>
          <w:lang w:val="en-US" w:eastAsia="en-US" w:bidi="ar-SA"/>
        </w:rPr>
        <w:t xml:space="preserve"> . That would appear relevant to this matter given that the plaintiffs are alleging that the tax evasion prosecution was undertaken for improper purposes.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 plaintiffs are effectively suggesting that the same thing is occurring in the Tax Court proceedings -- that the tax re-assessments are being done for an improper purpose. As a result, they wish to have any supporting documents to prove this. While the defendants suggest that they should not be permitted to be released from their undertaking because there is no ability to make an abuse of process claim, that should not deter this Court from relieving the plaintiffs from their implied undertaking when there is little or no privacy issue at stake for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The British Columbia Court of Appeal at para. 16 of their decision found that the "function of imposing a threshold evidentiary burden on abuse of process claims in criminal cases is served in the civil sphere by the high burden of proof required to prove the tort and the availability of summary disposition procedures." In my view that is analogous to this application. There very well may be an inordinately high burden that the plaintiffs are required to meet in order to demonstrate that there is an abuse of process in the Tax Court proceedings, but that in itself should not preclude disclosure - or in this case, relief from the implied undertaking.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Finally there are no concerns raised by the defendant regarding (1) privacy concerns or (2) that this type of disclosure would inhibit the free and frank disclosure of records (as per </w:t>
      </w:r>
      <w:r>
        <w:rPr>
          <w:rFonts w:ascii="arial" w:eastAsia="arial" w:hAnsi="arial" w:cs="arial"/>
          <w:i/>
          <w:color w:val="000000"/>
          <w:sz w:val="20"/>
          <w:lang w:val="en-US" w:eastAsia="en-US" w:bidi="ar-SA"/>
        </w:rPr>
        <w:t>Juman</w:t>
      </w:r>
      <w:r>
        <w:rPr>
          <w:rFonts w:ascii="arial" w:eastAsia="arial" w:hAnsi="arial" w:cs="arial"/>
          <w:color w:val="000000"/>
          <w:sz w:val="20"/>
          <w:lang w:val="en-US" w:eastAsia="en-US" w:bidi="ar-SA"/>
        </w:rPr>
        <w:t xml:space="preserve"> at para 26). The plaintiffs concede that they are not interested in using billing records or other administrative type documents. Furthermore as stated above, there is a suggestion from the discovery of Mr. Jones that he has shared much of his information with the CRA already. As a result, there are little or no privacy concerns arising from the plaintiffs using the information in the Tax Court proceedings against the CRA.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In summary, the public interest in disclosing the information received from Brian Jones and Brian D. Jones Corporation outweighs their privacy interests.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Defendant CRA's Applications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The defendants seek orders pursuant to Rule 7-2(25) that the plaintiffs answer certain questions put to them on their respective discoveries and produce certain requested documents. The defendants also seek an extension of their discovery time of the plaintiffs by two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The questions asked and the documents requested relate primarily to the source of funds. The Provincial Court Judge found that the funds were not the subject of the tax prosecution as they were from their employment savings and inherited funds which they held in the form of cash due to their beliefs and banking practices.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Those findings and related documents raise the matters of issue estoppel and relevance both of which formed the basis for the plaintiffs' objections to the questions asked and the documents requested.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The plaintiffs have each been examined for discovery. During their respective discoveries various requests for information and documents were made. Those requests were confirmed in writing to counsel for the plaintiffs. While some of the requests have been answered others remain outstanding.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Position of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The defendants submit that information and documents relating to what the plaintiffs say should have been considered by the CRA and the prosecutor are relevant as they would have disproven or weakened the case against them in Provincial Court and they are relevant to the pleadings in this case given the plaintiffs must prove the absence of reasonable and probable cause for the prosecution.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The defendants also state the information, answers and documents sought are relevant because they say the plaintiffs must show that if the prosecutors and CRA had the exculpatory documents (that proved legitimate sources for the funds) it would not have been reasonable to prosecute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They also submit that the plaintiffs must prove such at trial in this proceeding. In particular they note that at paras. 9, 10 and 11 of the plaintiffs amended notice of civil claim the plaintiffs plead:</w:t>
      </w:r>
      <w:r>
        <w:rPr>
          <w:rFonts w:ascii="arial" w:eastAsia="arial" w:hAnsi="arial" w:cs="arial"/>
          <w:sz w:val="20"/>
          <w:lang w:val="en-US" w:eastAsia="en-US" w:bidi="ar-SA"/>
        </w:rPr>
        <w:cr/>
      </w:r>
    </w:p>
    <w:p>
      <w:pPr>
        <w:numPr>
          <w:numId w:val="3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At material times, the Samaroos have owned, rented, bought, sold, and mortgaged real estate properties, including properties rented by, among other persons, the Samaroo Corporations.</w:t>
      </w:r>
    </w:p>
    <w:p>
      <w:pPr>
        <w:numPr>
          <w:numId w:val="3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As of March 2006, the Samaroos had amassed substantial after-tax cash holdings as a result of their businesses, management, and rental-property activities,</w:t>
      </w:r>
    </w:p>
    <w:p>
      <w:pPr>
        <w:numPr>
          <w:numId w:val="3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At material times, the Samaroos have been beneficiaries of inheritances.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Position of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The plaintiffs state that the Provincial Court found that the plaintiffs had substantial accumulated savings from their employment and inherited funds that they held as cash prior to the audit period. In doing so the plaintiffs submit that issue estoppel applies and the defence are not entitled to now challenge those findings. They submit as well that to permit re-litigation of that issue would be an abuse of process. They also submit those facts are not relevant to any of the issues in these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Law and Analysis of Issue Estoppel, Abuse of Process and Relevance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xml:space="preserve">  The ultimate issue decided by the Provincial Court was whether it was proven beyond a reasonable doubt that the plaintiffs contravened sections of the </w:t>
      </w:r>
      <w:r>
        <w:rPr>
          <w:rFonts w:ascii="arial" w:eastAsia="arial" w:hAnsi="arial" w:cs="arial"/>
          <w:i/>
          <w:color w:val="000000"/>
          <w:sz w:val="20"/>
          <w:lang w:val="en-US" w:eastAsia="en-US" w:bidi="ar-SA"/>
        </w:rPr>
        <w:t>Income Tax Act</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Excise Tax Act</w:t>
      </w:r>
      <w:r>
        <w:rPr>
          <w:rFonts w:ascii="arial" w:eastAsia="arial" w:hAnsi="arial" w:cs="arial"/>
          <w:color w:val="000000"/>
          <w:sz w:val="20"/>
          <w:lang w:val="en-US" w:eastAsia="en-US" w:bidi="ar-SA"/>
        </w:rPr>
        <w:t>. Saunders P.C.J. accepted the evidence of Mr. Samaroo and in doing so found that he and his wife had saved or inherited substantial funds and had used those funds to make cash deposits to their personal and corporate accounts. Judge Saunders also found the assumptions used by the CRA were unreasonable and could not withstand scrutiny and as a result the evidence could not sustain a conviction.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Judge Saunders found that the prosecution's theory that the Samaroos evaded payment of taxes on their taxable income was based on four assumptions:</w:t>
      </w:r>
      <w:r>
        <w:rPr>
          <w:rFonts w:ascii="arial" w:eastAsia="arial" w:hAnsi="arial" w:cs="arial"/>
          <w:sz w:val="20"/>
          <w:lang w:val="en-US" w:eastAsia="en-US" w:bidi="ar-SA"/>
        </w:rPr>
        <w:cr/>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almost one million dollars was deposited into the personal accounts of the Samaroos and the shareholder loan accounts of the MGM and Samaroo Holdings between 2004, 2005 and 2006;</w:t>
      </w:r>
    </w:p>
    <w:p>
      <w:pPr>
        <w:numPr>
          <w:numId w:val="4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Tony Samaroo skimmed unreported cash from one till tape or shift per day from the MGM and the nightclub, and deposited that cash into his account and into the shareholder loan account;</w:t>
      </w:r>
    </w:p>
    <w:p>
      <w:pPr>
        <w:numPr>
          <w:numId w:val="41"/>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Tony and Helen Samaroo used unreported cash to pay third party suppliers, liquor and wages; and,</w:t>
      </w:r>
    </w:p>
    <w:p>
      <w:pPr>
        <w:numPr>
          <w:numId w:val="42"/>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net worth analysis conducted by Keith Kendal indicated that Tony and Helen Samaroo could not have saved close to a million dollars over the years 1980 to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The Court accepted the evidence of Mr. Samaroo and made findings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[57] Tony Samaroo testified at length. He described his early years in Canada, He lived and worked in Regina, Vancouver, Fort St, John, Victoria and Nanaimo where he worked and began accumulating assets over the next forty years. He described in extensive and fine detail where he had worked, what his income was, the businesses that he bought and sold and profits he made.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[58] He married Helen Samaroo and between them they expanded their businesses and bought and sold land and buildings. They worked extremely long hours. They pooled their savings and inheritances. He was cross examined vigorously and challenged on his explanation that the cash paid into his personal and corporate accounts came from life long savings. He was unswayed in his responses.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[61] Before embarking on that analysis, it is important to point out that I find Tony Samaroo to be credible. His demeanour was impressive. His explanation is consistent with significant and material aspects of the evidence and is plausible for the reasons set out below.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[62] In general terms, I accept his evidence that he began working hard and saying when he first arrived in Canada in 1970. I accept that he had sound business acumen in the food and entertainment industry and bought and sold businesses with a profit. I accept that he continued to work long hours with Helen after their marriage and that they accumulated savings from their employment and inherited funds which they held in the form of cash due to their beliefs and banking practices.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In addition to accepting the evidence of the plaintiffs the Provincial Court Judge rejected the evidence of the Crown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[82] The Crown's theory is that the Samaroos could not have amassed $1.7 million dollars between 1982 and 2003. Tony Samaroo's evidence, which I accept, is that he started saving in 1970. A further flaw in the Crown's theory is that the figure of $1.7 million as alleged in the indictment is undoubtedly completely incorrect as the capital cost allowance would, according to Keith Kendal, amount to a significant discrepancy and reduce the figure significantly. Likewise, the inheritances and cash on hand, even if those funds were lower than Tony Samaroo states, would still lead to a different figure which is anybody's guess. As Mr. Kelliher puts it, the Crown has engaged in "voodoo accounting" to come up with the numbers to support the charges."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[83] With the significant flaws in the net worth analysis, the discrepancies between the evidence of Glen Foster and Keith Kendal regarding the shareholder loan accounts, the unreliable extrapolation regarding sales at the MGM over a three month period and the enormous markup calculated by Keith Kendal, which is too hypothetical to rely on and based on shifting variables, the Crown's case is weak and the numbers alleged are highly uncertain.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[84] Tony Samaroo was never challenged in cross examination about very important points such as the existence of the inheritances, that he and Helen could not have such a large amount of savings, that he skimmed unreported cash off the MGM and night club, or that he deliberately destroyed the till tapes to avoid detection and thwart CRA's investigation. I accept the evidence that he told Glen Foster that he does not retain records after getting them back from the accountant.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[85] If the court is to rely on a net worth statement, particularly if it is a joint net worth analysis, there must be hallmarks of reliability, which do not exist in this case. As stated by the court in R. v. Zuk </w:t>
      </w:r>
      <w:hyperlink r:id="rId586" w:history="1">
        <w:r>
          <w:rPr>
            <w:rFonts w:ascii="arial" w:eastAsia="arial" w:hAnsi="arial" w:cs="arial"/>
            <w:i/>
            <w:color w:val="0077CC"/>
            <w:sz w:val="20"/>
            <w:u w:val="single"/>
            <w:shd w:val="clear" w:color="auto" w:fill="FFFFFF"/>
            <w:lang w:val="en-US" w:eastAsia="en-US" w:bidi="ar-SA"/>
          </w:rPr>
          <w:t>[2005] O.J. No. 4323</w:t>
        </w:r>
      </w:hyperlink>
      <w:r>
        <w:rPr>
          <w:rFonts w:ascii="arial" w:eastAsia="arial" w:hAnsi="arial" w:cs="arial"/>
          <w:color w:val="000000"/>
          <w:sz w:val="20"/>
          <w:lang w:val="en-US" w:eastAsia="en-US" w:bidi="ar-SA"/>
        </w:rPr>
        <w:t>, "When a net worth analysis is a tool of the prosecution, the Crown must prove beyond a reasonable doubt either a likely source of the alleged unreported income or disprove beyond a reasonable doubt all non-taxable sources". In this case, the evidence is largely circumstantial and if it is being used by the Crown to prove its case, it must be highly accurate or it is worthless in establishing proof beyond a reasonable doubt.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[86] The net worth analysis is only as sound as the underlying assumption. The assumption relied on by Kendal in preparing the joint net worth assessment was fatally flawed because there was no accounting for the possibility of non taxable income in the form of savings or inheritances, nor was there consideration of the capital cost allowance.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[87] More specifically, Keith Kendal failed to include the capital cost allowance into his net worth analysis which could account for up to a million dollars of the $1.7 million that the Crown alleges the Samaroos misappropriated. He did not factor in the combined inheritances of almost $400,000 that Tony and Helen received and consequently he started the analysis with completely inaccurate assumptions.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[88] Even if I did not find Tony Samaroo to be credible, the Crown cannot rely on the calculations of Keith Kendal to prove its case beyond a reasonable doubt by virtue of the principles enunciated in R. v. Zuk.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In order to successfully prove their claim for malicious prosecution the plaintiffs must establish that they were prosecuted by the defendants, that the criminal proceedings against the plaintiffs terminated in their favour, that the defendants acted without reasonable and probable cause in initiating the prosecution and that the defendants acted with malice, that is for an improper purpose or motive (</w:t>
      </w:r>
      <w:r>
        <w:rPr>
          <w:rFonts w:ascii="arial" w:eastAsia="arial" w:hAnsi="arial" w:cs="arial"/>
          <w:i/>
          <w:color w:val="000000"/>
          <w:sz w:val="20"/>
          <w:lang w:val="en-US" w:eastAsia="en-US" w:bidi="ar-SA"/>
        </w:rPr>
        <w:t>Miazga v. Kvello Estate</w:t>
      </w:r>
      <w:r>
        <w:rPr>
          <w:rFonts w:ascii="arial" w:eastAsia="arial" w:hAnsi="arial" w:cs="arial"/>
          <w:color w:val="000000"/>
          <w:sz w:val="20"/>
          <w:lang w:val="en-US" w:eastAsia="en-US" w:bidi="ar-SA"/>
        </w:rPr>
        <w:t xml:space="preserve">, </w:t>
      </w:r>
      <w:hyperlink r:id="rId587" w:history="1">
        <w:r>
          <w:rPr>
            <w:rFonts w:ascii="arial" w:eastAsia="arial" w:hAnsi="arial" w:cs="arial"/>
            <w:i/>
            <w:color w:val="0077CC"/>
            <w:sz w:val="20"/>
            <w:u w:val="single"/>
            <w:shd w:val="clear" w:color="auto" w:fill="FFFFFF"/>
            <w:lang w:val="en-US" w:eastAsia="en-US" w:bidi="ar-SA"/>
          </w:rPr>
          <w:t>2009 SCC 51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xml:space="preserve">  To establish their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plaintiffs must prove that the CRA had a duty of care, that the standard of care was breached, and that its breach resulted in compensable harm (</w:t>
      </w:r>
      <w:r>
        <w:rPr>
          <w:rFonts w:ascii="arial" w:eastAsia="arial" w:hAnsi="arial" w:cs="arial"/>
          <w:i/>
          <w:color w:val="000000"/>
          <w:sz w:val="20"/>
          <w:lang w:val="en-US" w:eastAsia="en-US" w:bidi="ar-SA"/>
        </w:rPr>
        <w:t>Hill v. Hamilton-Wentworth Regional Police Service Board,</w:t>
      </w:r>
      <w:r>
        <w:rPr>
          <w:rFonts w:ascii="arial" w:eastAsia="arial" w:hAnsi="arial" w:cs="arial"/>
          <w:color w:val="000000"/>
          <w:sz w:val="20"/>
          <w:lang w:val="en-US" w:eastAsia="en-US" w:bidi="ar-SA"/>
        </w:rPr>
        <w:t xml:space="preserve"> </w:t>
      </w:r>
      <w:hyperlink r:id="rId588" w:history="1">
        <w:r>
          <w:rPr>
            <w:rFonts w:ascii="arial" w:eastAsia="arial" w:hAnsi="arial" w:cs="arial"/>
            <w:i/>
            <w:color w:val="0077CC"/>
            <w:sz w:val="20"/>
            <w:u w:val="single"/>
            <w:shd w:val="clear" w:color="auto" w:fill="FFFFFF"/>
            <w:lang w:val="en-US" w:eastAsia="en-US" w:bidi="ar-SA"/>
          </w:rPr>
          <w:t>2007 SCC 41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Issue estoppel is raised with respect to both causes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xml:space="preserve">  The Supreme Court of Canada in </w:t>
      </w:r>
      <w:r>
        <w:rPr>
          <w:rFonts w:ascii="arial" w:eastAsia="arial" w:hAnsi="arial" w:cs="arial"/>
          <w:i/>
          <w:color w:val="000000"/>
          <w:sz w:val="20"/>
          <w:lang w:val="en-US" w:eastAsia="en-US" w:bidi="ar-SA"/>
        </w:rPr>
        <w:t>Duhamel v. The Queen</w:t>
      </w:r>
      <w:r>
        <w:rPr>
          <w:rFonts w:ascii="arial" w:eastAsia="arial" w:hAnsi="arial" w:cs="arial"/>
          <w:color w:val="000000"/>
          <w:sz w:val="20"/>
          <w:lang w:val="en-US" w:eastAsia="en-US" w:bidi="ar-SA"/>
        </w:rPr>
        <w:t xml:space="preserve">, </w:t>
      </w:r>
      <w:hyperlink r:id="rId589" w:history="1">
        <w:r>
          <w:rPr>
            <w:rFonts w:ascii="arial" w:eastAsia="arial" w:hAnsi="arial" w:cs="arial"/>
            <w:i/>
            <w:color w:val="0077CC"/>
            <w:sz w:val="20"/>
            <w:u w:val="single"/>
            <w:shd w:val="clear" w:color="auto" w:fill="FFFFFF"/>
            <w:lang w:val="en-US" w:eastAsia="en-US" w:bidi="ar-SA"/>
          </w:rPr>
          <w:t>[1984] 2 S.C.R. 555</w:t>
        </w:r>
      </w:hyperlink>
      <w:r>
        <w:rPr>
          <w:rFonts w:ascii="arial" w:eastAsia="arial" w:hAnsi="arial" w:cs="arial"/>
          <w:color w:val="000000"/>
          <w:sz w:val="20"/>
          <w:lang w:val="en-US" w:eastAsia="en-US" w:bidi="ar-SA"/>
        </w:rPr>
        <w:t xml:space="preserve">, described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as "something that has clearly been decided". As described by Donald J. Lange in </w:t>
      </w:r>
      <w:r>
        <w:rPr>
          <w:rFonts w:ascii="arial" w:eastAsia="arial" w:hAnsi="arial" w:cs="arial"/>
          <w:i/>
          <w:color w:val="000000"/>
          <w:sz w:val="20"/>
          <w:lang w:val="en-US" w:eastAsia="en-US" w:bidi="ar-SA"/>
        </w:rPr>
        <w:t>The Doctrine of Res Judicata in Canada</w:t>
      </w:r>
      <w:r>
        <w:rPr>
          <w:rFonts w:ascii="arial" w:eastAsia="arial" w:hAnsi="arial" w:cs="arial"/>
          <w:color w:val="000000"/>
          <w:sz w:val="20"/>
          <w:lang w:val="en-US" w:eastAsia="en-US" w:bidi="ar-SA"/>
        </w:rPr>
        <w:t xml:space="preserve">, 3d ed. (Markham, Ont.: Lexis Nexis 2010) at 1,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has "two distinct form: issue estoppel and cause of action estoppel ... When res judicata applies, a litigant is "estopped" by the previous proceeding. In their simplest definitions, issue estoppel means that a litigant is estopped because the issue has clearly been decided in the previous proceeding, and cause of action estoppel means that a litigant is estopped because the cause has passed into a matter adjudged in the previous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xml:space="preserve">  The policy considerations that ground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are: "firstly, the ground of public policy that is in the interest of the public that an end be put to litigation, and secondly, the ground of individual right that no one should be twice vexed by the same cause" (</w:t>
      </w:r>
      <w:r>
        <w:rPr>
          <w:rFonts w:ascii="arial" w:eastAsia="arial" w:hAnsi="arial" w:cs="arial"/>
          <w:i/>
          <w:color w:val="000000"/>
          <w:sz w:val="20"/>
          <w:lang w:val="en-US" w:eastAsia="en-US" w:bidi="ar-SA"/>
        </w:rPr>
        <w:t>Lange at</w:t>
      </w:r>
      <w:r>
        <w:rPr>
          <w:rFonts w:ascii="arial" w:eastAsia="arial" w:hAnsi="arial" w:cs="arial"/>
          <w:color w:val="000000"/>
          <w:sz w:val="20"/>
          <w:lang w:val="en-US" w:eastAsia="en-US" w:bidi="ar-SA"/>
        </w:rPr>
        <w:t xml:space="preserve"> 4; (</w:t>
      </w:r>
      <w:r>
        <w:rPr>
          <w:rFonts w:ascii="arial" w:eastAsia="arial" w:hAnsi="arial" w:cs="arial"/>
          <w:i/>
          <w:color w:val="000000"/>
          <w:sz w:val="20"/>
          <w:lang w:val="en-US" w:eastAsia="en-US" w:bidi="ar-SA"/>
        </w:rPr>
        <w:t>Toronto (City) v. C.U.P.E., Local 79</w:t>
      </w:r>
      <w:r>
        <w:rPr>
          <w:rFonts w:ascii="arial" w:eastAsia="arial" w:hAnsi="arial" w:cs="arial"/>
          <w:color w:val="000000"/>
          <w:sz w:val="20"/>
          <w:lang w:val="en-US" w:eastAsia="en-US" w:bidi="ar-SA"/>
        </w:rPr>
        <w:t xml:space="preserve">, </w:t>
      </w:r>
      <w:hyperlink r:id="rId590" w:history="1">
        <w:r>
          <w:rPr>
            <w:rFonts w:ascii="arial" w:eastAsia="arial" w:hAnsi="arial" w:cs="arial"/>
            <w:i/>
            <w:color w:val="0077CC"/>
            <w:sz w:val="20"/>
            <w:u w:val="single"/>
            <w:shd w:val="clear" w:color="auto" w:fill="FFFFFF"/>
            <w:lang w:val="en-US" w:eastAsia="en-US" w:bidi="ar-SA"/>
          </w:rPr>
          <w:t>2003 SCC 63</w:t>
        </w:r>
      </w:hyperlink>
      <w:r>
        <w:rPr>
          <w:rFonts w:ascii="arial" w:eastAsia="arial" w:hAnsi="arial" w:cs="arial"/>
          <w:color w:val="000000"/>
          <w:sz w:val="20"/>
          <w:lang w:val="en-US" w:eastAsia="en-US" w:bidi="ar-SA"/>
        </w:rPr>
        <w:t xml:space="preserve"> at para 38).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xml:space="preserve">  The burden of proving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is on the party asserting its application (</w:t>
      </w:r>
      <w:r>
        <w:rPr>
          <w:rFonts w:ascii="arial" w:eastAsia="arial" w:hAnsi="arial" w:cs="arial"/>
          <w:i/>
          <w:color w:val="000000"/>
          <w:sz w:val="20"/>
          <w:lang w:val="en-US" w:eastAsia="en-US" w:bidi="ar-SA"/>
        </w:rPr>
        <w:t>Schweneke v. Ontario</w:t>
      </w:r>
      <w:r>
        <w:rPr>
          <w:rFonts w:ascii="arial" w:eastAsia="arial" w:hAnsi="arial" w:cs="arial"/>
          <w:color w:val="000000"/>
          <w:sz w:val="20"/>
          <w:lang w:val="en-US" w:eastAsia="en-US" w:bidi="ar-SA"/>
        </w:rPr>
        <w:t xml:space="preserve"> </w:t>
      </w:r>
      <w:hyperlink r:id="rId591" w:history="1">
        <w:r>
          <w:rPr>
            <w:rFonts w:ascii="arial" w:eastAsia="arial" w:hAnsi="arial" w:cs="arial"/>
            <w:i/>
            <w:color w:val="0077CC"/>
            <w:sz w:val="20"/>
            <w:u w:val="single"/>
            <w:shd w:val="clear" w:color="auto" w:fill="FFFFFF"/>
            <w:lang w:val="en-US" w:eastAsia="en-US" w:bidi="ar-SA"/>
          </w:rPr>
          <w:t>(2000), 47 O.R. (3d) 97</w:t>
        </w:r>
      </w:hyperlink>
      <w:r>
        <w:rPr>
          <w:rFonts w:ascii="arial" w:eastAsia="arial" w:hAnsi="arial" w:cs="arial"/>
          <w:color w:val="000000"/>
          <w:sz w:val="20"/>
          <w:lang w:val="en-US" w:eastAsia="en-US" w:bidi="ar-SA"/>
        </w:rPr>
        <w:t xml:space="preserve"> at para 38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xml:space="preserve">  The applicable principles of issue estoppel were described in </w:t>
      </w:r>
      <w:r>
        <w:rPr>
          <w:rFonts w:ascii="arial" w:eastAsia="arial" w:hAnsi="arial" w:cs="arial"/>
          <w:i/>
          <w:color w:val="000000"/>
          <w:sz w:val="20"/>
          <w:lang w:val="en-US" w:eastAsia="en-US" w:bidi="ar-SA"/>
        </w:rPr>
        <w:t>Bence et al. v. Okanagan-Similkameen (Regional District),</w:t>
      </w:r>
      <w:r>
        <w:rPr>
          <w:rFonts w:ascii="arial" w:eastAsia="arial" w:hAnsi="arial" w:cs="arial"/>
          <w:color w:val="000000"/>
          <w:sz w:val="20"/>
          <w:lang w:val="en-US" w:eastAsia="en-US" w:bidi="ar-SA"/>
        </w:rPr>
        <w:t xml:space="preserve"> </w:t>
      </w:r>
      <w:hyperlink r:id="rId592" w:history="1">
        <w:r>
          <w:rPr>
            <w:rFonts w:ascii="arial" w:eastAsia="arial" w:hAnsi="arial" w:cs="arial"/>
            <w:i/>
            <w:color w:val="0077CC"/>
            <w:sz w:val="20"/>
            <w:u w:val="single"/>
            <w:shd w:val="clear" w:color="auto" w:fill="FFFFFF"/>
            <w:lang w:val="en-US" w:eastAsia="en-US" w:bidi="ar-SA"/>
          </w:rPr>
          <w:t>2002 BCSC 1622</w:t>
        </w:r>
      </w:hyperlink>
      <w:r>
        <w:rPr>
          <w:rFonts w:ascii="arial" w:eastAsia="arial" w:hAnsi="arial" w:cs="arial"/>
          <w:color w:val="000000"/>
          <w:sz w:val="20"/>
          <w:lang w:val="en-US" w:eastAsia="en-US" w:bidi="ar-SA"/>
        </w:rPr>
        <w:t>, by Madam Justice Bennett: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[27] The parties do not disagree with regard to the test when assessing whether issue estoppel applies. The requirements are stated in </w:t>
      </w:r>
      <w:r>
        <w:rPr>
          <w:rFonts w:ascii="arial" w:eastAsia="arial" w:hAnsi="arial" w:cs="arial"/>
          <w:b/>
          <w:i/>
          <w:color w:val="000000"/>
          <w:sz w:val="20"/>
          <w:lang w:val="en-US" w:eastAsia="en-US" w:bidi="ar-SA"/>
        </w:rPr>
        <w:t>Carl Zeiss Stiftung v. Rayner &amp; Keeler Ltd. (No. 2)</w:t>
      </w:r>
      <w:r>
        <w:rPr>
          <w:rFonts w:ascii="arial" w:eastAsia="arial" w:hAnsi="arial" w:cs="arial"/>
          <w:color w:val="000000"/>
          <w:sz w:val="20"/>
          <w:lang w:val="en-US" w:eastAsia="en-US" w:bidi="ar-SA"/>
        </w:rPr>
        <w:t xml:space="preserve">, [1967] 1 A.C. 853 at 935 and adopted in Canada in </w:t>
      </w:r>
      <w:r>
        <w:rPr>
          <w:rFonts w:ascii="arial" w:eastAsia="arial" w:hAnsi="arial" w:cs="arial"/>
          <w:b/>
          <w:i/>
          <w:color w:val="000000"/>
          <w:sz w:val="20"/>
          <w:lang w:val="en-US" w:eastAsia="en-US" w:bidi="ar-SA"/>
        </w:rPr>
        <w:t>Angle v. Canada (Ministry of National Revenue)</w:t>
      </w:r>
      <w:r>
        <w:rPr>
          <w:rFonts w:ascii="arial" w:eastAsia="arial" w:hAnsi="arial" w:cs="arial"/>
          <w:color w:val="000000"/>
          <w:sz w:val="20"/>
          <w:lang w:val="en-US" w:eastAsia="en-US" w:bidi="ar-SA"/>
        </w:rPr>
        <w:t xml:space="preserve"> </w:t>
      </w:r>
      <w:hyperlink r:id="rId593" w:history="1">
        <w:r>
          <w:rPr>
            <w:rFonts w:ascii="arial" w:eastAsia="arial" w:hAnsi="arial" w:cs="arial"/>
            <w:i/>
            <w:color w:val="0077CC"/>
            <w:sz w:val="20"/>
            <w:u w:val="single"/>
            <w:shd w:val="clear" w:color="auto" w:fill="FFFFFF"/>
            <w:lang w:val="en-US" w:eastAsia="en-US" w:bidi="ar-SA"/>
          </w:rPr>
          <w:t>(1974), 47 D.L.R. (3d) 544</w:t>
        </w:r>
      </w:hyperlink>
      <w:r>
        <w:rPr>
          <w:rFonts w:ascii="arial" w:eastAsia="arial" w:hAnsi="arial" w:cs="arial"/>
          <w:color w:val="000000"/>
          <w:sz w:val="20"/>
          <w:lang w:val="en-US" w:eastAsia="en-US" w:bidi="ar-SA"/>
        </w:rPr>
        <w:t xml:space="preserve"> at 555 (S.C.C.):</w:t>
      </w:r>
    </w:p>
    <w:p>
      <w:pPr>
        <w:numPr>
          <w:numId w:val="4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same question has been decided;</w:t>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judicial decision which is said to create the estoppel was final; and,</w:t>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parties to the judicial decision or their privies were the same persons as the parties to the proceedings in which the estoppel is raised or their privies.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[28] In the book by D. Lange, </w:t>
      </w:r>
      <w:r>
        <w:rPr>
          <w:rFonts w:ascii="arial" w:eastAsia="arial" w:hAnsi="arial" w:cs="arial"/>
          <w:i/>
          <w:color w:val="000000"/>
          <w:sz w:val="20"/>
          <w:lang w:val="en-US" w:eastAsia="en-US" w:bidi="ar-SA"/>
        </w:rPr>
        <w:t>The Doctrine of Res Judicata in Canada,</w:t>
      </w:r>
      <w:r>
        <w:rPr>
          <w:rFonts w:ascii="arial" w:eastAsia="arial" w:hAnsi="arial" w:cs="arial"/>
          <w:color w:val="000000"/>
          <w:sz w:val="20"/>
          <w:lang w:val="en-US" w:eastAsia="en-US" w:bidi="ar-SA"/>
        </w:rPr>
        <w:t xml:space="preserve"> (Toronto and Vancouver: Butterworths, 2000) the author sets out the key principles of issue estoppel at 23-24:</w:t>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same question test governs.</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question to be decided in the second proceeding must be the same question that has been decided in the first proceeding.</w:t>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question decided in the first proceeding, governing the same question test in the second proceeding, must be fundamental to the decision in the first proceeding, not collateral to the decision.</w:t>
      </w:r>
    </w:p>
    <w:p>
      <w:pPr>
        <w:numPr>
          <w:numId w:val="4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question decided in the first proceeding, governing the same question test in the second proceeding, includes all the subject matter encompassing the question whether decided expressly or by necessary logical consequence.</w:t>
      </w:r>
    </w:p>
    <w:p>
      <w:pPr>
        <w:numPr>
          <w:numId w:val="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question has been decided in the first proceeding, the same question cannot be relitigated in a second proceeding based on a separate and distinct cause of action.</w:t>
      </w:r>
    </w:p>
    <w:p>
      <w:pPr>
        <w:numPr>
          <w:numId w:val="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same parties, and their privies, cannot relitigate the same question in a second proceeding.</w:t>
      </w:r>
    </w:p>
    <w:p>
      <w:pPr>
        <w:numPr>
          <w:numId w:val="5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decision in the first proceeding must be a final decision on the question.</w:t>
      </w:r>
    </w:p>
    <w:p>
      <w:pPr>
        <w:numPr>
          <w:numId w:val="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decision in the first proceeding must be a judicial decision on the question.</w:t>
      </w:r>
    </w:p>
    <w:p>
      <w:pPr>
        <w:numPr>
          <w:numId w:val="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decision-making forum in the first proceeding must have the jurisdiction to decide the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xml:space="preserve">  Bennett J. also noted in </w:t>
      </w:r>
      <w:r>
        <w:rPr>
          <w:rFonts w:ascii="arial" w:eastAsia="arial" w:hAnsi="arial" w:cs="arial"/>
          <w:i/>
          <w:color w:val="000000"/>
          <w:sz w:val="20"/>
          <w:lang w:val="en-US" w:eastAsia="en-US" w:bidi="ar-SA"/>
        </w:rPr>
        <w:t>Bence</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[30] Issue estoppel is "applied with extreme caution and in the clearest of cases" according to Macdonald J. in </w:t>
      </w:r>
      <w:r>
        <w:rPr>
          <w:rFonts w:ascii="arial" w:eastAsia="arial" w:hAnsi="arial" w:cs="arial"/>
          <w:b/>
          <w:i/>
          <w:color w:val="000000"/>
          <w:sz w:val="20"/>
          <w:lang w:val="en-US" w:eastAsia="en-US" w:bidi="ar-SA"/>
        </w:rPr>
        <w:t>Robb Estate v. St. Joseph's Health Care Centre</w:t>
      </w:r>
      <w:r>
        <w:rPr>
          <w:rFonts w:ascii="arial" w:eastAsia="arial" w:hAnsi="arial" w:cs="arial"/>
          <w:color w:val="000000"/>
          <w:sz w:val="20"/>
          <w:lang w:val="en-US" w:eastAsia="en-US" w:bidi="ar-SA"/>
        </w:rPr>
        <w:t xml:space="preserve"> (1999), 30 C.P.C. (4th) 78 (Ont. Gen. Div) at para. 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Issue estoppel can apply in a civil proceeding where the issue estoppel is based on a conviction in a criminal case (</w:t>
      </w:r>
      <w:r>
        <w:rPr>
          <w:rFonts w:ascii="arial" w:eastAsia="arial" w:hAnsi="arial" w:cs="arial"/>
          <w:i/>
          <w:color w:val="000000"/>
          <w:sz w:val="20"/>
          <w:lang w:val="en-US" w:eastAsia="en-US" w:bidi="ar-SA"/>
        </w:rPr>
        <w:t>Golden v. The Queen,</w:t>
      </w:r>
      <w:r>
        <w:rPr>
          <w:rFonts w:ascii="arial" w:eastAsia="arial" w:hAnsi="arial" w:cs="arial"/>
          <w:color w:val="000000"/>
          <w:sz w:val="20"/>
          <w:lang w:val="en-US" w:eastAsia="en-US" w:bidi="ar-SA"/>
        </w:rPr>
        <w:t xml:space="preserve"> </w:t>
      </w:r>
      <w:hyperlink r:id="rId594" w:history="1">
        <w:r>
          <w:rPr>
            <w:rFonts w:ascii="arial" w:eastAsia="arial" w:hAnsi="arial" w:cs="arial"/>
            <w:i/>
            <w:color w:val="0077CC"/>
            <w:sz w:val="20"/>
            <w:u w:val="single"/>
            <w:shd w:val="clear" w:color="auto" w:fill="FFFFFF"/>
            <w:lang w:val="en-US" w:eastAsia="en-US" w:bidi="ar-SA"/>
          </w:rPr>
          <w:t>2008 TCC 173</w:t>
        </w:r>
      </w:hyperlink>
      <w:r>
        <w:rPr>
          <w:rFonts w:ascii="arial" w:eastAsia="arial" w:hAnsi="arial" w:cs="arial"/>
          <w:color w:val="000000"/>
          <w:sz w:val="20"/>
          <w:lang w:val="en-US" w:eastAsia="en-US" w:bidi="ar-SA"/>
        </w:rPr>
        <w:t xml:space="preserve"> at para 20 (aff'd </w:t>
      </w:r>
      <w:hyperlink r:id="rId595" w:history="1">
        <w:r>
          <w:rPr>
            <w:rFonts w:ascii="arial" w:eastAsia="arial" w:hAnsi="arial" w:cs="arial"/>
            <w:i/>
            <w:color w:val="0077CC"/>
            <w:sz w:val="20"/>
            <w:u w:val="single"/>
            <w:shd w:val="clear" w:color="auto" w:fill="FFFFFF"/>
            <w:lang w:val="en-US" w:eastAsia="en-US" w:bidi="ar-SA"/>
          </w:rPr>
          <w:t>2009 FCA 86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Golden</w:t>
      </w:r>
      <w:r>
        <w:rPr>
          <w:rFonts w:ascii="arial" w:eastAsia="arial" w:hAnsi="arial" w:cs="arial"/>
          <w:color w:val="000000"/>
          <w:sz w:val="20"/>
          <w:lang w:val="en-US" w:eastAsia="en-US" w:bidi="ar-SA"/>
        </w:rPr>
        <w:t xml:space="preserve"> the court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[22] In considering whether or not issue estoppel applies, it is open for the Court to look at more than the certificate of criminal conviction. This Court should look at the realities of the criminal proceedings in order to determine what was decided by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 v. Mahalingan</w:t>
      </w:r>
      <w:r>
        <w:rPr>
          <w:rFonts w:ascii="arial" w:eastAsia="arial" w:hAnsi="arial" w:cs="arial"/>
          <w:color w:val="000000"/>
          <w:sz w:val="20"/>
          <w:lang w:val="en-US" w:eastAsia="en-US" w:bidi="ar-SA"/>
        </w:rPr>
        <w:t xml:space="preserve">, </w:t>
      </w:r>
      <w:hyperlink r:id="rId596" w:history="1">
        <w:r>
          <w:rPr>
            <w:rFonts w:ascii="arial" w:eastAsia="arial" w:hAnsi="arial" w:cs="arial"/>
            <w:i/>
            <w:color w:val="0077CC"/>
            <w:sz w:val="20"/>
            <w:u w:val="single"/>
            <w:shd w:val="clear" w:color="auto" w:fill="FFFFFF"/>
            <w:lang w:val="en-US" w:eastAsia="en-US" w:bidi="ar-SA"/>
          </w:rPr>
          <w:t>[2008] 3 S.C.R. 316</w:t>
        </w:r>
      </w:hyperlink>
      <w:r>
        <w:rPr>
          <w:rFonts w:ascii="arial" w:eastAsia="arial" w:hAnsi="arial" w:cs="arial"/>
          <w:color w:val="000000"/>
          <w:sz w:val="20"/>
          <w:lang w:val="en-US" w:eastAsia="en-US" w:bidi="ar-SA"/>
        </w:rPr>
        <w:t>, the Supreme Court of Canada considered issue estoppel. Chief Justice McLachlin for the majority said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[16] The second branch of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is issue estoppel. Issue estoppel is concerned not with whether the cause of action in two proceedings is the same, but with whether an issue to be decided in proving the current action is the same as an issue decided in a previous proceeding. The causes of action may be (and typically are) different. Issue estoppel in Canada has historically applied to both civil and criminal law.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 While double jeopardy is concerned with the total cause of action and the ultimate result of the litigation, issue estoppel is concerned with particular issues arising in two different pieces of litigation. As will be discussed more fully below, much of the difficulty associated with issue estoppel in the criminal context is the result of conflating the focus of double jeopardy on the ultimate verdict with the proper and narrower concern of issue estoppel, which is particular determinations on the issues supporting the verdict. If issue estoppel is confined to prior determinations of issues, the difficulties largely vanish.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[22] To the extent that </w:t>
      </w:r>
      <w:r>
        <w:rPr>
          <w:rFonts w:ascii="arial" w:eastAsia="arial" w:hAnsi="arial" w:cs="arial"/>
          <w:i/>
          <w:color w:val="000000"/>
          <w:sz w:val="20"/>
          <w:lang w:val="en-US" w:eastAsia="en-US" w:bidi="ar-SA"/>
        </w:rPr>
        <w:t>Grdic</w:t>
      </w:r>
      <w:r>
        <w:rPr>
          <w:rFonts w:ascii="arial" w:eastAsia="arial" w:hAnsi="arial" w:cs="arial"/>
          <w:color w:val="000000"/>
          <w:sz w:val="20"/>
          <w:lang w:val="en-US" w:eastAsia="en-US" w:bidi="ar-SA"/>
        </w:rPr>
        <w:t xml:space="preserve">, </w:t>
      </w:r>
      <w:hyperlink r:id="rId597" w:history="1">
        <w:r>
          <w:rPr>
            <w:rFonts w:ascii="arial" w:eastAsia="arial" w:hAnsi="arial" w:cs="arial"/>
            <w:i/>
            <w:color w:val="0077CC"/>
            <w:sz w:val="20"/>
            <w:u w:val="single"/>
            <w:shd w:val="clear" w:color="auto" w:fill="FFFFFF"/>
            <w:lang w:val="en-US" w:eastAsia="en-US" w:bidi="ar-SA"/>
          </w:rPr>
          <w:t>[1985] 1 S.C.R. 810</w:t>
        </w:r>
      </w:hyperlink>
      <w:r>
        <w:rPr>
          <w:rFonts w:ascii="arial" w:eastAsia="arial" w:hAnsi="arial" w:cs="arial"/>
          <w:color w:val="000000"/>
          <w:sz w:val="20"/>
          <w:lang w:val="en-US" w:eastAsia="en-US" w:bidi="ar-SA"/>
        </w:rPr>
        <w:t xml:space="preserve"> has been read as preventing the Crown from leading evidence on </w:t>
      </w:r>
      <w:r>
        <w:rPr>
          <w:rFonts w:ascii="arial" w:eastAsia="arial" w:hAnsi="arial" w:cs="arial"/>
          <w:i/>
          <w:color w:val="000000"/>
          <w:sz w:val="20"/>
          <w:lang w:val="en-US" w:eastAsia="en-US" w:bidi="ar-SA"/>
        </w:rPr>
        <w:t>any</w:t>
      </w:r>
      <w:r>
        <w:rPr>
          <w:rFonts w:ascii="arial" w:eastAsia="arial" w:hAnsi="arial" w:cs="arial"/>
          <w:color w:val="000000"/>
          <w:sz w:val="20"/>
          <w:lang w:val="en-US" w:eastAsia="en-US" w:bidi="ar-SA"/>
        </w:rPr>
        <w:t xml:space="preserve"> issue raised in a previous trial that resulted in an acquittal, this is a misreading of the majority's holding. </w:t>
      </w:r>
      <w:r>
        <w:rPr>
          <w:rFonts w:ascii="arial" w:eastAsia="arial" w:hAnsi="arial" w:cs="arial"/>
          <w:color w:val="000000"/>
          <w:sz w:val="20"/>
          <w:u w:val="single"/>
          <w:lang w:val="en-US" w:eastAsia="en-US" w:bidi="ar-SA"/>
        </w:rPr>
        <w:t>Only issues which were decided in the accused's favour, whether on the basis of a positive factual finding or a reasonable doubt, are the subject of issue estoppel.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[23] It is thus not every factual issue in the trial resulting in an acquittal which results in an estoppel at a subsequent trial</w:t>
      </w:r>
      <w:r>
        <w:rPr>
          <w:rFonts w:ascii="arial" w:eastAsia="arial" w:hAnsi="arial" w:cs="arial"/>
          <w:color w:val="000000"/>
          <w:sz w:val="20"/>
          <w:u w:val="single"/>
          <w:lang w:val="en-US" w:eastAsia="en-US" w:bidi="ar-SA"/>
        </w:rPr>
        <w:t>, but only those issues which were expressly resolved or, given how the case was argued, had to be resolved for there to be an acquittal. If a particular issue was decided in favour of the accused at a previous trial, even if the issue was decided on the basis of reasonable doubt, issue estoppel applies</w:t>
      </w:r>
      <w:r>
        <w:rPr>
          <w:rFonts w:ascii="arial" w:eastAsia="arial" w:hAnsi="arial" w:cs="arial"/>
          <w:color w:val="000000"/>
          <w:sz w:val="20"/>
          <w:lang w:val="en-US" w:eastAsia="en-US" w:bidi="ar-SA"/>
        </w:rPr>
        <w:t>. The determination of whether an issue was decided at a first trial, either expressly or necessarily as a prerequisite to an acquittal, must be based on a review of the relevant portions of the transcript of the first trial, in particular, the allegations, the nature of the Crown's case, and the defence's case: Grdic, at p. 826. The accused claiming issue estoppel bears the burden of showing that a particular issue was decided in his or her favour in a previous proceeding.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[26] In summary, the majority reasons in Grdic stand for the following proposition</w:t>
      </w:r>
      <w:r>
        <w:rPr>
          <w:rFonts w:ascii="arial" w:eastAsia="arial" w:hAnsi="arial" w:cs="arial"/>
          <w:color w:val="000000"/>
          <w:sz w:val="20"/>
          <w:u w:val="single"/>
          <w:lang w:val="en-US" w:eastAsia="en-US" w:bidi="ar-SA"/>
        </w:rPr>
        <w:t>. The Crown is estopped from leading evidence which is inconsistent with findings made in a previous trial, whether those findings were expressly made in the accused's favour or resolved on the basis of a reasonable doubt</w:t>
      </w:r>
      <w:r>
        <w:rPr>
          <w:rFonts w:ascii="arial" w:eastAsia="arial" w:hAnsi="arial" w:cs="arial"/>
          <w:color w:val="000000"/>
          <w:sz w:val="20"/>
          <w:lang w:val="en-US" w:eastAsia="en-US" w:bidi="ar-SA"/>
        </w:rPr>
        <w:t>. Issue estoppel applies only to findings on a prior [page334] trial (as held by Blair J.A. in this case). Further, the determination of whether an issue was decided at the first trial will be a factual issue at the second trial in each case. In my view, these propositions should be affirmed as correct statements of the law. Moreover, it should follow from these propositions that the Crown is permitted (absent the operation of the other rules of evidence) to lead evidence relating to issues litigated in an earlier proceeding: (1) if the issue was not decided in the accused's favour in the earlier proceeding; and (2) if the issue was decided in the earlier proceeding, but the Crown is not seeking to use the evidence to contradict the factual finding on that issue at the previous trial.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Requiring resolution then is whether an issue to be decided in this proceeding is the same as an issue decided in the Provincial Court proceeding. In order for issue estoppel to apply in this case the issue must be the same as the one decided in the Provincial Court, the Provincial Court decision must have been final and the parties to both proceedings must be the same or their privies (</w:t>
      </w:r>
      <w:r>
        <w:rPr>
          <w:rFonts w:ascii="arial" w:eastAsia="arial" w:hAnsi="arial" w:cs="arial"/>
          <w:i/>
          <w:color w:val="000000"/>
          <w:sz w:val="20"/>
          <w:lang w:val="en-US" w:eastAsia="en-US" w:bidi="ar-SA"/>
        </w:rPr>
        <w:t>Toronto (City)</w:t>
      </w:r>
      <w:r>
        <w:rPr>
          <w:rFonts w:ascii="arial" w:eastAsia="arial" w:hAnsi="arial" w:cs="arial"/>
          <w:color w:val="000000"/>
          <w:sz w:val="20"/>
          <w:lang w:val="en-US" w:eastAsia="en-US" w:bidi="ar-SA"/>
        </w:rPr>
        <w:t xml:space="preserve"> at para. 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The defendants submit that the plaintiffs must prove these alleged facts at trial and therefore they are relevant and are subject to discovery and document production. Put another way, the defendants say this information relates to what the plaintiffs allege should have been considered by the defendants when they chose to prosecute and is relevant.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The plaintiffs submit that while these material facts give rise to their claims and therefore must be pleaded they are not in issue and do not require judicial determination because they have already been determined by the Provincial Court in the criminal proceedings against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xml:space="preserve">  As noted in </w:t>
      </w:r>
      <w:r>
        <w:rPr>
          <w:rFonts w:ascii="arial" w:eastAsia="arial" w:hAnsi="arial" w:cs="arial"/>
          <w:i/>
          <w:color w:val="000000"/>
          <w:sz w:val="20"/>
          <w:lang w:val="en-US" w:eastAsia="en-US" w:bidi="ar-SA"/>
        </w:rPr>
        <w:t>Mahalingan at para. 23: "</w:t>
      </w:r>
      <w:r>
        <w:rPr>
          <w:rFonts w:ascii="arial" w:eastAsia="arial" w:hAnsi="arial" w:cs="arial"/>
          <w:color w:val="000000"/>
          <w:sz w:val="20"/>
          <w:lang w:val="en-US" w:eastAsia="en-US" w:bidi="ar-SA"/>
        </w:rPr>
        <w:t xml:space="preserve">It is thus not every factual issue in the trial resulting in an acquittal which results in an estoppel at a subsequent trial, but only those issues which were expressly resolved, or given how the case was argued, had to be resolved for there to be an acquittal. If a particular issues was decided in favour of the accused at a previous trial, even if on the basis of reasonable doubt, issue estoppel applies". In </w:t>
      </w:r>
      <w:r>
        <w:rPr>
          <w:rFonts w:ascii="arial" w:eastAsia="arial" w:hAnsi="arial" w:cs="arial"/>
          <w:i/>
          <w:color w:val="000000"/>
          <w:sz w:val="20"/>
          <w:lang w:val="en-US" w:eastAsia="en-US" w:bidi="ar-SA"/>
        </w:rPr>
        <w:t>Mahalingan</w:t>
      </w:r>
      <w:r>
        <w:rPr>
          <w:rFonts w:ascii="arial" w:eastAsia="arial" w:hAnsi="arial" w:cs="arial"/>
          <w:color w:val="000000"/>
          <w:sz w:val="20"/>
          <w:lang w:val="en-US" w:eastAsia="en-US" w:bidi="ar-SA"/>
        </w:rPr>
        <w:t xml:space="preserve"> the Court was concerned with findings in one criminal proceeding being applied to another criminal proceeding. This raises the issues of whether the pleaded issues were resolved and therefore estopped and whether the same principal applies to findings in a criminal proceeding and their application to a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xml:space="preserve">  The central issue involved in the provincial court proceedings was the legitimacy of the source of the savings held by the plaintiffs. That issue was found to be the basis for the four theories of the Crown. As noted in </w:t>
      </w:r>
      <w:r>
        <w:rPr>
          <w:rFonts w:ascii="arial" w:eastAsia="arial" w:hAnsi="arial" w:cs="arial"/>
          <w:i/>
          <w:color w:val="000000"/>
          <w:sz w:val="20"/>
          <w:lang w:val="en-US" w:eastAsia="en-US" w:bidi="ar-SA"/>
        </w:rPr>
        <w:t>Mahalinghan</w:t>
      </w:r>
      <w:r>
        <w:rPr>
          <w:rFonts w:ascii="arial" w:eastAsia="arial" w:hAnsi="arial" w:cs="arial"/>
          <w:color w:val="000000"/>
          <w:sz w:val="20"/>
          <w:lang w:val="en-US" w:eastAsia="en-US" w:bidi="ar-SA"/>
        </w:rPr>
        <w:t xml:space="preserve"> at para. 33: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[33] ... </w:t>
      </w:r>
      <w:r>
        <w:rPr>
          <w:rFonts w:ascii="arial" w:eastAsia="arial" w:hAnsi="arial" w:cs="arial"/>
          <w:color w:val="000000"/>
          <w:sz w:val="20"/>
          <w:u w:val="single"/>
          <w:lang w:val="en-US" w:eastAsia="en-US" w:bidi="ar-SA"/>
        </w:rPr>
        <w:t xml:space="preserve">Only issues that were either necessarily resolved in favour the accused as part of the acquittal, or on which finds were made (even if on the basis of reasonable doubt) are estopped. This would usually include the central issue in the case if it is a one-issue case, or particular issues in a multi-issue case, </w:t>
      </w:r>
      <w:r>
        <w:rPr>
          <w:rFonts w:ascii="arial" w:eastAsia="arial" w:hAnsi="arial" w:cs="arial"/>
          <w:i/>
          <w:color w:val="000000"/>
          <w:sz w:val="20"/>
          <w:u w:val="single"/>
          <w:lang w:val="en-US" w:eastAsia="en-US" w:bidi="ar-SA"/>
        </w:rPr>
        <w:t>if</w:t>
      </w:r>
      <w:r>
        <w:rPr>
          <w:rFonts w:ascii="arial" w:eastAsia="arial" w:hAnsi="arial" w:cs="arial"/>
          <w:color w:val="000000"/>
          <w:sz w:val="20"/>
          <w:u w:val="single"/>
          <w:lang w:val="en-US" w:eastAsia="en-US" w:bidi="ar-SA"/>
        </w:rPr>
        <w:t xml:space="preserve"> the court at the second trial can discern from reviewing the transcript that a finding was made on a particular issue, even if on the basis of reasonable doubt</w:t>
      </w:r>
      <w:r>
        <w:rPr>
          <w:rFonts w:ascii="arial" w:eastAsia="arial" w:hAnsi="arial" w:cs="arial"/>
          <w:color w:val="000000"/>
          <w:sz w:val="20"/>
          <w:lang w:val="en-US" w:eastAsia="en-US" w:bidi="ar-SA"/>
        </w:rPr>
        <w:t>. ...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The defence submits however, that the while a conviction establishes beyond a reasonable doubt that a person was guilty of an offence and therefore issue estoppel prevents relitigation of the basis for the conviction, an acquittal is different.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xml:space="preserve">  The defendants refer to </w:t>
      </w:r>
      <w:r>
        <w:rPr>
          <w:rFonts w:ascii="arial" w:eastAsia="arial" w:hAnsi="arial" w:cs="arial"/>
          <w:i/>
          <w:color w:val="000000"/>
          <w:sz w:val="20"/>
          <w:lang w:val="en-US" w:eastAsia="en-US" w:bidi="ar-SA"/>
        </w:rPr>
        <w:t>McIntyre v. The Queen</w:t>
      </w:r>
      <w:r>
        <w:rPr>
          <w:rFonts w:ascii="arial" w:eastAsia="arial" w:hAnsi="arial" w:cs="arial"/>
          <w:color w:val="000000"/>
          <w:sz w:val="20"/>
          <w:lang w:val="en-US" w:eastAsia="en-US" w:bidi="ar-SA"/>
        </w:rPr>
        <w:t xml:space="preserve">, </w:t>
      </w:r>
      <w:hyperlink r:id="rId598" w:history="1">
        <w:r>
          <w:rPr>
            <w:rFonts w:ascii="arial" w:eastAsia="arial" w:hAnsi="arial" w:cs="arial"/>
            <w:i/>
            <w:color w:val="0077CC"/>
            <w:sz w:val="20"/>
            <w:u w:val="single"/>
            <w:shd w:val="clear" w:color="auto" w:fill="FFFFFF"/>
            <w:lang w:val="en-US" w:eastAsia="en-US" w:bidi="ar-SA"/>
          </w:rPr>
          <w:t>2014 TCC 111</w:t>
        </w:r>
      </w:hyperlink>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McIntyre</w:t>
      </w:r>
      <w:r>
        <w:rPr>
          <w:rFonts w:ascii="arial" w:eastAsia="arial" w:hAnsi="arial" w:cs="arial"/>
          <w:color w:val="000000"/>
          <w:sz w:val="20"/>
          <w:lang w:val="en-US" w:eastAsia="en-US" w:bidi="ar-SA"/>
        </w:rPr>
        <w:t xml:space="preserve"> the appellants had entered into a plea bargain in a prior criminal proceeding. The appellants submitted that the principles of issue estoppel,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and abuse of process prevented the Canada Revenue from assuming facts in issuing the reassessments that were inconsistent with the agreed facts. The Court held that the evidentiary findings from a plea bargain did not give rise to issue estoppel as there was no litigation of the criminal charge. The Court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 Issue estoppel will only apply to issues that were fundamental to the initial decision in a prior proceeding and it will not apply in respect of a question that must be inferred by argument from the judgment.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[19] Even where a court determines that the legal test for issue estoppel has been satisfied, the court must still decide, as a matter of discretion, whether, in the circumstances, issue estoppel should be applied in any event (</w:t>
      </w:r>
      <w:r>
        <w:rPr>
          <w:rFonts w:ascii="arial" w:eastAsia="arial" w:hAnsi="arial" w:cs="arial"/>
          <w:i/>
          <w:color w:val="000000"/>
          <w:sz w:val="20"/>
          <w:lang w:val="en-US" w:eastAsia="en-US" w:bidi="ar-SA"/>
        </w:rPr>
        <w:t>Danyluk</w:t>
      </w:r>
      <w:r>
        <w:rPr>
          <w:rFonts w:ascii="arial" w:eastAsia="arial" w:hAnsi="arial" w:cs="arial"/>
          <w:color w:val="000000"/>
          <w:sz w:val="20"/>
          <w:lang w:val="en-US" w:eastAsia="en-US" w:bidi="ar-SA"/>
        </w:rPr>
        <w:t xml:space="preserve">, </w:t>
      </w:r>
      <w:hyperlink r:id="rId599" w:history="1">
        <w:r>
          <w:rPr>
            <w:rFonts w:ascii="arial" w:eastAsia="arial" w:hAnsi="arial" w:cs="arial"/>
            <w:i/>
            <w:color w:val="0077CC"/>
            <w:sz w:val="20"/>
            <w:u w:val="single"/>
            <w:shd w:val="clear" w:color="auto" w:fill="FFFFFF"/>
            <w:lang w:val="en-US" w:eastAsia="en-US" w:bidi="ar-SA"/>
          </w:rPr>
          <w:t>[2001] 2 S.C.R. 460</w:t>
        </w:r>
      </w:hyperlink>
      <w:r>
        <w:rPr>
          <w:rFonts w:ascii="arial" w:eastAsia="arial" w:hAnsi="arial" w:cs="arial"/>
          <w:color w:val="000000"/>
          <w:sz w:val="20"/>
          <w:lang w:val="en-US" w:eastAsia="en-US" w:bidi="ar-SA"/>
        </w:rPr>
        <w:t xml:space="preserve"> para 33). In exercising this discretion, which originates from the court's inherent power to prevent the misuse of its procedures, a court's main objective will be to ensure that the application of issue estoppel promotes the orderly administration of justice but not at the cost of real injustice in a particular case (</w:t>
      </w:r>
      <w:r>
        <w:rPr>
          <w:rFonts w:ascii="arial" w:eastAsia="arial" w:hAnsi="arial" w:cs="arial"/>
          <w:i/>
          <w:color w:val="000000"/>
          <w:sz w:val="20"/>
          <w:lang w:val="en-US" w:eastAsia="en-US" w:bidi="ar-SA"/>
        </w:rPr>
        <w:t>Danyluk</w:t>
      </w:r>
      <w:r>
        <w:rPr>
          <w:rFonts w:ascii="arial" w:eastAsia="arial" w:hAnsi="arial" w:cs="arial"/>
          <w:color w:val="000000"/>
          <w:sz w:val="20"/>
          <w:lang w:val="en-US" w:eastAsia="en-US" w:bidi="ar-SA"/>
        </w:rPr>
        <w:t>, para 67).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[28] In discussing the application of issue estoppel in a Rule 58 determination, Justice Boyle in </w:t>
      </w:r>
      <w:r>
        <w:rPr>
          <w:rFonts w:ascii="arial" w:eastAsia="arial" w:hAnsi="arial" w:cs="arial"/>
          <w:i/>
          <w:color w:val="000000"/>
          <w:sz w:val="20"/>
          <w:lang w:val="en-US" w:eastAsia="en-US" w:bidi="ar-SA"/>
        </w:rPr>
        <w:t>Golden et al v. The Queen</w:t>
      </w:r>
      <w:r>
        <w:rPr>
          <w:rFonts w:ascii="arial" w:eastAsia="arial" w:hAnsi="arial" w:cs="arial"/>
          <w:color w:val="000000"/>
          <w:sz w:val="20"/>
          <w:lang w:val="en-US" w:eastAsia="en-US" w:bidi="ar-SA"/>
        </w:rPr>
        <w:t xml:space="preserve">, </w:t>
      </w:r>
      <w:hyperlink r:id="rId594" w:history="1">
        <w:r>
          <w:rPr>
            <w:rFonts w:ascii="arial" w:eastAsia="arial" w:hAnsi="arial" w:cs="arial"/>
            <w:i/>
            <w:color w:val="0077CC"/>
            <w:sz w:val="20"/>
            <w:u w:val="single"/>
            <w:shd w:val="clear" w:color="auto" w:fill="FFFFFF"/>
            <w:lang w:val="en-US" w:eastAsia="en-US" w:bidi="ar-SA"/>
          </w:rPr>
          <w:t>2008 TCC 173</w:t>
        </w:r>
      </w:hyperlink>
      <w:r>
        <w:rPr>
          <w:rFonts w:ascii="arial" w:eastAsia="arial" w:hAnsi="arial" w:cs="arial"/>
          <w:color w:val="000000"/>
          <w:sz w:val="20"/>
          <w:lang w:val="en-US" w:eastAsia="en-US" w:bidi="ar-SA"/>
        </w:rPr>
        <w:t xml:space="preserve">, </w:t>
      </w:r>
      <w:hyperlink r:id="rId600" w:history="1">
        <w:r>
          <w:rPr>
            <w:rFonts w:ascii="arial" w:eastAsia="arial" w:hAnsi="arial" w:cs="arial"/>
            <w:i/>
            <w:color w:val="0077CC"/>
            <w:sz w:val="20"/>
            <w:u w:val="single"/>
            <w:shd w:val="clear" w:color="auto" w:fill="FFFFFF"/>
            <w:lang w:val="en-US" w:eastAsia="en-US" w:bidi="ar-SA"/>
          </w:rPr>
          <w:t>2008 DTC 3363</w:t>
        </w:r>
      </w:hyperlink>
      <w:r>
        <w:rPr>
          <w:rFonts w:ascii="arial" w:eastAsia="arial" w:hAnsi="arial" w:cs="arial"/>
          <w:color w:val="000000"/>
          <w:sz w:val="20"/>
          <w:lang w:val="en-US" w:eastAsia="en-US" w:bidi="ar-SA"/>
        </w:rPr>
        <w:t>, at paragraph 25, made the following comments: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doctrine of issue estoppel should only be applied in a tax appeal in this Court in respect of a prior criminal tax evasion conviction in clear cases. It should not be applied indiscriminately once the preconditions are met. The Court should be satisfied that the issue of quantum in each particular taxation year was decided in the criminal proceedings.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[29] The doctrine of issue estoppel may be applied in appeals to this Court where there has been a prior criminal conviction for tax evasion in respect of the same tax dispute even though each court has different burdens of proof (</w:t>
      </w:r>
      <w:r>
        <w:rPr>
          <w:rFonts w:ascii="arial" w:eastAsia="arial" w:hAnsi="arial" w:cs="arial"/>
          <w:i/>
          <w:color w:val="000000"/>
          <w:sz w:val="20"/>
          <w:lang w:val="en-US" w:eastAsia="en-US" w:bidi="ar-SA"/>
        </w:rPr>
        <w:t>Van Rooy</w:t>
      </w:r>
      <w:r>
        <w:rPr>
          <w:rFonts w:ascii="arial" w:eastAsia="arial" w:hAnsi="arial" w:cs="arial"/>
          <w:color w:val="000000"/>
          <w:sz w:val="20"/>
          <w:lang w:val="en-US" w:eastAsia="en-US" w:bidi="ar-SA"/>
        </w:rPr>
        <w:t xml:space="preserve">). </w:t>
      </w:r>
      <w:r>
        <w:rPr>
          <w:rFonts w:ascii="arial" w:eastAsia="arial" w:hAnsi="arial" w:cs="arial"/>
          <w:color w:val="000000"/>
          <w:sz w:val="20"/>
          <w:u w:val="single"/>
          <w:lang w:val="en-US" w:eastAsia="en-US" w:bidi="ar-SA"/>
        </w:rPr>
        <w:t xml:space="preserve">However, the Court in </w:t>
      </w:r>
      <w:r>
        <w:rPr>
          <w:rFonts w:ascii="arial" w:eastAsia="arial" w:hAnsi="arial" w:cs="arial"/>
          <w:i/>
          <w:color w:val="000000"/>
          <w:sz w:val="20"/>
          <w:u w:val="single"/>
          <w:lang w:val="en-US" w:eastAsia="en-US" w:bidi="ar-SA"/>
        </w:rPr>
        <w:t>Van Rooy</w:t>
      </w:r>
      <w:r>
        <w:rPr>
          <w:rFonts w:ascii="arial" w:eastAsia="arial" w:hAnsi="arial" w:cs="arial"/>
          <w:color w:val="000000"/>
          <w:sz w:val="20"/>
          <w:u w:val="single"/>
          <w:lang w:val="en-US" w:eastAsia="en-US" w:bidi="ar-SA"/>
        </w:rPr>
        <w:t xml:space="preserve"> noted that the converse is not the case, that is, an acquittal from tax evasion charges cannot serve as evidence that a taxpayer is not liable for the tax.</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xml:space="preserve">  The defendants submit that on the basis of </w:t>
      </w:r>
      <w:r>
        <w:rPr>
          <w:rFonts w:ascii="arial" w:eastAsia="arial" w:hAnsi="arial" w:cs="arial"/>
          <w:i/>
          <w:color w:val="000000"/>
          <w:sz w:val="20"/>
          <w:lang w:val="en-US" w:eastAsia="en-US" w:bidi="ar-SA"/>
        </w:rPr>
        <w:t>McIntyre</w:t>
      </w:r>
      <w:r>
        <w:rPr>
          <w:rFonts w:ascii="arial" w:eastAsia="arial" w:hAnsi="arial" w:cs="arial"/>
          <w:color w:val="000000"/>
          <w:sz w:val="20"/>
          <w:lang w:val="en-US" w:eastAsia="en-US" w:bidi="ar-SA"/>
        </w:rPr>
        <w:t xml:space="preserve"> and also to </w:t>
      </w:r>
      <w:r>
        <w:rPr>
          <w:rFonts w:ascii="arial" w:eastAsia="arial" w:hAnsi="arial" w:cs="arial"/>
          <w:i/>
          <w:color w:val="000000"/>
          <w:sz w:val="20"/>
          <w:lang w:val="en-US" w:eastAsia="en-US" w:bidi="ar-SA"/>
        </w:rPr>
        <w:t>Van Rooy v. M.N.R</w:t>
      </w:r>
      <w:r>
        <w:rPr>
          <w:rFonts w:ascii="arial" w:eastAsia="arial" w:hAnsi="arial" w:cs="arial"/>
          <w:color w:val="000000"/>
          <w:sz w:val="20"/>
          <w:lang w:val="en-US" w:eastAsia="en-US" w:bidi="ar-SA"/>
        </w:rPr>
        <w:t xml:space="preserve">., </w:t>
      </w:r>
      <w:hyperlink r:id="rId601" w:history="1">
        <w:r>
          <w:rPr>
            <w:rFonts w:ascii="arial" w:eastAsia="arial" w:hAnsi="arial" w:cs="arial"/>
            <w:i/>
            <w:color w:val="0077CC"/>
            <w:sz w:val="20"/>
            <w:u w:val="single"/>
            <w:shd w:val="clear" w:color="auto" w:fill="FFFFFF"/>
            <w:lang w:val="en-US" w:eastAsia="en-US" w:bidi="ar-SA"/>
          </w:rPr>
          <w:t>[1989] 1 F.C. 489</w:t>
        </w:r>
      </w:hyperlink>
      <w:r>
        <w:rPr>
          <w:rFonts w:ascii="arial" w:eastAsia="arial" w:hAnsi="arial" w:cs="arial"/>
          <w:color w:val="000000"/>
          <w:sz w:val="20"/>
          <w:lang w:val="en-US" w:eastAsia="en-US" w:bidi="ar-SA"/>
        </w:rPr>
        <w:t xml:space="preserve">, referred to in </w:t>
      </w:r>
      <w:r>
        <w:rPr>
          <w:rFonts w:ascii="arial" w:eastAsia="arial" w:hAnsi="arial" w:cs="arial"/>
          <w:i/>
          <w:color w:val="000000"/>
          <w:sz w:val="20"/>
          <w:lang w:val="en-US" w:eastAsia="en-US" w:bidi="ar-SA"/>
        </w:rPr>
        <w:t>McIntyre</w:t>
      </w:r>
      <w:r>
        <w:rPr>
          <w:rFonts w:ascii="arial" w:eastAsia="arial" w:hAnsi="arial" w:cs="arial"/>
          <w:color w:val="000000"/>
          <w:sz w:val="20"/>
          <w:lang w:val="en-US" w:eastAsia="en-US" w:bidi="ar-SA"/>
        </w:rPr>
        <w:t xml:space="preserve"> above, an acquittal does not "serve as evidence that a taxpayer is not liable for the tax". In </w:t>
      </w:r>
      <w:r>
        <w:rPr>
          <w:rFonts w:ascii="arial" w:eastAsia="arial" w:hAnsi="arial" w:cs="arial"/>
          <w:i/>
          <w:color w:val="000000"/>
          <w:sz w:val="20"/>
          <w:lang w:val="en-US" w:eastAsia="en-US" w:bidi="ar-SA"/>
        </w:rPr>
        <w:t>Van Rooy</w:t>
      </w:r>
      <w:r>
        <w:rPr>
          <w:rFonts w:ascii="arial" w:eastAsia="arial" w:hAnsi="arial" w:cs="arial"/>
          <w:color w:val="000000"/>
          <w:sz w:val="20"/>
          <w:lang w:val="en-US" w:eastAsia="en-US" w:bidi="ar-SA"/>
        </w:rPr>
        <w:t xml:space="preserve"> the appellant had been criminally convicted for failing to disclose an income of $60,000. Issue estoppel was found not to apply. In the criminal proceeding the accused was convicted for failing to disclose the sum of $60,000 however the tax proceedings relating to the reassessment for the $60,000. While based on the same facts, the reassessment did not raise issue estoppel because the same question did not arise.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xml:space="preserve">  The defendants also rely on </w:t>
      </w:r>
      <w:r>
        <w:rPr>
          <w:rFonts w:ascii="arial" w:eastAsia="arial" w:hAnsi="arial" w:cs="arial"/>
          <w:i/>
          <w:color w:val="000000"/>
          <w:sz w:val="20"/>
          <w:lang w:val="en-US" w:eastAsia="en-US" w:bidi="ar-SA"/>
        </w:rPr>
        <w:t>Toronto (City)</w:t>
      </w:r>
      <w:r>
        <w:rPr>
          <w:rFonts w:ascii="arial" w:eastAsia="arial" w:hAnsi="arial" w:cs="arial"/>
          <w:color w:val="000000"/>
          <w:sz w:val="20"/>
          <w:lang w:val="en-US" w:eastAsia="en-US" w:bidi="ar-SA"/>
        </w:rPr>
        <w:t xml:space="preserve"> where it was held that a conviction on a charge of sexual assault meant that a tribunal could not re-examine the issue on the balance of probabilities because that was a lower test, was improper and was estopped by the conviction.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They submit that the application of issue estoppel makes sense where there is a prior conviction and a second prosecution is undertaken as there is the necessary mutuality and the principles of fairness to the accused, avoidance of inconsistent verdicts and the principal of finality apply.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Mahalingan</w:t>
      </w:r>
      <w:r>
        <w:rPr>
          <w:rFonts w:ascii="arial" w:eastAsia="arial" w:hAnsi="arial" w:cs="arial"/>
          <w:color w:val="000000"/>
          <w:sz w:val="20"/>
          <w:lang w:val="en-US" w:eastAsia="en-US" w:bidi="ar-SA"/>
        </w:rPr>
        <w:t xml:space="preserve"> however the Court found that issue estoppel can preclude the Crown from relitigating an issue that has been determined in the accused's favour whether on the basis of a positive finding or on a reasonable doubt. As a result whether the finding arises from a conviction or an acquittal is irrelevant. It is the determination of the issue that is relevant.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Applying that principal to this case I am satisfied that those facts were, given the Crown's prosecution theory and the trial judge's reasons, necessarily resolved in favour of the plaintiff. I am of the view that the three requirements for issue estoppel noted above are met. I conclude issue estoppel applies to the issues pleaded by the plaintiffs in paras. 9,10 and 11 of their amended notice of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In the event I am incorrect in that finding I turn to the issue of abuse of process. In doing so I note that both issue estoppel and abuse of process can operate or overlap in a given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xml:space="preserve">  The Supreme Court of Canada addressed the issue of abuse of process in </w:t>
      </w:r>
      <w:r>
        <w:rPr>
          <w:rFonts w:ascii="arial" w:eastAsia="arial" w:hAnsi="arial" w:cs="arial"/>
          <w:i/>
          <w:color w:val="000000"/>
          <w:sz w:val="20"/>
          <w:lang w:val="en-US" w:eastAsia="en-US" w:bidi="ar-SA"/>
        </w:rPr>
        <w:t>Toronto (City)</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36 The doctrine of abuse of process is used in a variety of legal contexts. The unfair or oppressive treatment of an accused may disentitle the Crown to carry on with the prosecution of a charge: </w:t>
      </w:r>
      <w:r>
        <w:rPr>
          <w:rFonts w:ascii="arial" w:eastAsia="arial" w:hAnsi="arial" w:cs="arial"/>
          <w:i/>
          <w:color w:val="000000"/>
          <w:sz w:val="20"/>
          <w:lang w:val="en-US" w:eastAsia="en-US" w:bidi="ar-SA"/>
        </w:rPr>
        <w:t xml:space="preserve">Conway, </w:t>
      </w:r>
      <w:hyperlink r:id="rId602" w:history="1">
        <w:r>
          <w:rPr>
            <w:rFonts w:ascii="arial" w:eastAsia="arial" w:hAnsi="arial" w:cs="arial"/>
            <w:i/>
            <w:color w:val="0077CC"/>
            <w:sz w:val="20"/>
            <w:u w:val="single"/>
            <w:shd w:val="clear" w:color="auto" w:fill="FFFFFF"/>
            <w:lang w:val="en-US" w:eastAsia="en-US" w:bidi="ar-SA"/>
          </w:rPr>
          <w:t>[1989] 1 S.C.R. 1659</w:t>
        </w:r>
      </w:hyperlink>
      <w:r>
        <w:rPr>
          <w:rFonts w:ascii="arial" w:eastAsia="arial" w:hAnsi="arial" w:cs="arial"/>
          <w:i/>
          <w:color w:val="000000"/>
          <w:sz w:val="20"/>
          <w:lang w:val="en-US" w:eastAsia="en-US" w:bidi="ar-SA"/>
        </w:rPr>
        <w:t xml:space="preserve"> supra</w:t>
      </w:r>
      <w:r>
        <w:rPr>
          <w:rFonts w:ascii="arial" w:eastAsia="arial" w:hAnsi="arial" w:cs="arial"/>
          <w:color w:val="000000"/>
          <w:sz w:val="20"/>
          <w:lang w:val="en-US" w:eastAsia="en-US" w:bidi="ar-SA"/>
        </w:rPr>
        <w:t xml:space="preserve">, at p. 1667. In </w:t>
      </w:r>
      <w:r>
        <w:rPr>
          <w:rFonts w:ascii="arial" w:eastAsia="arial" w:hAnsi="arial" w:cs="arial"/>
          <w:i/>
          <w:color w:val="000000"/>
          <w:sz w:val="20"/>
          <w:lang w:val="en-US" w:eastAsia="en-US" w:bidi="ar-SA"/>
        </w:rPr>
        <w:t>Blencoe v. British Columbia (Human Rights Commission)</w:t>
      </w:r>
      <w:r>
        <w:rPr>
          <w:rFonts w:ascii="arial" w:eastAsia="arial" w:hAnsi="arial" w:cs="arial"/>
          <w:color w:val="000000"/>
          <w:sz w:val="20"/>
          <w:lang w:val="en-US" w:eastAsia="en-US" w:bidi="ar-SA"/>
        </w:rPr>
        <w:t xml:space="preserve">, </w:t>
      </w:r>
      <w:hyperlink r:id="rId603" w:history="1">
        <w:r>
          <w:rPr>
            <w:rFonts w:ascii="arial" w:eastAsia="arial" w:hAnsi="arial" w:cs="arial"/>
            <w:i/>
            <w:color w:val="0077CC"/>
            <w:sz w:val="20"/>
            <w:u w:val="single"/>
            <w:shd w:val="clear" w:color="auto" w:fill="FFFFFF"/>
            <w:lang w:val="en-US" w:eastAsia="en-US" w:bidi="ar-SA"/>
          </w:rPr>
          <w:t>[2000] 2 S.C.R. 307</w:t>
        </w:r>
      </w:hyperlink>
      <w:r>
        <w:rPr>
          <w:rFonts w:ascii="arial" w:eastAsia="arial" w:hAnsi="arial" w:cs="arial"/>
          <w:color w:val="000000"/>
          <w:sz w:val="20"/>
          <w:lang w:val="en-US" w:eastAsia="en-US" w:bidi="ar-SA"/>
        </w:rPr>
        <w:t xml:space="preserve">, </w:t>
      </w:r>
      <w:hyperlink r:id="rId603" w:history="1">
        <w:r>
          <w:rPr>
            <w:rFonts w:ascii="arial" w:eastAsia="arial" w:hAnsi="arial" w:cs="arial"/>
            <w:i/>
            <w:color w:val="0077CC"/>
            <w:sz w:val="20"/>
            <w:u w:val="single"/>
            <w:shd w:val="clear" w:color="auto" w:fill="FFFFFF"/>
            <w:lang w:val="en-US" w:eastAsia="en-US" w:bidi="ar-SA"/>
          </w:rPr>
          <w:t>2000 SCC 44</w:t>
        </w:r>
      </w:hyperlink>
      <w:r>
        <w:rPr>
          <w:rFonts w:ascii="arial" w:eastAsia="arial" w:hAnsi="arial" w:cs="arial"/>
          <w:color w:val="000000"/>
          <w:sz w:val="20"/>
          <w:lang w:val="en-US" w:eastAsia="en-US" w:bidi="ar-SA"/>
        </w:rPr>
        <w:t xml:space="preserve">, this Court held that unreasonable delay causing serious prejudice could amount to an abuse of process. When the </w:t>
      </w:r>
      <w:r>
        <w:rPr>
          <w:rFonts w:ascii="arial" w:eastAsia="arial" w:hAnsi="arial" w:cs="arial"/>
          <w:i/>
          <w:color w:val="000000"/>
          <w:sz w:val="20"/>
          <w:lang w:val="en-US" w:eastAsia="en-US" w:bidi="ar-SA"/>
        </w:rPr>
        <w:t>Canadian Charter of Rights and Freedoms</w:t>
      </w:r>
      <w:r>
        <w:rPr>
          <w:rFonts w:ascii="arial" w:eastAsia="arial" w:hAnsi="arial" w:cs="arial"/>
          <w:color w:val="000000"/>
          <w:sz w:val="20"/>
          <w:lang w:val="en-US" w:eastAsia="en-US" w:bidi="ar-SA"/>
        </w:rPr>
        <w:t xml:space="preserve"> applies, the common law doctrine of abuse of process is subsumed into the principles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such that there is often overlap between abuse of process and constitutional remedies (</w:t>
      </w:r>
      <w:r>
        <w:rPr>
          <w:rFonts w:ascii="arial" w:eastAsia="arial" w:hAnsi="arial" w:cs="arial"/>
          <w:i/>
          <w:color w:val="000000"/>
          <w:sz w:val="20"/>
          <w:lang w:val="en-US" w:eastAsia="en-US" w:bidi="ar-SA"/>
        </w:rPr>
        <w:t>R. v. O'Connor</w:t>
      </w:r>
      <w:r>
        <w:rPr>
          <w:rFonts w:ascii="arial" w:eastAsia="arial" w:hAnsi="arial" w:cs="arial"/>
          <w:color w:val="000000"/>
          <w:sz w:val="20"/>
          <w:lang w:val="en-US" w:eastAsia="en-US" w:bidi="ar-SA"/>
        </w:rPr>
        <w:t xml:space="preserve">, </w:t>
      </w:r>
      <w:hyperlink r:id="rId604" w:history="1">
        <w:r>
          <w:rPr>
            <w:rFonts w:ascii="arial" w:eastAsia="arial" w:hAnsi="arial" w:cs="arial"/>
            <w:i/>
            <w:color w:val="0077CC"/>
            <w:sz w:val="20"/>
            <w:u w:val="single"/>
            <w:shd w:val="clear" w:color="auto" w:fill="FFFFFF"/>
            <w:lang w:val="en-US" w:eastAsia="en-US" w:bidi="ar-SA"/>
          </w:rPr>
          <w:t>[1995] 4 S.C.R. 411</w:t>
        </w:r>
      </w:hyperlink>
      <w:r>
        <w:rPr>
          <w:rFonts w:ascii="arial" w:eastAsia="arial" w:hAnsi="arial" w:cs="arial"/>
          <w:color w:val="000000"/>
          <w:sz w:val="20"/>
          <w:lang w:val="en-US" w:eastAsia="en-US" w:bidi="ar-SA"/>
        </w:rPr>
        <w:t>). The doctrine nonetheless continues to have application as a non-</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remedy: </w:t>
      </w:r>
      <w:r>
        <w:rPr>
          <w:rFonts w:ascii="arial" w:eastAsia="arial" w:hAnsi="arial" w:cs="arial"/>
          <w:i/>
          <w:color w:val="000000"/>
          <w:sz w:val="20"/>
          <w:lang w:val="en-US" w:eastAsia="en-US" w:bidi="ar-SA"/>
        </w:rPr>
        <w:t>United States of America v. Shulman</w:t>
      </w:r>
      <w:r>
        <w:rPr>
          <w:rFonts w:ascii="arial" w:eastAsia="arial" w:hAnsi="arial" w:cs="arial"/>
          <w:color w:val="000000"/>
          <w:sz w:val="20"/>
          <w:lang w:val="en-US" w:eastAsia="en-US" w:bidi="ar-SA"/>
        </w:rPr>
        <w:t xml:space="preserve">, </w:t>
      </w:r>
      <w:hyperlink r:id="rId605" w:history="1">
        <w:r>
          <w:rPr>
            <w:rFonts w:ascii="arial" w:eastAsia="arial" w:hAnsi="arial" w:cs="arial"/>
            <w:i/>
            <w:color w:val="0077CC"/>
            <w:sz w:val="20"/>
            <w:u w:val="single"/>
            <w:shd w:val="clear" w:color="auto" w:fill="FFFFFF"/>
            <w:lang w:val="en-US" w:eastAsia="en-US" w:bidi="ar-SA"/>
          </w:rPr>
          <w:t>[2001] 1 S.C.R. 616</w:t>
        </w:r>
      </w:hyperlink>
      <w:r>
        <w:rPr>
          <w:rFonts w:ascii="arial" w:eastAsia="arial" w:hAnsi="arial" w:cs="arial"/>
          <w:color w:val="000000"/>
          <w:sz w:val="20"/>
          <w:lang w:val="en-US" w:eastAsia="en-US" w:bidi="ar-SA"/>
        </w:rPr>
        <w:t xml:space="preserve">, </w:t>
      </w:r>
      <w:hyperlink r:id="rId605" w:history="1">
        <w:r>
          <w:rPr>
            <w:rFonts w:ascii="arial" w:eastAsia="arial" w:hAnsi="arial" w:cs="arial"/>
            <w:i/>
            <w:color w:val="0077CC"/>
            <w:sz w:val="20"/>
            <w:u w:val="single"/>
            <w:shd w:val="clear" w:color="auto" w:fill="FFFFFF"/>
            <w:lang w:val="en-US" w:eastAsia="en-US" w:bidi="ar-SA"/>
          </w:rPr>
          <w:t>2001 SCC 21</w:t>
        </w:r>
      </w:hyperlink>
      <w:r>
        <w:rPr>
          <w:rFonts w:ascii="arial" w:eastAsia="arial" w:hAnsi="arial" w:cs="arial"/>
          <w:color w:val="000000"/>
          <w:sz w:val="20"/>
          <w:lang w:val="en-US" w:eastAsia="en-US" w:bidi="ar-SA"/>
        </w:rPr>
        <w:t>, at para. 33.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37 In the context that interests us here, the doctrine of abuse of process engages "the inherent power of the court to prevent the misuse of its procedure, in a way that would ... bring the administration of justice into disrepute" (</w:t>
      </w:r>
      <w:r>
        <w:rPr>
          <w:rFonts w:ascii="arial" w:eastAsia="arial" w:hAnsi="arial" w:cs="arial"/>
          <w:i/>
          <w:color w:val="000000"/>
          <w:sz w:val="20"/>
          <w:lang w:val="en-US" w:eastAsia="en-US" w:bidi="ar-SA"/>
        </w:rPr>
        <w:t>Canam Enterprises Inc. v. Coles</w:t>
      </w:r>
      <w:r>
        <w:rPr>
          <w:rFonts w:ascii="arial" w:eastAsia="arial" w:hAnsi="arial" w:cs="arial"/>
          <w:color w:val="000000"/>
          <w:sz w:val="20"/>
          <w:lang w:val="en-US" w:eastAsia="en-US" w:bidi="ar-SA"/>
        </w:rPr>
        <w:t xml:space="preserve"> </w:t>
      </w:r>
      <w:hyperlink r:id="rId606" w:history="1">
        <w:r>
          <w:rPr>
            <w:rFonts w:ascii="arial" w:eastAsia="arial" w:hAnsi="arial" w:cs="arial"/>
            <w:i/>
            <w:color w:val="0077CC"/>
            <w:sz w:val="20"/>
            <w:u w:val="single"/>
            <w:shd w:val="clear" w:color="auto" w:fill="FFFFFF"/>
            <w:lang w:val="en-US" w:eastAsia="en-US" w:bidi="ar-SA"/>
          </w:rPr>
          <w:t>(2000), 51 O.R. (3d) 481</w:t>
        </w:r>
      </w:hyperlink>
      <w:r>
        <w:rPr>
          <w:rFonts w:ascii="arial" w:eastAsia="arial" w:hAnsi="arial" w:cs="arial"/>
          <w:color w:val="000000"/>
          <w:sz w:val="20"/>
          <w:lang w:val="en-US" w:eastAsia="en-US" w:bidi="ar-SA"/>
        </w:rPr>
        <w:t xml:space="preserve"> (C.A.), at para. 55,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Goudge J.A., dissenting (approved </w:t>
      </w:r>
      <w:hyperlink r:id="rId607" w:history="1">
        <w:r>
          <w:rPr>
            <w:rFonts w:ascii="arial" w:eastAsia="arial" w:hAnsi="arial" w:cs="arial"/>
            <w:i/>
            <w:color w:val="0077CC"/>
            <w:sz w:val="20"/>
            <w:u w:val="single"/>
            <w:shd w:val="clear" w:color="auto" w:fill="FFFFFF"/>
            <w:lang w:val="en-US" w:eastAsia="en-US" w:bidi="ar-SA"/>
          </w:rPr>
          <w:t>[2002] 3 S.C.R. 307</w:t>
        </w:r>
      </w:hyperlink>
      <w:r>
        <w:rPr>
          <w:rFonts w:ascii="arial" w:eastAsia="arial" w:hAnsi="arial" w:cs="arial"/>
          <w:color w:val="000000"/>
          <w:sz w:val="20"/>
          <w:lang w:val="en-US" w:eastAsia="en-US" w:bidi="ar-SA"/>
        </w:rPr>
        <w:t xml:space="preserve">, </w:t>
      </w:r>
      <w:hyperlink r:id="rId607" w:history="1">
        <w:r>
          <w:rPr>
            <w:rFonts w:ascii="arial" w:eastAsia="arial" w:hAnsi="arial" w:cs="arial"/>
            <w:i/>
            <w:color w:val="0077CC"/>
            <w:sz w:val="20"/>
            <w:u w:val="single"/>
            <w:shd w:val="clear" w:color="auto" w:fill="FFFFFF"/>
            <w:lang w:val="en-US" w:eastAsia="en-US" w:bidi="ar-SA"/>
          </w:rPr>
          <w:t>2002 SCC 63</w:t>
        </w:r>
      </w:hyperlink>
      <w:r>
        <w:rPr>
          <w:rFonts w:ascii="arial" w:eastAsia="arial" w:hAnsi="arial" w:cs="arial"/>
          <w:color w:val="000000"/>
          <w:sz w:val="20"/>
          <w:lang w:val="en-US" w:eastAsia="en-US" w:bidi="ar-SA"/>
        </w:rPr>
        <w:t>)). Goudge J.A. expanded on that concept in the following terms at paras. 55-56:</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doctrine of abuse of process engages the inherent power of the court to prevent the misuse of its procedure, in a way that would be manifestly unfair to a party to the litigation before it or would in some other way bring the administration of justice into disrepute. </w:t>
      </w:r>
      <w:r>
        <w:rPr>
          <w:rFonts w:ascii="arial" w:eastAsia="arial" w:hAnsi="arial" w:cs="arial"/>
          <w:color w:val="000000"/>
          <w:sz w:val="20"/>
          <w:u w:val="single"/>
          <w:lang w:val="en-US" w:eastAsia="en-US" w:bidi="ar-SA"/>
        </w:rPr>
        <w:t>It is a flexible doctrine unencumbered by the specific requirements of concepts such as issue estoppel.</w:t>
      </w:r>
      <w:r>
        <w:rPr>
          <w:rFonts w:ascii="arial" w:eastAsia="arial" w:hAnsi="arial" w:cs="arial"/>
          <w:color w:val="000000"/>
          <w:sz w:val="20"/>
          <w:lang w:val="en-US" w:eastAsia="en-US" w:bidi="ar-SA"/>
        </w:rPr>
        <w:t xml:space="preserve"> See </w:t>
      </w:r>
      <w:r>
        <w:rPr>
          <w:rFonts w:ascii="arial" w:eastAsia="arial" w:hAnsi="arial" w:cs="arial"/>
          <w:i/>
          <w:color w:val="000000"/>
          <w:sz w:val="20"/>
          <w:lang w:val="en-US" w:eastAsia="en-US" w:bidi="ar-SA"/>
        </w:rPr>
        <w:t>House of Spring Gardens Ltd. v. Waite</w:t>
      </w:r>
      <w:r>
        <w:rPr>
          <w:rFonts w:ascii="arial" w:eastAsia="arial" w:hAnsi="arial" w:cs="arial"/>
          <w:color w:val="000000"/>
          <w:sz w:val="20"/>
          <w:lang w:val="en-US" w:eastAsia="en-US" w:bidi="ar-SA"/>
        </w:rPr>
        <w:t>, [1990] 3 W.L.R. 347 at p. 358, [1990] 2 All E.R. 990 (C.A.).</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u w:val="single"/>
          <w:lang w:val="en-US" w:eastAsia="en-US" w:bidi="ar-SA"/>
        </w:rPr>
        <w:t>One circumstance in which abuse of process has been applied is where the litigation before the court is found to be in essence an attempt to relitigate a claim which the court has already determined.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Goudge J.A.'s comments indicate, Canadian courts have applied the doctrine of abuse of process to preclude relitigation in circumstances where the strict requirements of issue estoppel (typically the privity/ mutuality requirements) are not met, but where allowing the litigation to proceed would nonetheless violate such principles as judicial economy, consistency, finality and the integrity of the administration of justice. (See, for example, </w:t>
      </w:r>
      <w:r>
        <w:rPr>
          <w:rFonts w:ascii="arial" w:eastAsia="arial" w:hAnsi="arial" w:cs="arial"/>
          <w:i/>
          <w:color w:val="000000"/>
          <w:sz w:val="20"/>
          <w:lang w:val="en-US" w:eastAsia="en-US" w:bidi="ar-SA"/>
        </w:rPr>
        <w:t>Franco v. White</w:t>
      </w:r>
      <w:r>
        <w:rPr>
          <w:rFonts w:ascii="arial" w:eastAsia="arial" w:hAnsi="arial" w:cs="arial"/>
          <w:color w:val="000000"/>
          <w:sz w:val="20"/>
          <w:lang w:val="en-US" w:eastAsia="en-US" w:bidi="ar-SA"/>
        </w:rPr>
        <w:t xml:space="preserve"> </w:t>
      </w:r>
      <w:hyperlink r:id="rId608" w:history="1">
        <w:r>
          <w:rPr>
            <w:rFonts w:ascii="arial" w:eastAsia="arial" w:hAnsi="arial" w:cs="arial"/>
            <w:i/>
            <w:color w:val="0077CC"/>
            <w:sz w:val="20"/>
            <w:u w:val="single"/>
            <w:shd w:val="clear" w:color="auto" w:fill="FFFFFF"/>
            <w:lang w:val="en-US" w:eastAsia="en-US" w:bidi="ar-SA"/>
          </w:rPr>
          <w:t>(2001), 53 O.R. (3d) 391</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Bomac Construction Ltd. v. Stevenson</w:t>
      </w:r>
      <w:r>
        <w:rPr>
          <w:rFonts w:ascii="arial" w:eastAsia="arial" w:hAnsi="arial" w:cs="arial"/>
          <w:color w:val="000000"/>
          <w:sz w:val="20"/>
          <w:lang w:val="en-US" w:eastAsia="en-US" w:bidi="ar-SA"/>
        </w:rPr>
        <w:t xml:space="preserve">, </w:t>
      </w:r>
      <w:hyperlink r:id="rId609" w:history="1">
        <w:r>
          <w:rPr>
            <w:rFonts w:ascii="arial" w:eastAsia="arial" w:hAnsi="arial" w:cs="arial"/>
            <w:i/>
            <w:color w:val="0077CC"/>
            <w:sz w:val="20"/>
            <w:u w:val="single"/>
            <w:shd w:val="clear" w:color="auto" w:fill="FFFFFF"/>
            <w:lang w:val="en-US" w:eastAsia="en-US" w:bidi="ar-SA"/>
          </w:rPr>
          <w:t>[1986] 5 W.W.R. 21</w:t>
        </w:r>
      </w:hyperlink>
      <w:r>
        <w:rPr>
          <w:rFonts w:ascii="arial" w:eastAsia="arial" w:hAnsi="arial" w:cs="arial"/>
          <w:color w:val="000000"/>
          <w:sz w:val="20"/>
          <w:lang w:val="en-US" w:eastAsia="en-US" w:bidi="ar-SA"/>
        </w:rPr>
        <w:t xml:space="preserve"> (Sask. C.A.); and </w:t>
      </w:r>
      <w:r>
        <w:rPr>
          <w:rFonts w:ascii="arial" w:eastAsia="arial" w:hAnsi="arial" w:cs="arial"/>
          <w:i/>
          <w:color w:val="000000"/>
          <w:sz w:val="20"/>
          <w:lang w:val="en-US" w:eastAsia="en-US" w:bidi="ar-SA"/>
        </w:rPr>
        <w:t>Bjarnarson v. Government of Manitoba</w:t>
      </w:r>
      <w:r>
        <w:rPr>
          <w:rFonts w:ascii="arial" w:eastAsia="arial" w:hAnsi="arial" w:cs="arial"/>
          <w:color w:val="000000"/>
          <w:sz w:val="20"/>
          <w:lang w:val="en-US" w:eastAsia="en-US" w:bidi="ar-SA"/>
        </w:rPr>
        <w:t xml:space="preserve"> </w:t>
      </w:r>
      <w:hyperlink r:id="rId610" w:history="1">
        <w:r>
          <w:rPr>
            <w:rFonts w:ascii="arial" w:eastAsia="arial" w:hAnsi="arial" w:cs="arial"/>
            <w:i/>
            <w:color w:val="0077CC"/>
            <w:sz w:val="20"/>
            <w:u w:val="single"/>
            <w:shd w:val="clear" w:color="auto" w:fill="FFFFFF"/>
            <w:lang w:val="en-US" w:eastAsia="en-US" w:bidi="ar-SA"/>
          </w:rPr>
          <w:t>(1987), 38 D.L.R. (4th) 32</w:t>
        </w:r>
      </w:hyperlink>
      <w:r>
        <w:rPr>
          <w:rFonts w:ascii="arial" w:eastAsia="arial" w:hAnsi="arial" w:cs="arial"/>
          <w:color w:val="000000"/>
          <w:sz w:val="20"/>
          <w:lang w:val="en-US" w:eastAsia="en-US" w:bidi="ar-SA"/>
        </w:rPr>
        <w:t xml:space="preserve"> (Man. Q.B.), aff'd </w:t>
      </w:r>
      <w:hyperlink r:id="rId610" w:history="1">
        <w:r>
          <w:rPr>
            <w:rFonts w:ascii="arial" w:eastAsia="arial" w:hAnsi="arial" w:cs="arial"/>
            <w:i/>
            <w:color w:val="0077CC"/>
            <w:sz w:val="20"/>
            <w:u w:val="single"/>
            <w:shd w:val="clear" w:color="auto" w:fill="FFFFFF"/>
            <w:lang w:val="en-US" w:eastAsia="en-US" w:bidi="ar-SA"/>
          </w:rPr>
          <w:t>(1987), 21 C.P.C. (2d) 302</w:t>
        </w:r>
      </w:hyperlink>
      <w:r>
        <w:rPr>
          <w:rFonts w:ascii="arial" w:eastAsia="arial" w:hAnsi="arial" w:cs="arial"/>
          <w:color w:val="000000"/>
          <w:sz w:val="20"/>
          <w:lang w:val="en-US" w:eastAsia="en-US" w:bidi="ar-SA"/>
        </w:rPr>
        <w:t xml:space="preserve"> (Man. C.A.).) This has resulted in some criticism, on the ground that the doctrine of abuse of process by relitigation is in effect non-mutual issue estoppel by another name without the important qualifications recognized by the American courts as part and parcel of the general doctrine of non-mutual issue estoppel (Watson,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at pp. 624-25).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44 The adjudicative process, and the importance of preserving its integrity, were well described by Doherty J.A. He said, at para. 74:</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adjudicative process in its various manifestations strives to do justice. By the adjudicative process, I mean the various courts and tribunals to which individuals must resort to settle legal disputes. Where the same issues arise in various forums, the quality of justice delivered by the adjudicative process is measured not by reference to the isolated result in each forum, but by the end result produced by the various processes that address the issue. By justice, I refer to procedural fairness, the achieving of the correct result in individual cases and the broader perception that the process as a whole achieves results which are consistent, fair and accurate.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50 It has been argued that it is difficult to see how mounting a defence can be an abuse of process (see M. Teplitsky, "Prior Criminal Convictions: Are They Conclusive Proof? An Arbitrator's Perspective", in K. Whitaker et al., eds., </w:t>
      </w:r>
      <w:r>
        <w:rPr>
          <w:rFonts w:ascii="arial" w:eastAsia="arial" w:hAnsi="arial" w:cs="arial"/>
          <w:i/>
          <w:color w:val="000000"/>
          <w:sz w:val="20"/>
          <w:lang w:val="en-US" w:eastAsia="en-US" w:bidi="ar-SA"/>
        </w:rPr>
        <w:t>Labour Arbitration Yearbook 2001-2002</w:t>
      </w:r>
      <w:r>
        <w:rPr>
          <w:rFonts w:ascii="arial" w:eastAsia="arial" w:hAnsi="arial" w:cs="arial"/>
          <w:color w:val="000000"/>
          <w:sz w:val="20"/>
          <w:lang w:val="en-US" w:eastAsia="en-US" w:bidi="ar-SA"/>
        </w:rPr>
        <w:t xml:space="preserve"> (2002), vol. I, 279). A common justification for the doctrine of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is that a party should not be twice vexed in the same cause, that is, the party should not be burdened with having to relitigate the same issue (Watson,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at p. 633). Of course, a defendant may be quite pleased to have another opportunity to litigate an issue originally decided against him. A proper focus on the process, rather than on the interests of a party, will reveal why relitigation should not be permitted in such a case.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51 Rather than focus on the motive or status of the parties, the doctrine of abuse of process concentrates on the integrity of the adjudicative process. Three preliminary observations are useful in that respect. First, there can be no assumption that relitigation will yield a more accurate result than the original proceeding. Second, if the same result is reached in the subsequent proceeding, the relitigation will prove to have been a waste of judicial resources as well as an unnecessary expense for the parties and possibly an additional hardship for some witnesses. Finally, if the result in the subsequent proceeding is different from the conclusion reached in the first on the very same issue, the inconsistency, in and of itself, will undermine the credibility of the entire judicial process, thereby diminishing its authority, its credibility and its aim of finality.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As a result the doctrine enables the Court to prevent relitigation of matters addressed and resolved in another court proceeding. While it addresses considerations similar to those addressed in issue estoppel it is "focused on preserving the integrity of the adjudicative process more so than on the status, motive or rights of the parties". (</w:t>
      </w:r>
      <w:r>
        <w:rPr>
          <w:rFonts w:ascii="arial" w:eastAsia="arial" w:hAnsi="arial" w:cs="arial"/>
          <w:i/>
          <w:color w:val="000000"/>
          <w:sz w:val="20"/>
          <w:lang w:val="en-US" w:eastAsia="en-US" w:bidi="ar-SA"/>
        </w:rPr>
        <w:t>Golden</w:t>
      </w:r>
      <w:r>
        <w:rPr>
          <w:rFonts w:ascii="arial" w:eastAsia="arial" w:hAnsi="arial" w:cs="arial"/>
          <w:color w:val="000000"/>
          <w:sz w:val="20"/>
          <w:lang w:val="en-US" w:eastAsia="en-US" w:bidi="ar-SA"/>
        </w:rPr>
        <w:t xml:space="preserve"> at para. 29).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As indicated earlier the defendants also assert that the claims of the plaintiffs that the defendants failed to properly investigate the plaintiffs, means the plaintiffs have to meet the test for negligent investigation. They submit that in addition to establishing there was a duty of care, the standard of that care and its breach the plaintiffs must also prove causation. As a result the defendants submit they are entitled to discovery of the source of the saved funds. They say that the information may show that had the source of the funds been known to the there would have been a different result in their decision to prosecute. They submit that the plaintiffs have to show where the moneys came from and that the defendants should have known that and failed to take it into consideration.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xml:space="preserve">  They refer to </w:t>
      </w:r>
      <w:r>
        <w:rPr>
          <w:rFonts w:ascii="arial" w:eastAsia="arial" w:hAnsi="arial" w:cs="arial"/>
          <w:i/>
          <w:color w:val="000000"/>
          <w:sz w:val="20"/>
          <w:lang w:val="en-US" w:eastAsia="en-US" w:bidi="ar-SA"/>
        </w:rPr>
        <w:t>Hill</w:t>
      </w:r>
      <w:r>
        <w:rPr>
          <w:rFonts w:ascii="arial" w:eastAsia="arial" w:hAnsi="arial" w:cs="arial"/>
          <w:color w:val="000000"/>
          <w:sz w:val="20"/>
          <w:lang w:val="en-US" w:eastAsia="en-US" w:bidi="ar-SA"/>
        </w:rPr>
        <w:t xml:space="preserve"> at para. 93 where the Court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93 Recovery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requires a causal connection between the breach of the standard of care and the compensable damage suffered. Negligent police investigation may cause or contribute to wrongful conviction and imprisonment, fulfilling the legal requirement of causal connection on a balance of probabilities. The starting point is the usual "but for" test. If, on a balance of probabilities, the compensable damage would not have occurred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police, then the causation requirement is met.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xml:space="preserve">  The difficulty with the defendants' analysis is that the damages claimed flow from the alleged negligent acts of the defendants in prosecuting the plaintiffs. That is based on the actions of the defendants in proceeding with the prosecution </w:t>
      </w:r>
      <w:r>
        <w:rPr>
          <w:rFonts w:ascii="arial" w:eastAsia="arial" w:hAnsi="arial" w:cs="arial"/>
          <w:i/>
          <w:color w:val="000000"/>
          <w:sz w:val="20"/>
          <w:lang w:val="en-US" w:eastAsia="en-US" w:bidi="ar-SA"/>
        </w:rPr>
        <w:t>without</w:t>
      </w:r>
      <w:r>
        <w:rPr>
          <w:rFonts w:ascii="arial" w:eastAsia="arial" w:hAnsi="arial" w:cs="arial"/>
          <w:color w:val="000000"/>
          <w:sz w:val="20"/>
          <w:lang w:val="en-US" w:eastAsia="en-US" w:bidi="ar-SA"/>
        </w:rPr>
        <w:t xml:space="preserve"> the necessary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xml:space="preserve">  This raises the issue of whether or not the evidence sought by the defendants is relevant at all. In their amended notice of civil claim the plaintiffs plead on the basis of circumstances that were </w:t>
      </w:r>
      <w:r>
        <w:rPr>
          <w:rFonts w:ascii="arial" w:eastAsia="arial" w:hAnsi="arial" w:cs="arial"/>
          <w:color w:val="000000"/>
          <w:sz w:val="20"/>
          <w:u w:val="single"/>
          <w:lang w:val="en-US" w:eastAsia="en-US" w:bidi="ar-SA"/>
        </w:rPr>
        <w:t>then known</w:t>
      </w:r>
      <w:r>
        <w:rPr>
          <w:rFonts w:ascii="arial" w:eastAsia="arial" w:hAnsi="arial" w:cs="arial"/>
          <w:color w:val="000000"/>
          <w:sz w:val="20"/>
          <w:lang w:val="en-US" w:eastAsia="en-US" w:bidi="ar-SA"/>
        </w:rPr>
        <w:t xml:space="preserve">. The application of the defendants seeks information </w:t>
      </w:r>
      <w:r>
        <w:rPr>
          <w:rFonts w:ascii="arial" w:eastAsia="arial" w:hAnsi="arial" w:cs="arial"/>
          <w:color w:val="000000"/>
          <w:sz w:val="20"/>
          <w:u w:val="single"/>
          <w:lang w:val="en-US" w:eastAsia="en-US" w:bidi="ar-SA"/>
        </w:rPr>
        <w:t>then unknown</w:t>
      </w:r>
      <w:r>
        <w:rPr>
          <w:rFonts w:ascii="arial" w:eastAsia="arial" w:hAnsi="arial" w:cs="arial"/>
          <w:color w:val="000000"/>
          <w:sz w:val="20"/>
          <w:lang w:val="en-US" w:eastAsia="en-US" w:bidi="ar-SA"/>
        </w:rPr>
        <w:t xml:space="preserve"> to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This claim arises from the conduct of the defendants in prosecuting the plaintiffs on the basis of the evidence they had that is at the time. And while the defendants submit that the evidence is relevant on the basis that the plaintiffs must prove the absence of reasonable and probable cause, with respect that should be established based on the information that was before the defendants when they made the decision to prosecute and carry the matter to trial in the first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The defendants also submit that the plaintiffs must show that if the defendants had had proof that the funds were not subject to tax it would not have been reasonable to prosecute the plaintiffs. The defendants are interested in information regarding the nature and substance of funds because they say that it goes to what the CRA should have considered at the time and how it would have weakened the prosecution. That however is not the issue. The issue is that the defendants allegedly proceeded without such information and indeed, as found by the Provincial Court Judge, they did not seek to obtain such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The requested information is not relevant to this litigation. The defendants seek to relitigate the findings and issues addressed in the Provincial Court. I conclude such would be an 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I turn now to the specific questions asked on the discoveries of Mr. and Mrs. Samaroo and the specific document or information requests that remain in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Specific Requests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The specific disclosure sought is described in the amended notice of application as follows (I have deleted those that have either been responded to or are no longer in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The specifics of those requests 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u w:val="single"/>
          <w:lang w:val="en-US" w:eastAsia="en-US" w:bidi="ar-SA"/>
        </w:rPr>
        <w:t>Requests for Tony Samaroo</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5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Request 10:</w:t>
      </w:r>
      <w:r>
        <w:rPr>
          <w:rFonts w:ascii="arial" w:eastAsia="arial" w:hAnsi="arial" w:cs="arial"/>
          <w:color w:val="000000"/>
          <w:sz w:val="20"/>
          <w:lang w:val="en-US" w:eastAsia="en-US" w:bidi="ar-SA"/>
        </w:rPr>
        <w:t xml:space="preserve"> Provide all documents, correspondence and supporting documentation regarding the source of funds deposited into accounts Mr. Samaroo's or his companies' bank accounts in 2004/2005: ...</w:t>
      </w:r>
    </w:p>
    <w:p>
      <w:pPr>
        <w:numPr>
          <w:numId w:val="56"/>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Request 11:</w:t>
      </w:r>
      <w:r>
        <w:rPr>
          <w:rFonts w:ascii="arial" w:eastAsia="arial" w:hAnsi="arial" w:cs="arial"/>
          <w:color w:val="000000"/>
          <w:sz w:val="20"/>
          <w:lang w:val="en-US" w:eastAsia="en-US" w:bidi="ar-SA"/>
        </w:rPr>
        <w:t xml:space="preserve"> Provide copies of all documents and correspondence regarding the source of the funds in the safety deposit boxes which were transferred into the bank accounts of Mr. Samaroo or his companies in 2004 and 2005: ...</w:t>
      </w:r>
    </w:p>
    <w:p>
      <w:pPr>
        <w:numPr>
          <w:numId w:val="57"/>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Request 18:</w:t>
      </w:r>
      <w:r>
        <w:rPr>
          <w:rFonts w:ascii="arial" w:eastAsia="arial" w:hAnsi="arial" w:cs="arial"/>
          <w:color w:val="000000"/>
          <w:sz w:val="20"/>
          <w:lang w:val="en-US" w:eastAsia="en-US" w:bidi="ar-SA"/>
        </w:rPr>
        <w:t xml:space="preserve"> Provide all documents regarding the ATM machine, its installation and removal: ...</w:t>
      </w:r>
    </w:p>
    <w:p>
      <w:pPr>
        <w:numPr>
          <w:numId w:val="5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Request 19:</w:t>
      </w:r>
      <w:r>
        <w:rPr>
          <w:rFonts w:ascii="arial" w:eastAsia="arial" w:hAnsi="arial" w:cs="arial"/>
          <w:color w:val="000000"/>
          <w:sz w:val="20"/>
          <w:lang w:val="en-US" w:eastAsia="en-US" w:bidi="ar-SA"/>
        </w:rPr>
        <w:t xml:space="preserve"> Provide the name of any company associated with interact payments at M.G.M. in terms of how payments would show up on bank accounts: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Requests number 10 and 11 relate to paras. 9 and 11 of the amended notice of civil claim. For the reasons given those paragraphs need not be answered.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Request 18 is not relevant as it relates to the issues addressed by these reasons with respect to issue estoppel and abuse of process. The defendants are not entitled to re-investigate the plaintiffs so that they can argue what they could have but did not investigate at the relevant time. In any event the plaintiffs state they have no independent recollection of when the ATM machine was installed or removed other than it was around the end of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Request 19 was responded to by the plaintiffs through counsel indicating they had no independent recollection of the name of the company associated with Interac Payments or how those payments would show up on their bank accounts. The defendants assert that what the CRA knew or should have known is impacted by what was in fact the case regarding the ATM and the information available to the CRA. They suggest that the way the ATM payments were reported on the bank statements is central to the issue of what the CRA knew or ought to have known and whether any error occurred. Again, this request is not relevant as the defendants are not entitled to re-investigate the plaintiffs in order to argue that they could have but did not investigate at the relevant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The objection of Mr. Samaroo to question 232 in his examination for discovery is upheld as question 232 relates to paras. 9, 10 and 11 of the amended notice of civil claim referred to previously and because the answers sought are not relevant to what knowledge the defendants had at the time of the investigation and prosecution. Question 272 relates to the accounting for gratuities before February 2006. The answer to that inquiry is also irrelevant given the issue is the knowledge of the defendants at the time of the investigation and prosecution. The objection to answering question 272 is upheld.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u w:val="single"/>
          <w:lang w:val="en-US" w:eastAsia="en-US" w:bidi="ar-SA"/>
        </w:rPr>
        <w:t>Requests for Helen Samaroo:</w:t>
      </w:r>
    </w:p>
    <w:p>
      <w:pPr>
        <w:numPr>
          <w:numId w:val="59"/>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Request 22:</w:t>
      </w:r>
      <w:r>
        <w:rPr>
          <w:rFonts w:ascii="arial" w:eastAsia="arial" w:hAnsi="arial" w:cs="arial"/>
          <w:color w:val="000000"/>
          <w:sz w:val="20"/>
          <w:lang w:val="en-US" w:eastAsia="en-US" w:bidi="ar-SA"/>
        </w:rPr>
        <w:t xml:space="preserve"> Copies of any receipts, cashed cheques, proof of payment in terms of bills from Mr. Tollefson, George Jones and B. Anderson paid as disbursements by Mr. Kelliher's office: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Initially the plaintiffs stated that the accounts referred to have been paid in full and that they were endeavouring to gather the receipts and that they would produce them. They then stated that they were not prepared to provide the receipts for payment and that if necessary Mr. Samaroo will give evidence at the trial that all of those accounts have been paid in full.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The receipts relate to accounts for professional fees and disbursements and taxes respecting the criminal prosecution. They are claimed as damages. They are relevant and are to be produced.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Tax Court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Initially the defendants sought an order lifting the implied undertaking over documents and information provided by the plaintiffs in the Tax Court proceedings so that they could use the information in this proceeding. They have now abandoned that relief and instead seek an order that the plaintiffs list the Tax Court documents in this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In my view for the reasons given respecting relevance and issue estoppel the Tax Court information and documents are not relevant to these proceedings. As the obligation is to list relevant documents the documents do not need to be listed.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Application for Extension of Discovery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In light of these rulings the need for additional discovery time of Mr. Samaroo is negated. Additional discovery time of two hours is permitted for the examination of Ms. Samaroo with respect to request number 22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Orders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That the plaintiffs be released from the implied undertaking over information and documents provided by each of Brian Jones and Brian D. Jones Law Corporation in these proceedings (excluding those defendants private business or administrative records such as billing records) so that the plaintiffs may use that information and documents in the Tax Court proceedings, namely:</w:t>
      </w:r>
      <w:r>
        <w:rPr>
          <w:rFonts w:ascii="arial" w:eastAsia="arial" w:hAnsi="arial" w:cs="arial"/>
          <w:sz w:val="20"/>
          <w:lang w:val="en-US" w:eastAsia="en-US" w:bidi="ar-SA"/>
        </w:rPr>
        <w:cr/>
      </w:r>
    </w:p>
    <w:p>
      <w:pPr>
        <w:numPr>
          <w:numId w:val="6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2012-2997(GST)G -- Tony and Helen Samaroo;</w:t>
      </w:r>
    </w:p>
    <w:p>
      <w:pPr>
        <w:numPr>
          <w:numId w:val="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2012-2998(IT)G -- Tony Samaroo;</w:t>
      </w:r>
    </w:p>
    <w:p>
      <w:pPr>
        <w:numPr>
          <w:numId w:val="6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2012-3001 (IT)G -- Helen Samaroo;</w:t>
      </w:r>
    </w:p>
    <w:p>
      <w:pPr>
        <w:numPr>
          <w:numId w:val="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2012-3147(GST)G -- Samaroo Holdings Ltd;</w:t>
      </w:r>
    </w:p>
    <w:p>
      <w:pPr>
        <w:numPr>
          <w:numId w:val="6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2012-3148(IT)G -- Samaroo Holdings Ltd;</w:t>
      </w:r>
    </w:p>
    <w:p>
      <w:pPr>
        <w:numPr>
          <w:numId w:val="7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2012-3150(IT)G -- M.G.M. Restaurants Ltd; and,</w:t>
      </w:r>
    </w:p>
    <w:p>
      <w:pPr>
        <w:numPr>
          <w:numId w:val="7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2012-3149(GST) G -- M.G.M. Restaurants Ltd. (collectively the "Tax Court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The application of the plaintiffs to examine Lisa McLean is granted.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The application of the plaintiffs to examine Marsha Downs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The defendants application of November 6, 2015 that Tony Samaroo provide the outstanding information and documents relating to requests 10, 11, 18 and 19 of his examination for discovery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The objections to Tony Samaroo answering questions 232 and 272 of his examination for discovery are upheld.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The documents requested of Helen Samaroo identified as request 22 above are to be produced.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The objections to Helen Samaroo answering questions 461 and 465 of her examination for discovery are upheld.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The application for an order that the plaintiffs list the Tax Court documents in this proceeding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The application for an order that the defendants be granted an additional two hours for the examination for discovery of Tony Samaroo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The application for an order that the defendants be granted an additional two hours for the examination for discovery of Helen Samaroo is granted.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This hearing involved three plaintiff applications and one defence application. The plaintiffs were substantially successful in their application to be relieved of the implied undertaking and in their application to examine Ms. Lisa McLean. They were unsuccessful in their application to examine Ms. Marsha Down. The defendants were substantially unsuccessful in their application for additional information and disclosure. The parties are entitled to their costs in accordance with Rule 14-1(12).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R.D. PUNNETT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58" style="position:absolute;z-index:25188044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11"/>
          <w:headerReference w:type="default" r:id="rId612"/>
          <w:footerReference w:type="even" r:id="rId613"/>
          <w:footerReference w:type="default" r:id="rId614"/>
          <w:headerReference w:type="first" r:id="rId615"/>
          <w:footerReference w:type="first" r:id="rId61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17" w:history="1">
        <w:r>
          <w:rPr>
            <w:rFonts w:ascii="arial" w:eastAsia="arial" w:hAnsi="arial" w:cs="arial"/>
            <w:b/>
            <w:bCs/>
            <w:i/>
            <w:color w:val="0077CC"/>
            <w:kern w:val="32"/>
            <w:sz w:val="28"/>
            <w:szCs w:val="32"/>
            <w:u w:val="single"/>
            <w:shd w:val="clear" w:color="auto" w:fill="FFFFFF"/>
            <w:lang w:val="en-US" w:eastAsia="en-US" w:bidi="ar-SA"/>
          </w:rPr>
          <w:t>Stieber v. Canada (Minister of National Defence), [2002] B.C.J. No. 2541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Melvin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10,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November 7,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Victoria Registry No. 01-0534</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[2002] B.C.J. No. 2541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2002 BCSC 1560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8 B.C.L.R. (4th) 309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119 A.C.W.S. (3d) 1019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Irene Raven Stieber, plaintiff, and Attorney General of Canada in Right of the Department of National Defence,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59" style="position:absolute;z-index:2516869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86" w:name="Keywords_27"/>
      <w:bookmarkEnd w:id="186"/>
      <w:r>
        <w:rPr>
          <w:rFonts w:ascii="arial" w:eastAsia="arial" w:hAnsi="arial" w:cs="arial"/>
          <w:b/>
          <w:color w:val="000000"/>
          <w:sz w:val="20"/>
          <w:lang w:val="en-US" w:eastAsia="en-US" w:bidi="ar-SA"/>
        </w:rPr>
        <w:t>Armed forces — Limitation of actions — Actions against the Crown — Applicability of limitation period — Waiver — Estoppel — Conduct.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87" w:name="Case Summary_25"/>
            <w:bookmarkEnd w:id="18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 Minister of National Defence to dismiss the action of Stieber as being barred by the limitation period contained in section 269(1) of the National Defence Act. Stieber attended a social event at a Canadian Forces base on May 7, 1999. She was injured in a slip and fall accident on the property. She commenced her action on February 5, 2001. Section 269(1) provided that no action lay against any person for an action done in pursuance of the Act unless it was commenced within six months after the act complained of. Stieber submitted that the Minister was estopped from reliance on the limitation period because it did not inform her of this period and advise her to seek legal counsel within that time. After the limitation period expired the Minister, through its office of the Judge Advocate General, wrote to Stieber and requested information about her claim.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88" w:name="Holdings of Court_21"/>
            <w:bookmarkEnd w:id="188"/>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limitation period applied to the Crown and to the Minister. The act complained of related to duties or actions done in pursuance of the Act. However, the Minister engaged in conduct that amounted to a waiver of its rights. This conduct was the request for information. It amounted to an unequivocal and conscious intent to abandon the limitation period.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89" w:name="Legislation Cited_19"/>
      <w:bookmarkEnd w:id="18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60" style="position:absolute;z-index:2517381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Crown Liability and Proceedings Act, ss. 24(1), 24(1)(a), 32.</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National Defence Act, ss. 3, 4, 14, 269, 269(1).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90" w:name="Counsel_27"/>
      <w:bookmarkEnd w:id="190"/>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61" style="position:absolute;z-index:2517893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G.T. Rhone, for the plaintiff. K.J. Richardson, for the defendant.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91" w:name="Judgment_27"/>
      <w:bookmarkEnd w:id="191"/>
      <w:r>
        <w:pict>
          <v:line id="_x0000_s1162" style="position:absolute;z-index:251840512"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7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92" w:name="MELVIN J."/>
            <w:bookmarkEnd w:id="192"/>
            <w:r>
              <w:rPr>
                <w:rFonts w:ascii="arial" w:eastAsia="arial" w:hAnsi="arial" w:cs="arial"/>
                <w:b/>
                <w:color w:val="000000"/>
                <w:sz w:val="30"/>
                <w:lang w:val="en-US" w:eastAsia="en-US" w:bidi="ar-SA"/>
              </w:rPr>
              <w:t>MELVIN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Pursuant to its notice of motion issued October 4, 2002, the defendant seeks an order that the proceedings against the defendant be dismissed, alleging that the plaintiff's claim is barred pursuant to the limitation period in s. 269 of the National Defence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circumstances, briefly stated, are that on May 7, 1999 the plaintiff attended a social event at the Canadian Forces Base Esquimalt, British Columbia, on property owned by the Department of National Defence. The purpose for her attendance was a Mother's Day dinner and dance, and for that purpose she attended at the Officer's Mess at the corner of Lyall Street and Esquimalt Road. At approximately 11:00 p.m. on the day in question she was injured in a fall in or near the parking lot at that corner. The plaintiff alleges in her writ and statement of claim issued February 5, 2001 that she tripped on a cement curb barrier located in a pathway to the parking lot in question. The plaintiff alleges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defendant, which is particularized in the statement of claim, but may be summarized as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allowing individuals to use the pathway when the defendant knew or ought to have known that it constituted a danger, and further that the defendant was negligent in failing to construct, maintain and repair the pathway.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defendant relies on s. 269(1) of the National Defence Act:</w:t>
      </w:r>
      <w:r>
        <w:rPr>
          <w:rFonts w:ascii="arial" w:eastAsia="arial" w:hAnsi="arial" w:cs="arial"/>
          <w:sz w:val="20"/>
          <w:lang w:val="en-US" w:eastAsia="en-US" w:bidi="ar-SA"/>
        </w:rPr>
        <w:cr/>
      </w:r>
    </w:p>
    <w:p>
      <w:pPr>
        <w:numPr>
          <w:numId w:val="10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 action, prosecution or other proceeding lies against any person for an action done in pursuance or execution of this Act or any regulations or military or departmental duty or authority, or in respect of any alleged neglect or default in the execution of this Act, regulations or any such duty or authority unless it is commenced within six months after the act, neglect or default complained of or, in the case of continuance of injury or damage, within six months after the ceasing thereof. [my emphasis]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This section has been subject to a number of decisions which seem to result in different interpretations and applications. Older authorities concluded that the Crown is not a person within the meaning of s. 269(1); therefore, it cannot avail itself of this section. In that respect, see R. v. Canada (Minister of National Defence), </w:t>
      </w:r>
      <w:hyperlink r:id="rId618" w:history="1">
        <w:r>
          <w:rPr>
            <w:rFonts w:ascii="arial" w:eastAsia="arial" w:hAnsi="arial" w:cs="arial"/>
            <w:i/>
            <w:color w:val="0077CC"/>
            <w:sz w:val="20"/>
            <w:u w:val="single"/>
            <w:shd w:val="clear" w:color="auto" w:fill="FFFFFF"/>
            <w:lang w:val="en-US" w:eastAsia="en-US" w:bidi="ar-SA"/>
          </w:rPr>
          <w:t>[1993] N.S.J. No. 385</w:t>
        </w:r>
      </w:hyperlink>
      <w:r>
        <w:rPr>
          <w:rFonts w:ascii="arial" w:eastAsia="arial" w:hAnsi="arial" w:cs="arial"/>
          <w:color w:val="000000"/>
          <w:sz w:val="20"/>
          <w:lang w:val="en-US" w:eastAsia="en-US" w:bidi="ar-SA"/>
        </w:rPr>
        <w:t>, a decision of the Nova Scotia Court of Appeal at paragraph 18: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In my opinion, the Crown is not a "person" entitled to the protection of s. 269 and the trial judge erred in finding that the six-month limitation period applied to Her Majesty.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Subsequent decisions have referred to the Crown Liability and Proceedings Act, and in particular, s. 32 therein:</w:t>
      </w:r>
      <w:r>
        <w:rPr>
          <w:rFonts w:ascii="arial" w:eastAsia="arial" w:hAnsi="arial" w:cs="arial"/>
          <w:sz w:val="20"/>
          <w:lang w:val="en-US" w:eastAsia="en-US" w:bidi="ar-SA"/>
        </w:rPr>
        <w:cr/>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Except as otherwise provided in this Act or in any other Act of Parliament, the laws relating to prescription and the limitation of actions in force in a province between subject and subject apply to any proceedings by or against the Crown in respect of any cause of action arising in that province, and proceedings by or against the Crown in respect of a cause of action arising otherwise than in a province shall be taken within six years after the cause of action arose. [my emphasis]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This section was considered by the court in Zimpelmann v. Canada, </w:t>
      </w:r>
      <w:hyperlink r:id="rId619" w:history="1">
        <w:r>
          <w:rPr>
            <w:rFonts w:ascii="arial" w:eastAsia="arial" w:hAnsi="arial" w:cs="arial"/>
            <w:i/>
            <w:color w:val="0077CC"/>
            <w:sz w:val="20"/>
            <w:u w:val="single"/>
            <w:shd w:val="clear" w:color="auto" w:fill="FFFFFF"/>
            <w:lang w:val="en-US" w:eastAsia="en-US" w:bidi="ar-SA"/>
          </w:rPr>
          <w:t>[2001] B.C.J. No. 618</w:t>
        </w:r>
      </w:hyperlink>
      <w:r>
        <w:rPr>
          <w:rFonts w:ascii="arial" w:eastAsia="arial" w:hAnsi="arial" w:cs="arial"/>
          <w:color w:val="000000"/>
          <w:sz w:val="20"/>
          <w:lang w:val="en-US" w:eastAsia="en-US" w:bidi="ar-SA"/>
        </w:rPr>
        <w:t>. In Zimpelmann, supra, the court accepted the submission of the defendant that s. 269(1) applied by virtue of the operation of s. 24(1) of the Crown Liability and Proceedings Act which reads:</w:t>
      </w:r>
      <w:r>
        <w:rPr>
          <w:rFonts w:ascii="arial" w:eastAsia="arial" w:hAnsi="arial" w:cs="arial"/>
          <w:sz w:val="20"/>
          <w:lang w:val="en-US" w:eastAsia="en-US" w:bidi="ar-SA"/>
        </w:rPr>
        <w:cr/>
      </w:r>
    </w:p>
    <w:p>
      <w:pPr>
        <w:numPr>
          <w:numId w:val="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any proceedings against the Crown, the Crown may raise</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any defence that would be available if the proceedings were a suit or an action in a competent court between subject and subject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[My emphasis]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After considering the sections above-mentioned, the court concluded at paragraph 12: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plain interpretation of s. 24(1)(a) of the Crown Liability and Proceedings Act gives the Crown the right to use any defence that would be open to it if it were an individual defendant. ... It logically follows, then, that the Crown should be permitted to rely on defences it would be permitted to rely upon if it were a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court subsequently concluded that s. 32 of the Crown Liability and Proceedings Act gives priority to limitation periods set out in federal legislation, incorporating provincial limitation periods only in the absence of operative federal provisions.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 agree with the reasoning in Zimpelmann that s. 32 of the Crown Liability and Proceedings Act provides that the provincial limitations operating between subject and subject apply, except as otherwise provided in any other Act of Parliament. In this instance, in my opinion, that incorporates s. 269(1) of the National Defence Act. That section is "any other Act of Parliament".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As the court stated in Scaglione v. McLean </w:t>
      </w:r>
      <w:hyperlink r:id="rId620" w:history="1">
        <w:r>
          <w:rPr>
            <w:rFonts w:ascii="arial" w:eastAsia="arial" w:hAnsi="arial" w:cs="arial"/>
            <w:i/>
            <w:color w:val="0077CC"/>
            <w:sz w:val="20"/>
            <w:u w:val="single"/>
            <w:shd w:val="clear" w:color="auto" w:fill="FFFFFF"/>
            <w:lang w:val="en-US" w:eastAsia="en-US" w:bidi="ar-SA"/>
          </w:rPr>
          <w:t>(1998), 38 O.R. (3d) 464</w:t>
        </w:r>
      </w:hyperlink>
      <w:r>
        <w:rPr>
          <w:rFonts w:ascii="arial" w:eastAsia="arial" w:hAnsi="arial" w:cs="arial"/>
          <w:color w:val="000000"/>
          <w:sz w:val="20"/>
          <w:lang w:val="en-US" w:eastAsia="en-US" w:bidi="ar-SA"/>
        </w:rPr>
        <w:t xml:space="preserve"> at 469: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Section 32 of the Act speaks directly to the application and choice of limitation periods. It gives priority to limitation periods set out in federal legislation, and incorporates provincial limitation periods in the absence of operative federal provisions.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Consequently, I am satisfied that the limitation set out in s. 269(1) is available to the Crown in the event the act complained of was "done in pursuance or execution of this Act [National Defence Act] or any regulations or military or departmental duty or authority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Section 269(1) has not been interpreted as being a blanket limitation for any event that may take place on Department of National Defence property. This raises the issue as to whether or not under the particular circumstances, in the case at bar, the Crown is entitled to rely on s. 269(1). It is important when looking at the section to note that it applies to "an action done in pursuance or execution of this Act or any regulations or military or departmental duty or authority ... in the execution of this Act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National Defence Act provides under s. 14 that the Canadian Forces consist of one service called the Canadian Armed Forces. Further, in s. 3 of the same Act, the Department of National Defence is created, and the Minister of National Defence shall preside over that department. The duties of the Minister are set out in s. 4 of the statute, which include construction and maintenance of all defence establishments, and research relating to the defence of Canada. In my opinion, those provisions are of assistance in determining the application of s. 269(1). The question arises as to whether or not the Crown through its employees or servants has performed an action in pursuance or execution of the National Defence Act. There is no doubt that the plaintiff attended on the Department of National Defence premises for a recreational and/or social activity. There is equally no doubt that that activity might not be contemplated by s. 4 of the National Defence Act. However, the act complained of by the plaintiff was directly referable to the construction and maintenance of defence establishments, that is, the construction and maintenance of the property at the Canadian Forces Base Esquimalt. In this respect, the Municipal Works Project Co-ordinator of the Canadian Forces Base, who was employed by the Department of National Defence, deposes that his duties include co-ordinating and supervising labour support services for the construction, maintenance and repair of buildings, roads, grounds, ranges, cemeteries, jetties and other infrastructure, and included in his responsibilities is maintenance of the parking lot in question on the date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In Fenn v. Henderson, </w:t>
      </w:r>
      <w:hyperlink r:id="rId621" w:history="1">
        <w:r>
          <w:rPr>
            <w:rFonts w:ascii="arial" w:eastAsia="arial" w:hAnsi="arial" w:cs="arial"/>
            <w:i/>
            <w:color w:val="0077CC"/>
            <w:sz w:val="20"/>
            <w:u w:val="single"/>
            <w:shd w:val="clear" w:color="auto" w:fill="FFFFFF"/>
            <w:lang w:val="en-US" w:eastAsia="en-US" w:bidi="ar-SA"/>
          </w:rPr>
          <w:t>[1997] B.C.J. No. 2593</w:t>
        </w:r>
      </w:hyperlink>
      <w:r>
        <w:rPr>
          <w:rFonts w:ascii="arial" w:eastAsia="arial" w:hAnsi="arial" w:cs="arial"/>
          <w:color w:val="000000"/>
          <w:sz w:val="20"/>
          <w:lang w:val="en-US" w:eastAsia="en-US" w:bidi="ar-SA"/>
        </w:rPr>
        <w:t>, the plaintiff claimed for damages for injuries sustained by her in a motor vehicle accident. She was attending a function off the premises of the Department of National Defence, but sanctioned by the base commander. The defendant was an officer of a diving club organized under the authority of the Canadian Forces administrative orders, which provided space for meetings and storage of equipment, and the Department of National Defence purchased a boat and trailer for the club, both of which were registered in the club name. In an outing at a location not on Department of National Defence property, a Department of National Defence vehicle was used to tow the trailer and boat and an accident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Concluding that s. 269(1) did not apply under the circumstances in question, the court stated at paragraph 18: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From the preceding it is apparent that the provisions of s. 269 are intended to apply where loss or damage is claimed to have been suffered as a result of an action taken or of the failure to take action in accordance with the requirements of the Act and related military responsibilities. In this case, the voluntary participation in recreational activities through a recreational club sanctioned by the base commander is not within the context contemplated by s. 269. The mere fact that the military may authorize an activity on the basis that it is good for troop morale or promotes fitness is not sufficient to invoke to [sic] the provisions of this section where involvement in the activity is purely voluntary, such as involvement in social or recreational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It is to be emphasized that the act complained of in Fenn v. Henderson, supra, was an act that did not occur as a result of any failure to maintain Department of National Defence property such as in the case at bar. Although in the case at bar the plaintiff was attending the Canadian Forces Base Esquimalt for a social or recreational activity, in my opinion, the cause of action is dependent upon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those individuals who were charged with the responsibility of maintaining and repairing the parking lot and areas adjacent to it, which were on Department of National Defence property. The circumstances in case at bar are substantially different than those in Fenn v. Henderson.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Consequently, I am satisfied that as the act complained of relates to the duties or actions done in pursuance of the Act, including the construction and maintenance of all defence establishments, that the limitation period in s. 269(1) applies. As a result, the plaintiff did not commence the action within the time limited and the claim is barred by statute.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plaintiff further submits that the defendant is estopped from relying on the limitation period by failing to bring to the attention of the plaintiff the special limitation in s. 269(1) and failing to advise her to seek counsel within that time limit. A perusal of the correspondence indicates that the plaintiff did write to the appropriate authorities advising of her claim. The first letter was June 2, 1999, followed by another letter of September 2, 1999, followed by a response on behalf of the defendant through the office of the Judge Advocate General on February 10, 2000. I note in the letter of September 2, 1999, the plaintiff requests an early reply.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the letter of February 10, 2000, the author in the office of the Judge Advocate General notes: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This office is the responsible agency for matters such as this but no information had previously been received on this matter. Before a determination in respect to liability can be made, all information surrounding the circumstances of the incident must be assembled and reviewed. In order to accomplish this I invite you to provide the following information and forward it to the above address at your earliest opportunity.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author then requests further information. It is obvious that the author of the letter was requesting detailed information surrounding the accident in order that "a determination in respect to liability can be made". This letter, requesting this information for this purpose, was sent after the six-month limitation period that the defendant now seeks to rely upon. On March 21, 2000, a Claims Analyst for the Pacific Region of the Department of National Defence asked for further details and if there were any objections to the author writing to the witnesses to determine what they may remember of the incident. Finally, on June 14, 2000, the Commander in the office of the Judge Advocate General denies the plaintiff's claim based on the fact that he saw nothing that could conclude that the Department of National Defence was responsible for the accident. This resulted in the plaintiff consulting solicitors, which resulted in a response to solicitors on October 31, 2000 denying liability on the basis of the circumstances surrounding the incident. There is no reference in any of that correspondence to any suggestion that the Department of National Defence in the Judge Advocate General's office was relying on the statutory provisions. It is clear from that correspondence that they were relying on the factual circumstances of the incident in question as the basis for denial of liability and they were asking for further information from the plaintiff in order to assess the liability of the Department after the limitation period in s. 269(1) had expired.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In Saskatchewan River Bungalows Ltd. et al v. Maritime Life Assurance Co. </w:t>
      </w:r>
      <w:hyperlink r:id="rId138" w:history="1">
        <w:r>
          <w:rPr>
            <w:rFonts w:ascii="arial" w:eastAsia="arial" w:hAnsi="arial" w:cs="arial"/>
            <w:i/>
            <w:color w:val="0077CC"/>
            <w:sz w:val="20"/>
            <w:u w:val="single"/>
            <w:shd w:val="clear" w:color="auto" w:fill="FFFFFF"/>
            <w:lang w:val="en-US" w:eastAsia="en-US" w:bidi="ar-SA"/>
          </w:rPr>
          <w:t>(1994), 115 D.L.R. (4th) 478</w:t>
        </w:r>
      </w:hyperlink>
      <w:r>
        <w:rPr>
          <w:rFonts w:ascii="arial" w:eastAsia="arial" w:hAnsi="arial" w:cs="arial"/>
          <w:color w:val="000000"/>
          <w:sz w:val="20"/>
          <w:lang w:val="en-US" w:eastAsia="en-US" w:bidi="ar-SA"/>
        </w:rPr>
        <w:t>, the Supreme Court of Canada dealt with estoppel in the context of insurance policies. In that respect, the court discussed waiver as follows at page 484: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elements of waiver were described in Federal Business Development Bank v. Steinbock Development Corp. </w:t>
      </w:r>
      <w:hyperlink r:id="rId139" w:history="1">
        <w:r>
          <w:rPr>
            <w:rFonts w:ascii="arial" w:eastAsia="arial" w:hAnsi="arial" w:cs="arial"/>
            <w:i/>
            <w:color w:val="0077CC"/>
            <w:sz w:val="20"/>
            <w:u w:val="single"/>
            <w:shd w:val="clear" w:color="auto" w:fill="FFFFFF"/>
            <w:lang w:val="en-US" w:eastAsia="en-US" w:bidi="ar-SA"/>
          </w:rPr>
          <w:t>(1983), 42 A.R. 231</w:t>
        </w:r>
      </w:hyperlink>
      <w:r>
        <w:rPr>
          <w:rFonts w:ascii="arial" w:eastAsia="arial" w:hAnsi="arial" w:cs="arial"/>
          <w:color w:val="000000"/>
          <w:sz w:val="20"/>
          <w:lang w:val="en-US" w:eastAsia="en-US" w:bidi="ar-SA"/>
        </w:rPr>
        <w:t xml:space="preserve"> (C.A.), cited by both parties to the present appeal (Laycraft J.A. for the court, at p. 236):</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essentials of waiver are thus full knowledge of the deficiency which might be relied upon and the unequivocal intention to relinquish the right to rely on it. That intention may be expressed in a formal legal document, it may be expressed in some informal fashion or it may be inferred from conduct. In whatever fashion the intention to relinquish the right is communicated, however, the conscious intention to do so is what must be ascertained.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Waiver will be found only where the evidence demonstrates that the party waiving had (1) full knowledge of rights; and (2) an unequivocal and conscious intention to abandon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With reference to full knowledge of rights, there can be no doubt that the Department of National Defence was fully cognizant of its rights under its own statute, particularly, insofar as it relates to the office of the Judge Advocate General seeking information after the limitation period had expired. In my opinion, the language used by the office of the Judge Advocate General seeking information in order to determine liability after the expiration of the limitation period amounts to an unequivocal and conscious intention to abandon the statutory limitation. As the court stated in Federal Business Development Bank v. Steinbock Development Corp., supra, the intention may be expressed in a formal legal document, in some informal fashion, or may be inferred from conduct. In my opinion, the only logical conclusion, based on the content of the letter of February 10, 2000, is that the office of the Judge Advocate General, the legal office on behalf of the Department of National Defence, was continuing an investigation to determine the circumstances surrounding the incident in question in order to determine whether or not there was liability on the part of the defendant. That justifies a conclusion that there was a conscious intention to abandon the section 269(1) limitation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 am satisfied that although s. 269(1) applies and that the defendant would normally be entitled to the limitation period expressed therein, under all the circumstances, the conduct of the defendant amounts to waiver. Consequently, the defendant's application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MELVIN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63" style="position:absolute;z-index:25188147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22"/>
          <w:headerReference w:type="default" r:id="rId623"/>
          <w:footerReference w:type="even" r:id="rId624"/>
          <w:footerReference w:type="default" r:id="rId625"/>
          <w:headerReference w:type="first" r:id="rId626"/>
          <w:footerReference w:type="first" r:id="rId62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28" w:history="1">
        <w:r>
          <w:rPr>
            <w:rFonts w:ascii="arial" w:eastAsia="arial" w:hAnsi="arial" w:cs="arial"/>
            <w:b/>
            <w:bCs/>
            <w:i/>
            <w:color w:val="0077CC"/>
            <w:kern w:val="32"/>
            <w:sz w:val="28"/>
            <w:szCs w:val="32"/>
            <w:u w:val="single"/>
            <w:shd w:val="clear" w:color="auto" w:fill="FFFFFF"/>
            <w:lang w:val="en-US" w:eastAsia="en-US" w:bidi="ar-SA"/>
          </w:rPr>
          <w:t>Suzuki v. Munroe, [2009] B.C.J. No. 2019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F.E. Verhoeven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21-25,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14,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S107052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[2009] B.C.J. No. 2019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BCSC 1403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87 R.P.R. (4th) 68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48 C.E.L.R. (3d) 48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CarswellBC 2706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181 A.C.W.S. (3d) 828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May Yuen Mui Ngan Suzuki and Kazuo Suzuki, Plaintiffs, and Janice Munroe and Richard Munroe,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(121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64" style="position:absolute;z-index:2516879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93" w:name="Keywords_28"/>
      <w:bookmarkEnd w:id="193"/>
      <w:r>
        <w:rPr>
          <w:rFonts w:ascii="arial" w:eastAsia="arial" w:hAnsi="arial" w:cs="arial"/>
          <w:b/>
          <w:color w:val="000000"/>
          <w:sz w:val="20"/>
          <w:lang w:val="en-US" w:eastAsia="en-US" w:bidi="ar-SA"/>
        </w:rPr>
        <w:t>Tort law — Nuisance — Private nuisance — Liability — Particular nuisance — Noise — Claim by plaintiffs alleging private nuisance and invasion of privacy allowed, and plaintiffs awarded $6,000 in total damages — Injunctions issued prohibiting the monitoring of their property by surveillance camera and restricting the noise levels emitting from the defendant neighbours' air conditioner — The noise from the air conditioner positioned a few feet from the plaintiffs' bedroom window exceeded generally acceptable maximum noise levels in quiet residential neighbourhoods in B.C. — A surveillance camera continuously observing a neighbouring property, or any part thereof, in these circumstances, was an intolerable interference with the use and enjoyment of the neighbouring property.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Invasion of privacy — Surveillance — Claim by plaintiffs alleging private nuisance and invasion of privacy allowed, and plaintiffs awarded $6,000 in total damages — Injunctions issued prohibiting the monitoring of their property by surveillance camera and restricting the noise levels emitting from the defendant neighbours' air conditioner — The noise from the air conditioner positioned a few feet from the plaintiffs' bedroom window exceeded generally acceptable maximum noise levels in quiet residential neighbourhoods in B.C. — A surveillance camera continuously observing a neighbouring property, or any part thereof, in these circumstances, was an intolerable interference with the use and enjoyment of the neighbouring property.</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94" w:name="Case Summary_26"/>
            <w:bookmarkEnd w:id="19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Claim by plaintiffs for damages in private nuisance. The claimed that the defendants, their next-door neighbours, had installed a central air conditioning unit a few feet from their home that had created a nuisance as a result of noise. They also claimed the installation of a surveillance camera overlooking the front yard, driveway and entrance interfered with their privacy.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95" w:name="Holdings of Court_22"/>
            <w:bookmarkEnd w:id="195"/>
            <w:r>
              <w:rPr>
                <w:rFonts w:ascii="arial" w:eastAsia="arial" w:hAnsi="arial" w:cs="arial"/>
                <w:color w:val="000000"/>
                <w:sz w:val="20"/>
                <w:lang w:val="en-US" w:eastAsia="en-US" w:bidi="ar-SA"/>
              </w:rPr>
              <w:t>HELD: Claim allowed; plaintiffs awarded $6,000 in total damages and injunctions issued prohibiting the monitoring of their property by surveillance camera, and restricting the noise levels from the air conditioner.</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Although the applicable bylaw's provisions concerning noise pollution were to vague to provide guidance, the bylaws of Vancouver, Burnaby, Richmond, etc., all provided that daytime noise was not to exceed 55 dB(A) and night time noise was not to exceed 45 dB(A). These provided some objective evidence of what was generally acceptable noise in quiet residential neighbourhoods in B.C. The noise from the defendant's air conditioner exceeded these commonly accepted night-time maximum noise level standards, and the specific circumstances rendered noise made by either party in the narrow area between the two homes especially bothersome. The defendants' enhanced comfort ought not to come at the expense of significantly-reduced comfort for their neighbours. Most people would consider a unit operating in excess of 50 decibels only a few feet from one's bedroom window as being a serious and substantial interference with one's enjoyment of property. The noise caused by the air conditioner was unreasonable by objective standards. It had caused and was likely to continue to cause a nuisance for the plaintiffs. As for the camera, a surveillance camera continuously observing the entrance areas to a neighbouring property, or any part thereof, in these circumstances, was an intolerable interference with the use and enjoyment of the neighbouring property. No useful purpose was served by having it directed at any part of the plaintiffs' property. It was installed in order to provoke and annoy the plaintiffs. Both the operation of the air conditioner and the installation/operation of the camera constituted the tort of nuisance. The plaintiffs were awarded $6,000 as damages for nuisance. An injunction issued prohibiting the defendants from monitoring any part of the plaintiffs' property. Another injunction issued prohibiting the operation of the air conditioner so that it caused sound beyond 55 dB(A) from 7:00 a.m. to 10:00 p.m. and then 45 dB(A) during the remaining hours of the day.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96" w:name="Legislation Cited_20"/>
      <w:bookmarkEnd w:id="19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65" style="position:absolute;z-index:2517391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37B</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97" w:name="Counsel_28"/>
      <w:bookmarkEnd w:id="197"/>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66" style="position:absolute;z-index:2517903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R.K. Oliver.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T. Yu.</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98" w:name="Judgment_28"/>
      <w:bookmarkEnd w:id="198"/>
      <w:r>
        <w:pict>
          <v:line id="_x0000_s1167" style="position:absolute;z-index:251841536"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A correction was released by the Court November 5, 2009; the changes have been made to the text and the correction is appended to this document.]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121"/>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99" w:name="F.E. VERHOEVEN J."/>
            <w:bookmarkEnd w:id="199"/>
            <w:r>
              <w:rPr>
                <w:rFonts w:ascii="arial" w:eastAsia="arial" w:hAnsi="arial" w:cs="arial"/>
                <w:b/>
                <w:color w:val="000000"/>
                <w:sz w:val="30"/>
                <w:lang w:val="en-US" w:eastAsia="en-US" w:bidi="ar-SA"/>
              </w:rPr>
              <w:t>F.E. VERHOEVEN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Mr. and Mrs. Suzuki claim that their neighbours Mr. and Mrs. Munroe have committed the tort of private nuisance. They say that the installation of a central air conditioning unit outside the Munroes' home and just a few feet away from the home of the Suzukis has created a nuisance as a result of noise. They also allege that the installation of a surveillance camera which overlooks the front yard, driveway and entrance to the Suzukis' home is a private nuisance in that it interferes with their privacy. They seek damages and an injunction.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Munroes deny that any nuisance was ever caused by them. They say the Suzukis are unduly sensitive. They say that the air conditioning unit was reasonably quiet when first installed, and has been made quieter through various modifications that they have voluntarily undertaken. They argue that central air conditioning appliances like the one they installed are common in the neighbourhood, and that their appliance complies with the relevant local bylaws. They say that the surveillance camera was installed in order to monitor the side area of their own home, and any view of the Suzukis' property taken in by the camera is minor and incidental, and does not cause any significant intrusion to the privacy of the Suzukis, and is not a nuisance in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II FACTUAL OVERVIEW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Suzukis and the Munroes reside as next door neighbours on Madrona Place, in the City of Coquitlam. The neighbourhood consists of single family homes built on medium sized lots in a residential suburban setting. The precise lot measurements were not given in evidence but Mrs. Munroe estimated the length of her property at about 155 or 160 feet. From the various plans and aerial photographs produced, the width of the property is about 55 feet. The Suzukis' property is a similar size. Both homes are moderately large, with several bedrooms on the upper floor, the main living space on the main floor, and a basement. Both have enclosed garages and driveways facing the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Madrona Place is a cul de sac. There are minor arterial streets in the immediate vicinity but there are no major arterial thoroughfares or highways. There is no industry or commercial activity in the immediate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Suzuki and Munroe houses are situated quite close together. The distance between them is about 13 feet.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Mrs. Suzuki is a retired postal worker. She retired in early 2005. Mr. Suzuki is a chemical engineer, who retired in October 2006. They purchased the property on Madrona Place in 1991 and had the house built in 1992.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Munroes moved into the property next door in or about 2000. Mrs. Munroe is a pharmacist. Mr. Munroe is a former police officer who took early retirement in 2004. He is a professional geologist who works as a consultant and business executive.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Munroes found their home to be uncomfortable in warm weather. It has poor ventilation. They decided to purchase and install a central air conditioning unit. They hired a reputable contractor. The contractor installed the unit in the optimal location which was the side of the house nearest the furnace. The Munroes say that the installer assured them that the air conditioning unit and its installation would comply with all applicable laws. The installer did not testify.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Suzuki master bedroom is located on the southeast corner of their home. One of the master bedroom windows faces Madrona Place, and there are two master bedroom windows on the easterly side of the house, facing the house owned by the Munroes. The head of the bed in the Suzukis' master bedroom is against the east exterior wall. There is a window on each side of the bed. Both of those windows open to the space between the two houses.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air conditioning unit was installed on Sunday, June 25, 2006. It was installed on the ground just outside the west side of the Munroe home, in the space between the two houses. The result is that the air conditioning unit is about 18 feet from the side bedroom windows of the Suzuki master bedroom which is on the upper floor. The distance to the Suzukis' dining room, located on their first floor beneath the master bedroom, is less.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Suzukis have no central air conditioning and therefore rely on open windows for cooling and ventilation.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and Mrs. Suzuki were out during the day on Sunday, June 25, 2006, the day of the air conditioning unit's installation. Upon returning they noticed the noise from the new air conditioning unit. Mrs. Suzuki was kept awake all night. Mr. Suzuki took refuge in a corner of the basement.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perceptions of the parties vary dramatically as to the noise level of the unit upon installation. Mrs. Suzuki testified that upon installation the air conditioner sounded "like a lawnmower" when operated. By contrast, Mr. Munroe said that he was shocked that Mrs. Suzuki found the air conditioner to be too loud. He thought that upon installation in 2006, even before modifications to make it quieter, it was already quiet, and was no louder than his refrigerator.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On Monday, June 26, 2006, the day after installation, Mrs. Suzuki complained to the City of Coquitlam concerning the noise. Mrs. Suzuki also went to the Munroes' residence on June 26 and spoke with one of the Munroes' sons about the noise. According to her, the Munroes' son came with her back to the Suzukis' residence and listened to the noise. She says the son agreed that they would not operate the air conditioner after 9:00 p.m. After some days of compliance with this, however, on June 29 the air conditioner was operated until nearly midnight. Its operation started up again at 5:30 or 6:00 a.m. the next morning.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Munroes deny that their son was ever involved in discussions with the Suzukis concerning the air conditioner. The point is not material in view of the facts upon which there is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On July 2, 2006, Mrs. Suzuki approached Mr. and Mrs. Munroe, who were outside their home. She said that their master bedroom was on the side of the house next to the air conditioner and that the noise of the air conditioner was preventing the Suzukis from sleeping. The Munroes were not unsympathetic. They agreed to turn the air conditioner off at 9:00 p.m. and not to operate it prior to 7:00 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the conversation, Mrs. Suzuki says she suggested that the Munroes relocate the air conditioner to their back yard. She says that she told them that if they did so, they would be free to operate it 24 hours a day. Mrs. Suzuki said that Mrs. Munroe said that she would check with the contractor about the possibility of relocating the unit.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Mrs. Munroe's version of this discussion is not substantially different. She agrees that she and her husband agreed not to operate the unit between the hours of 9:00 p.m. and 7:00 a.m. "as long as our house does not get too hot".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However, beginning July 20, 2006, the air conditioner was operated more or less continuously for a period of about a week, during a period of very warm weather. Mrs. Suzuki could not sleep in her own bedroom and went to sleep in another room on the opposite side of the house. Mr. Suzuki continued to sleep in the basement.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Pursuant to Mrs. Suzuki's complaint to the City of Coquitlam, a bylaw inspector attended and inspected the air conditioner on June 26, 2006, the date of the complaint. In the inspector's view, there was no infraction of the Coquitlam noise bylaw. She so advised Mrs. Suzuki by telephone later that day. Mrs. Suzuki was unaware that the inspector had in fact attended the premises before advising Mrs. Suzuki that there was no infraction of the bylaw. The Munroes place considerable reliance on the determination of the inspector.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On July 8, 2006, Mr. Suzuki went to speak with Mr. and Mrs. Munroe. The conversation went badly. Mr. Suzuki complained about the noise of the air conditioner. He spoke to Mr. Munroe, while Mrs. Munroe was present. He asked that they move the air conditioning unit to a location on their property that did not bother the Suzukis, and to apply acoustic insulation to minimize the noise. Unfortunately, he also made reference to an unrelated matter. He referred to the existence of some landscape ties located on the rear of the Suzuki property, which served as a retaining wall for some soil and, according to Mr. Munroe, a utility storm sewer drainage line running along the back of the Munroe property. Mr. Munroe considered this a grave threat to the safety of his family. He decided never to speak to him again. Mrs. Munroe felt the same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Suzukis engaged legal counsel who wrote to the Munroes on July 20, 2006. The letter from counsel noted the voluntary agreement of the Munroes to limit the operation of the air conditioner so that it did not operate between 9:00 p.m. and 7:00 a.m. Nonetheless, through their solicitors, the Suzukis took the position that the air conditioning unit remained a nuisance and they demanded that it be moved. The Munroes also retained legal counsel who took the position that the request of the Suzukis was unreasonable. The perceived threat to remove the landscape ties was noted. This threat was never repeated. I doubt if it was serious when it was made. It was never acted upon.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Suzukis repeatedly requested that the air conditioning unit be moved to another location on the Munroe property, or that the Munroes take steps to reduce its noise level to no more than 45 decibels. The Suzukis pointed to a City of Toronto bylaw setting out that standard for central air conditioning units. There are no local government bylaws in this region specifically dealing with air conditioning noise.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While the Munroes did not agree to the applicability of the Toronto bylaw standard and maintained that the unit could not be moved, they made significant efforts to attenuate the noise. They installed a timer so that the unit would not operate outside of the agreed upon hours. They spoke with the installer of the unit, who installed a noise attenuating blanket on the inside of the unit at a cost of about $500. They say that the installer advised that moving the unit to another location on their property was not feasible. This advice was not proven in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Prior to the summer of 2007, Mr. Munroe constructed a wooden enclosure around the air conditioner, and lined it with sound-insulating materials. The enclosure was constructed in the spring of 2007, prior to the first day of operation of the unit for 2007, which was May 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Munroe has continued to, as he put it, "tinker" with the enclosure, in order to attempt to improve its sound-attenuating capabilities.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He has modified it several times by, for example, altering or increasing the sound insulating materials inside the enclosure. He chose not to use concrete block because Mrs. Munroe thought it would be ugly, and he was of the view that construction of a permanent structure would be contrary to relevant bylaws. There is no evidence from the City of Coquitlam to this effect. He has been mindful of the need to retain proper ventilation for the unit. He has had no professional assistance or advice concerning the design of the enclosure. He has relied upon his own experience and skills as a professional geoscientist.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Mrs. Suzuki has kept detailed and meticulous records relating to the operation of the air conditioning unit, including the hours of operation of the unit for each day since it was installed on June 25, 2006. She says that during 2006, the unit was operated for a total of 68 days, and on 17 occasions was used after 9:00 p.m. or before 7:00 a.m. On 10 occasions, it was operated for 24 hours. During 2007, the unit was operated for 73 days in total, and on 54 occasions, was operated after 9:00 p.m. or before 7:00 a.m. There was one day during 2007 when it was operated 24 hours. These facts were not challenged by the Munroes.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Suzukis obtained an interlocutory injunction on September 10, 2007. The order required that the air conditioning unit not be operated between 9:00 p.m. and 7:00 a.m. daily.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As noted, on May 30, 2007, the unit was operated for the first time during that calendar year. Contrary to the then informal agreement made between the parties, the unit was operated well after 9:00 p.m. The Suzukis' son, a medical doctor who ordinarily resides in Australia, was visiting his parents and staying with them in their home. At the request of Mrs. Suzuki he attended at the home of the Munroes to complain about the air conditioner. An hour or so later Mrs. Suzuki attended at the front door of the Munroes' home herself. She says Mr. Munroe yelled at her and refused to turn off the air conditioner. Nonetheless the air conditioner was turned off sometime later that evening.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During 2006, the Munroes installed a surveillance camera on the outside of their home. The camera is mounted on the side of their home between the two houses, and faces the Suzuki residence. It is directed at a forward angle, towards the air conditioning unit on the side of the residence. It has a very wide angle lens. The view from the camera takes in a portion of the Suzuki entrance, front yard and driveway. The Suzukis complained of this and have amended their Statement of Claim to add a claim of nuisance in relation to the surveillance camera.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III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issues to be decided are as follows:</w:t>
      </w:r>
      <w:r>
        <w:rPr>
          <w:rFonts w:ascii="arial" w:eastAsia="arial" w:hAnsi="arial" w:cs="arial"/>
          <w:sz w:val="20"/>
          <w:lang w:val="en-US" w:eastAsia="en-US" w:bidi="ar-SA"/>
        </w:rPr>
        <w:cr/>
      </w:r>
    </w:p>
    <w:p>
      <w:pPr>
        <w:numPr>
          <w:numId w:val="10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Munroes have committed the tort of private nuisance through use and operation of the air conditioner, either in the past, or currently;</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operation of the surveillance camera constitutes a private nuisance;</w:t>
      </w:r>
    </w:p>
    <w:p>
      <w:pPr>
        <w:numPr>
          <w:numId w:val="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tort of private nuisance is established, what is the appropriate remedy, and in particular:</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amount, if any, of monetary damages; and/or</w:t>
      </w:r>
    </w:p>
    <w:p>
      <w:pPr>
        <w:numPr>
          <w:numId w:val="5"/>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an injunction should be granted, and if so, the terms thereof.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IV ANALYSIS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u w:val="single"/>
          <w:lang w:val="en-US" w:eastAsia="en-US" w:bidi="ar-SA"/>
        </w:rPr>
        <w:t>a)</w:t>
      </w:r>
      <w:r>
        <w:rPr>
          <w:rFonts w:ascii="arial" w:eastAsia="arial" w:hAnsi="arial" w:cs="arial"/>
          <w:b/>
          <w:color w:val="000000"/>
          <w:sz w:val="20"/>
          <w:u w:val="single"/>
          <w:lang w:val="en-US" w:eastAsia="en-US" w:bidi="ar-SA"/>
        </w:rPr>
        <w:t>Whether the Munroes have committed the tort of private nuisance through use and operation of the air conditioner, either in the past, or currently</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i)</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A leading authority in British Columbia on the law of nuisance is </w:t>
      </w:r>
      <w:r>
        <w:rPr>
          <w:rFonts w:ascii="arial" w:eastAsia="arial" w:hAnsi="arial" w:cs="arial"/>
          <w:i/>
          <w:color w:val="000000"/>
          <w:sz w:val="20"/>
          <w:lang w:val="en-US" w:eastAsia="en-US" w:bidi="ar-SA"/>
        </w:rPr>
        <w:t>Royal Anne Hotel Co. Ltd. v. Village of Ashcroft</w:t>
      </w:r>
      <w:r>
        <w:rPr>
          <w:rFonts w:ascii="arial" w:eastAsia="arial" w:hAnsi="arial" w:cs="arial"/>
          <w:color w:val="000000"/>
          <w:sz w:val="20"/>
          <w:lang w:val="en-US" w:eastAsia="en-US" w:bidi="ar-SA"/>
        </w:rPr>
        <w:t xml:space="preserve"> </w:t>
      </w:r>
      <w:hyperlink r:id="rId26" w:history="1">
        <w:r>
          <w:rPr>
            <w:rFonts w:ascii="arial" w:eastAsia="arial" w:hAnsi="arial" w:cs="arial"/>
            <w:i/>
            <w:color w:val="0077CC"/>
            <w:sz w:val="20"/>
            <w:u w:val="single"/>
            <w:shd w:val="clear" w:color="auto" w:fill="FFFFFF"/>
            <w:lang w:val="en-US" w:eastAsia="en-US" w:bidi="ar-SA"/>
          </w:rPr>
          <w:t>(1979), 95 D.L.R. (3d) 756</w:t>
        </w:r>
      </w:hyperlink>
      <w:r>
        <w:rPr>
          <w:rFonts w:ascii="arial" w:eastAsia="arial" w:hAnsi="arial" w:cs="arial"/>
          <w:color w:val="000000"/>
          <w:sz w:val="20"/>
          <w:lang w:val="en-US" w:eastAsia="en-US" w:bidi="ar-SA"/>
        </w:rPr>
        <w:t xml:space="preserve">. The judgment of the Court was delivered by McIntyre J.A. He noted at 759 that "The essence of the tort of nuisance is interference with the enjoyment of land. (Street, </w:t>
      </w:r>
      <w:r>
        <w:rPr>
          <w:rFonts w:ascii="arial" w:eastAsia="arial" w:hAnsi="arial" w:cs="arial"/>
          <w:i/>
          <w:color w:val="000000"/>
          <w:sz w:val="20"/>
          <w:lang w:val="en-US" w:eastAsia="en-US" w:bidi="ar-SA"/>
        </w:rPr>
        <w:t>Law of Torts</w:t>
      </w:r>
      <w:r>
        <w:rPr>
          <w:rFonts w:ascii="arial" w:eastAsia="arial" w:hAnsi="arial" w:cs="arial"/>
          <w:color w:val="000000"/>
          <w:sz w:val="20"/>
          <w:lang w:val="en-US" w:eastAsia="en-US" w:bidi="ar-SA"/>
        </w:rPr>
        <w:t>, at p. 212.)". He added at 759: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That interference need not be accompanied by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nuisance one is concerned with the invasion of the interest in the land,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one must consider the nature of the conduct complained of. Nuisances result frequently from intentional acts undertaken for lawful purposes. The most carefully designed industrial plant operated with the greatest care may well be or cause a nuisance, if for example effluent, smoke, fumes or noise invade the right of enjoyment of neighbouring land owners to an unreasonable degree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McIntyre J.A. referred to the following proposition from H. Street, </w:t>
      </w:r>
      <w:r>
        <w:rPr>
          <w:rFonts w:ascii="arial" w:eastAsia="arial" w:hAnsi="arial" w:cs="arial"/>
          <w:i/>
          <w:color w:val="000000"/>
          <w:sz w:val="20"/>
          <w:lang w:val="en-US" w:eastAsia="en-US" w:bidi="ar-SA"/>
        </w:rPr>
        <w:t>The Law of Torts</w:t>
      </w:r>
      <w:r>
        <w:rPr>
          <w:rFonts w:ascii="arial" w:eastAsia="arial" w:hAnsi="arial" w:cs="arial"/>
          <w:color w:val="000000"/>
          <w:sz w:val="20"/>
          <w:lang w:val="en-US" w:eastAsia="en-US" w:bidi="ar-SA"/>
        </w:rPr>
        <w:t>, 4th ed. (London: Butterworths, 1968) at 215: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person then, may be said to have committed the tort of private nuisance </w:t>
      </w:r>
      <w:r>
        <w:rPr>
          <w:rFonts w:ascii="arial" w:eastAsia="arial" w:hAnsi="arial" w:cs="arial"/>
          <w:i/>
          <w:color w:val="000000"/>
          <w:sz w:val="20"/>
          <w:lang w:val="en-US" w:eastAsia="en-US" w:bidi="ar-SA"/>
        </w:rPr>
        <w:t>when he is held to be responsible for an act indirectly causing physical injury to land or substantially interfering with the use or enjoyment of land or an interest in land where, in the light of all the surrounding circumstances, this injury or interference is held to be unreasonable.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He added at 760-61: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What is an unreasonable invasion of an interest in land? All circumstances must, of course, be considered in answering this question. What may be reasonable at one time or place may be completely unreasonable at another. It is certainly not every smell, whiff of smoke, sound of machinery or music which will entitle the indignant plaintiff to recover. It is impossible to lay down precise and detailed standards but the invasion must be substantial and serious and of such a nature that it is clear according to the accepted concepts of the day that it should be an actionable wrong. It has been said, see McLaren, "Nuisance in Canada",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that Canadian Judges have adopted the words of Knight Bruce, V.-C., in </w:t>
      </w:r>
      <w:r>
        <w:rPr>
          <w:rFonts w:ascii="arial" w:eastAsia="arial" w:hAnsi="arial" w:cs="arial"/>
          <w:i/>
          <w:color w:val="000000"/>
          <w:sz w:val="20"/>
          <w:lang w:val="en-US" w:eastAsia="en-US" w:bidi="ar-SA"/>
        </w:rPr>
        <w:t>Walter v. Selfe</w:t>
      </w:r>
      <w:r>
        <w:rPr>
          <w:rFonts w:ascii="arial" w:eastAsia="arial" w:hAnsi="arial" w:cs="arial"/>
          <w:color w:val="000000"/>
          <w:sz w:val="20"/>
          <w:lang w:val="en-US" w:eastAsia="en-US" w:bidi="ar-SA"/>
        </w:rPr>
        <w:t xml:space="preserve"> (1851), 4 De G. &amp; Sm. 315, [at p. 322], 64 E.R. 849, to the effect that actionability will result from an interference with "the ordinary comfort physically of human existence, not merely according to elegant or dainty modes and habits of living, but according to plain and sober and simple notions". These words were approved by Middleton, J., in the Ontario High Court in </w:t>
      </w:r>
      <w:r>
        <w:rPr>
          <w:rFonts w:ascii="arial" w:eastAsia="arial" w:hAnsi="arial" w:cs="arial"/>
          <w:i/>
          <w:color w:val="000000"/>
          <w:sz w:val="20"/>
          <w:lang w:val="en-US" w:eastAsia="en-US" w:bidi="ar-SA"/>
        </w:rPr>
        <w:t>Appleby v. Erie Tobacco Co.</w:t>
      </w:r>
      <w:r>
        <w:rPr>
          <w:rFonts w:ascii="arial" w:eastAsia="arial" w:hAnsi="arial" w:cs="arial"/>
          <w:color w:val="000000"/>
          <w:sz w:val="20"/>
          <w:lang w:val="en-US" w:eastAsia="en-US" w:bidi="ar-SA"/>
        </w:rPr>
        <w:t xml:space="preserve"> </w:t>
      </w:r>
      <w:hyperlink r:id="rId629" w:history="1">
        <w:r>
          <w:rPr>
            <w:rFonts w:ascii="arial" w:eastAsia="arial" w:hAnsi="arial" w:cs="arial"/>
            <w:i/>
            <w:color w:val="0077CC"/>
            <w:sz w:val="20"/>
            <w:u w:val="single"/>
            <w:shd w:val="clear" w:color="auto" w:fill="FFFFFF"/>
            <w:lang w:val="en-US" w:eastAsia="en-US" w:bidi="ar-SA"/>
          </w:rPr>
          <w:t>(1910), 22 O.L.R. 533</w:t>
        </w:r>
      </w:hyperlink>
      <w:r>
        <w:rPr>
          <w:rFonts w:ascii="arial" w:eastAsia="arial" w:hAnsi="arial" w:cs="arial"/>
          <w:color w:val="000000"/>
          <w:sz w:val="20"/>
          <w:lang w:val="en-US" w:eastAsia="en-US" w:bidi="ar-SA"/>
        </w:rPr>
        <w:t xml:space="preserve"> at pp. 535-6. In reaching a conclusion, the Court must consider the nature of the act complained of and the nature of the injury suffered. Consideration must also be given to the character of the neighbourhood where the nuisance is alleged, the frequency of the occurrence of the nuisance, its duration, and many other factors which could be of significance in special circumstances. While an owner of land in a quiet residential district may well expect to be protected from the operation of a boiler factory on his neighbour's land, he may not be entitled to expect to prevent the boilermaker from pursuing his lawful calling when he seeks to put his residence in an industrial area next to the factory. The conflicting interests must be weighed and considered against all the circumstances. The social utility of the conduct complained of must be weighed against the significance of the injury caused and the value of the interest sought to be protected.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The principles were also reviewed by the Supreme Court of Canada in </w:t>
      </w:r>
      <w:r>
        <w:rPr>
          <w:rFonts w:ascii="arial" w:eastAsia="arial" w:hAnsi="arial" w:cs="arial"/>
          <w:i/>
          <w:color w:val="000000"/>
          <w:sz w:val="20"/>
          <w:lang w:val="en-US" w:eastAsia="en-US" w:bidi="ar-SA"/>
        </w:rPr>
        <w:t>Tock v. St. John's Metropolitan Area Board</w:t>
      </w:r>
      <w:r>
        <w:rPr>
          <w:rFonts w:ascii="arial" w:eastAsia="arial" w:hAnsi="arial" w:cs="arial"/>
          <w:color w:val="000000"/>
          <w:sz w:val="20"/>
          <w:lang w:val="en-US" w:eastAsia="en-US" w:bidi="ar-SA"/>
        </w:rPr>
        <w:t xml:space="preserve">, </w:t>
      </w:r>
      <w:hyperlink r:id="rId630" w:history="1">
        <w:r>
          <w:rPr>
            <w:rFonts w:ascii="arial" w:eastAsia="arial" w:hAnsi="arial" w:cs="arial"/>
            <w:i/>
            <w:color w:val="0077CC"/>
            <w:sz w:val="20"/>
            <w:u w:val="single"/>
            <w:shd w:val="clear" w:color="auto" w:fill="FFFFFF"/>
            <w:lang w:val="en-US" w:eastAsia="en-US" w:bidi="ar-SA"/>
          </w:rPr>
          <w:t>[1989] 2 S.C.R. 1181</w:t>
        </w:r>
      </w:hyperlink>
      <w:r>
        <w:rPr>
          <w:rFonts w:ascii="arial" w:eastAsia="arial" w:hAnsi="arial" w:cs="arial"/>
          <w:color w:val="000000"/>
          <w:sz w:val="20"/>
          <w:lang w:val="en-US" w:eastAsia="en-US" w:bidi="ar-SA"/>
        </w:rPr>
        <w:t xml:space="preserve">, at 1190 through 1192, and more recently in </w:t>
      </w:r>
      <w:r>
        <w:rPr>
          <w:rFonts w:ascii="arial" w:eastAsia="arial" w:hAnsi="arial" w:cs="arial"/>
          <w:i/>
          <w:color w:val="000000"/>
          <w:sz w:val="20"/>
          <w:lang w:val="en-US" w:eastAsia="en-US" w:bidi="ar-SA"/>
        </w:rPr>
        <w:t>St. Lawrence Cement Inc. v. Barrette</w:t>
      </w:r>
      <w:r>
        <w:rPr>
          <w:rFonts w:ascii="arial" w:eastAsia="arial" w:hAnsi="arial" w:cs="arial"/>
          <w:color w:val="000000"/>
          <w:sz w:val="20"/>
          <w:lang w:val="en-US" w:eastAsia="en-US" w:bidi="ar-SA"/>
        </w:rPr>
        <w:t xml:space="preserve">, </w:t>
      </w:r>
      <w:hyperlink r:id="rId631" w:history="1">
        <w:r>
          <w:rPr>
            <w:rFonts w:ascii="arial" w:eastAsia="arial" w:hAnsi="arial" w:cs="arial"/>
            <w:i/>
            <w:color w:val="0077CC"/>
            <w:sz w:val="20"/>
            <w:u w:val="single"/>
            <w:shd w:val="clear" w:color="auto" w:fill="FFFFFF"/>
            <w:lang w:val="en-US" w:eastAsia="en-US" w:bidi="ar-SA"/>
          </w:rPr>
          <w:t>2008 SCC 64</w:t>
        </w:r>
      </w:hyperlink>
      <w:r>
        <w:rPr>
          <w:rFonts w:ascii="arial" w:eastAsia="arial" w:hAnsi="arial" w:cs="arial"/>
          <w:color w:val="000000"/>
          <w:sz w:val="20"/>
          <w:lang w:val="en-US" w:eastAsia="en-US" w:bidi="ar-SA"/>
        </w:rPr>
        <w:t>, at para. 77. There, the Court stated as follows (references omitted):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common law, nuisance is a field of liability that focuses on the harm suffered rather than on prohibited conduct. Nuisance is defined as unreasonable interference with the use of land. Whether the interference results from intentional, negligent or non-faulty conduct is of no consequence provided that the harm can be characterized as a nuisance. The interference must be intolerable to an ordinary person. This is assessed by considering factors such as the nature, severity and duration of the interference, the character of the neighbourhood, the sensitivity of the plaintiff's use and the utility of the activity. The interference must be substantial, which means that compensation will not be awarded for trivial annoyances.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As can clearly be seen from the authorities, a nuisance may be created even where the activity complained of is otherwise lawful.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In particular, compliance with local municipal bylaws does not mean that the activity complained of cannot be a nuisance: </w:t>
      </w:r>
      <w:r>
        <w:rPr>
          <w:rFonts w:ascii="arial" w:eastAsia="arial" w:hAnsi="arial" w:cs="arial"/>
          <w:i/>
          <w:color w:val="000000"/>
          <w:sz w:val="20"/>
          <w:lang w:val="en-US" w:eastAsia="en-US" w:bidi="ar-SA"/>
        </w:rPr>
        <w:t>Kenny v. Schuster Real Estate Co.</w:t>
      </w:r>
      <w:r>
        <w:rPr>
          <w:rFonts w:ascii="arial" w:eastAsia="arial" w:hAnsi="arial" w:cs="arial"/>
          <w:color w:val="000000"/>
          <w:sz w:val="20"/>
          <w:lang w:val="en-US" w:eastAsia="en-US" w:bidi="ar-SA"/>
        </w:rPr>
        <w:t xml:space="preserve"> </w:t>
      </w:r>
      <w:hyperlink r:id="rId632" w:history="1">
        <w:r>
          <w:rPr>
            <w:rFonts w:ascii="arial" w:eastAsia="arial" w:hAnsi="arial" w:cs="arial"/>
            <w:i/>
            <w:color w:val="0077CC"/>
            <w:sz w:val="20"/>
            <w:u w:val="single"/>
            <w:shd w:val="clear" w:color="auto" w:fill="FFFFFF"/>
            <w:lang w:val="en-US" w:eastAsia="en-US" w:bidi="ar-SA"/>
          </w:rPr>
          <w:t>(1992), 10 B.C.A.C. 126</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invasion complained of must be substantial and serious, and it must be clearly unacceptable according to accepted concepts of the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not required to make out the tort of nuisance. The converse is also true: the existence of due care will afford no defence if the other ingredients of the tort are present.</w:t>
      </w:r>
      <w:r>
        <w:rPr>
          <w:rFonts w:ascii="arial" w:eastAsia="arial" w:hAnsi="arial" w:cs="arial"/>
          <w:sz w:val="20"/>
          <w:lang w:val="en-US" w:eastAsia="en-US" w:bidi="ar-SA"/>
        </w:rPr>
        <w:cr/>
      </w:r>
    </w:p>
    <w:p>
      <w:pPr>
        <w:numPr>
          <w:numId w:val="6"/>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As previously noted, the subjective views of the parties as to the amount of noise created by the air conditioning unit are dramatically at odds. Even after installation of the noise-attenuating blanket and construction by Mr. Munroe of the enclosure, Mrs. Suzuki maintains that it still sounds like a kitchen fan on a high setting. Mr. Suzuki testified that initially the air conditioning unit sounded "like a table saw". He said he was forced to move into a corner of the basement to sleep in order to get away from the noise. He conceded that he has sensitive hearing. With the modifications, the noise is louder than his limit of tolerance and affects his sleep. He continues to sleep in the basement when the air conditioning unit is operating.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Munroes maintain that the noise was minimal at all times and that their efforts to further reduce the noise have been neighbourly gestures carried out in order to accommodate their unduly sensitive neighbours.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Mr. and Mrs. Suzuki both used to enjoy spending a lot of time in the garden. Mr. Suzuki used to spend 50% of his daytime leisure time in the garden. He now spends only as much time as is required in order to maintain the garden.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Suzukis contend that the noise has damaged Mrs. Suzuki's health. In 2007, Mrs. Suzuki was referred by her family physician to a psychiatrist, Dr. Oduwole, who first saw her June 15,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Dr. Oduwole noted that Mrs. Suzuki had no prior psychiatric problems. She had no prior history of emotional problems or difficulties with neighbours. Dr. Oduwole has seen Mrs. Suzuki in follow-up approximately 25 times since first seeing her June 15, 2007 and he continues to treat her currently. He has prescribed anti-depressant medication and sleep medication. Mrs. Suzuki continues to use both medications as needed. During the winter months, when the air conditioner is not operating, she worries about the forthcoming air conditioning season. She describes her condition as being much better in the winter months (October through April) when the air conditioning unit is not operated.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Dr. Oduwole noted that as of December 4, 2008, Mrs. Suzuki was completely preoccupied with the situation. He diagnosed a chronic stress disorder manifested by depression and anxiety, with poor sleep, agitation, tiredness, tremors, irritability, lack of enjoyment of her usual pleasures including her home, a sense of helplessness and hopelessness, anger that her hopefully happy retirement in her home has been made impossible, frustration and decreased energy.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He stated that her condition was due to two factors; the noise pollution and effects on her health from that, and the chronic, intractable personal conflict with the neighbours.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Dr. Oduwole gave a guarded prognosis, because the condition has become chronic.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Mr. Suzuki has not been affected as severely as Mrs. Suzuki.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Mr. Munroe testified that the conflict has become a consuming issue for their family. He points to Mrs. Suzuki's records of the operation of the air conditioner and suggests that Mrs. Suzuki is "stalking" them. The Suzukis complain of being watched by the Munroes' surveillance camera.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Munroes rely on the subjective evidence of several persons concerning the noise level from the air conditioner.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Coquitlam's bylaw inspector, Susan Baldwin, attended the premises on June 26, 2006 in response to the complaint from Mrs. Suzuki. The notes she took on the occasion she attended indicate that the unit sounds "like a refrigeration unit and not a lawnmower". The notes state that "from the street the noise of a fan could be heard". At trial, she testified that she could barely hear the unit even when she was up close, within inches of it. It was on this basis that she advised Mrs. Suzuki that she had no ground of complaint as there was no failure to comply with Coquitlam's noise bylaw.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Ms. Baldwin did not confirm with the Munroes that the unit was in operation on the day that she attended. She did not advise either party of her presence. She had no sound meter, and is not qualified to test for sound scientifically. Her evidence as to the amount of noise made by the unit is inconsistent with the objective evidence concerning the noise level. At the time, the unit was unshielded by any noise attenuating materials and the manufacturer's rating for the unit is 74 decibels. I seriously doubt whether the unit was in fact operating when she attended.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Munroes' neighbour on the side opposite of the Suzukis is Jacqueline Ting. She testified that her home has a central air conditioning unit. Her neighbours have not complained about it. She attended the Munroe residence recently and thought that the unit, fully enclosed, made only a "little humming sound", and sounded like a fan. Another neighbour, David La Ballister, testified to similar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Mrs. Munroe testified that there are several homes with central air conditioners in the neighbourhood. The owners of the home behind the Munroes have a central air conditioner. That air conditioning unit is located at the rear of that neighbour's home. I note that the unit in question is located about 100 feet away from the Munroe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There was no evidence provided concerning the measured sound levels from this or any other air conditioning units in the neighbourhood.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Munroes have maintained that moving the unit is not feasible. They rely on advice from the installer to that effect. As noted, no admissible evidence in this respect was led by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On the evidence, after installing the noise blanket on the inside of the unit, the Munroes did not obtain any professional opinion as to steps that they could take to reduce or eliminate the noise from the air conditioner.</w:t>
      </w:r>
      <w:r>
        <w:rPr>
          <w:rFonts w:ascii="arial" w:eastAsia="arial" w:hAnsi="arial" w:cs="arial"/>
          <w:sz w:val="20"/>
          <w:lang w:val="en-US" w:eastAsia="en-US" w:bidi="ar-SA"/>
        </w:rPr>
        <w:cr/>
      </w:r>
    </w:p>
    <w:p>
      <w:pPr>
        <w:numPr>
          <w:numId w:val="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Objective evidence of sound levels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In August of 2006, the Suzukis hired a professional sound technician to take measurements of the sound levels emanating from the air conditioner and as experienced in the Suzukis' bedroom. He provided the Suzukis with a written report. The technician was not called to give evidence at the trial and therefore the report was excluded from evidence. After having the sound levels professionally determined, Mrs. Suzuki purchased her own hand-held sound measuring device and has taken numerous sound level measurements.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According to her readings, noise from the air conditioner in 2009 inside her bedroom window was in the range of 51 to 53 decibels. She says the noise is much louder when the unit starts and stops, but it is impossible to measure that. She is not qualified to provide technical evidence and I cannot give that part of her evidence much weight.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Munroes retained a professional engineer, Mark Gaudet, to measure the sound levels in 2009. That is after installation of the sound-insulating blanket and construction of the enclosure by Mr. Munroe.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engineer testified that the appropriate measurement scale for noise in this regard is dB(A), which is decibels on the "A" scale. The "A" scale is designed to approximate the sensitivity of the human ear to sound. He observed that three decibels is widely accepted as the minimum needed for a subjective increase or decrease in sound level to be perceived. A ten decibel difference is generally accepted as equating to a perceived halving or doubling of the level of sound. In a free field, that is, absent structures which would reflect, deflect or screen sound, the decibel level is reduced by six decibels each time the distance from a point source is doubled. From this it can be seen, as we know from common experience, that the distance between the source of the noise and the listener is critical.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Mr. Gaudet's consulting firm published a table which states in part as follows:</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 id="_x0000_i1168" type="#_x0000_t75" style="width:432.06pt;height:182.28pt">
            <v:imagedata r:id="rId633" o:title=""/>
          </v:shape>
        </w:pict>
      </w:r>
      <w:r>
        <w:rPr>
          <w:rFonts w:ascii="arial" w:eastAsia="arial" w:hAnsi="arial" w:cs="arial"/>
          <w:sz w:val="20"/>
          <w:lang w:val="en-US" w:eastAsia="en-US" w:bidi="ar-SA"/>
        </w:rPr>
        <w:t xml:space="preserv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Mr. Gaudet measured readings of about 50 dB(A) (decibels) over a 24-hour period on July 15 and 16, 2009. The measurement was taken by a microphone placed on a pole at the Munroes' property line between the two houses. The location of the microphone was about eight feet away from the Suzukis' bedroom window, and five feet away from the Munroes' home. He also measured the ambient noise level at that location. He testified that it averaged 45 dB(A) during the time period of measurement. The ambient noise level diminished to a level of 35 decibels at 2:00 a.m., and was in the range of 40 decibels or lower from midnight to 5:00 a.m. On this basis, therefore, the noise emanating from the air conditioner is about ten decibels or more above the ambient noise level from midnight to 5:00 a.m. During the daytime hours, the difference between the ambient noise level and the noise of the air conditioner is less than 10 decibels.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Mr. Gaudet testified that the narrow space between the Suzuki and Munroe home acts as a sound alley, which reduces the sound attenuation that would otherwise occur, absent the structures.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As noted the air conditioning unit installed by the Munroes is rated by the manufacturer at 74 decibels. It can therefore be seen that the combination of the noise reduction blanket, the sound enclosure constructed by Mr. Munroe, and the distance from the air conditioning unit to the microphone pick-up point utilized by Mr. Gaudet have reduced the amount of noise significantly, to approximately 50 decibels.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Mr. Gaudet took further measurements on September 15, 2009. Fully enclosed, the noise level emanating from the air conditioning unit as measured at the property line was slightly higher at 51.8 decibels. With the enclosure completely removed, the noise level was 56.9 decibels.</w:t>
      </w:r>
      <w:r>
        <w:rPr>
          <w:rFonts w:ascii="arial" w:eastAsia="arial" w:hAnsi="arial" w:cs="arial"/>
          <w:sz w:val="20"/>
          <w:lang w:val="en-US" w:eastAsia="en-US" w:bidi="ar-SA"/>
        </w:rPr>
        <w:cr/>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Noise standards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There was very little evidence adduced as to objective standards for noise. The Suzukis have pointed to the "Guidelines for Community Noise" published by the World Health Organization ("W.H.O.").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A "Fact Sheet" issued by the W.H.O.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Noise can cause hearing impairment, interference with communications, disturb sleep, cause cardiovascular and psycho-physiological effects, reduce performance, and provoke annoyance responses and changes in social behaviour.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Fact Sheet indicates that the W.H.O.'s Guidelines for Community Noise was the outcome of a W.H.O. task force meeting in London, England, in March 1999. The W.H.O. Guidelines contain the following table:</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 id="_x0000_i1169" type="#_x0000_t75" style="width:432.06pt;height:156.77pt">
            <v:imagedata r:id="rId634" o:title=""/>
          </v:shape>
        </w:pict>
      </w:r>
      <w:r>
        <w:rPr>
          <w:rFonts w:ascii="arial" w:eastAsia="arial" w:hAnsi="arial" w:cs="arial"/>
          <w:sz w:val="20"/>
          <w:lang w:val="en-US" w:eastAsia="en-US" w:bidi="ar-SA"/>
        </w:rPr>
        <w:t xml:space="preserv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W.H.O.'s Fact Sheet indicates that the Guidelines it has published offer recommendations to governments for implementation, such as extending and enforcing existing legislation and including community noise measurements in environmental impact assessments.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In Dr. Oduwole's report of July 5, 2007, he referred to the W.H.O. Guidelines. He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According to the WHO Guidelines for good sleep, sound levels should not exceed 30 decibels for continuous back ground noise and 45 decibels for individual noise event. (Birgitta Burglund et al 1995. Stockholm University and Karolinka Institute.)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In Dr. Oduwole's July 13, 2009 report, he stated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Noise pollution is environmental noise that is annoying, distracting and/or physically harmful. The Sources may be human, non human or machines.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effects can be immediate and can be accumulative. The immediate effect is annoyance and other negative affects like anger, helplessness and anxiety.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cumulative effects include problems with relationships.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Problems with concentration and fatigue.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Decreased working capacity.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Physical health problems due to increased autonomic and hormonal activation such as hypertension, increased heart rates, irregular heart beat, sleep problems characterised by problems falling asleep, frequent awakenings, alterations in sleep stages especially a decrease in deep sleep and alteration in sleep depth.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Emotional or mental health problems such as depression, anxiety, emotional stress, nervous complaints. Emotional instability, increased use of psychotropic medication as well as consumption of sleeping pills.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magnitude of these changes is determined by individual characteristics and they can be temporarily [sic] but they may also become more permanent with prolonged and continuous exposure.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effects can also be affected by the severity as well as the duration of exposure.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Those who are most vulnerable are usually the ill, the depressed and the elderly.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This evidence was not challenged.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Another objective standard can be found in some local municipal bylaws.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bylaw of the City of Coquitlam regulating noise dates from 1982. It contains no objective standards. It defines noise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"Noise" includes any loud outcry, clamour, shouting or movement, or any sound that is loud or harsh or undesirable.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bylaw prohibits such noise. The City of Coquitlam bylaw is of no help in assessing whether the noise emanating from the Munroes' air conditioning unit complies with community standards that might be evidenced by the local bylaw. The subjective nature of the Coquitlam bylaw and its vague and general terms helps explain why Coquitlam's inspector concluded that the Munroe air conditioner was not in breach of the bylaws.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Other municipal bylaws contain objective standards. The Suzukis pointed to a bylaw of the City of Toronto. The Toronto bylaw specifically regulates installed air conditioning devices. The bylaw is somewhat technical but contains a standard of 45 decibels in what might be considered suburban environments, and 50 decibels in an urban environment.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A number of bylaws in the metropolitan Vancouver area regulate noise by means of decibel levels. None refer specifically to air conditioners. The specific bylaw terms vary somewhat, but the bylaws of Vancouver, Burnaby, Richmond and Port Moody and several others in the Vancouver area all provide that in quiet residential areas of their respective municipalities, daytime noise is not to exceed 55 dB(A), and night time noise is not to exceed 45 dB(A). Several of the bylaws define daytime hours as between 7:00 a.m. and 10:00 p.m.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 view these bylaws as providing at least some objective evidence of what is generally acceptable noise in this part of the Province of British Columbia, in quiet residential neighbourhoods, notwithstanding the fact that the particular community in which these parties reside, the City of Coquitlam, has not yet chosen to adopt a bylaw containing objective standards. The decibel levels set out in the bylaws are maximums, beyond which a party will be subject to prosecution under the bylaw. The decibel levels stipulated are of general application, and do not seek to provide appropriate guidelines for any specific location or circumstance.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As compared to the standards set out in these bylaws, the noise from the Munroe air conditioner exceeds commonly accepted night time maximum noise level standards. However, the Munroe air conditioner, when fully enclosed, is within commonly utilized maximum daytime standards. Without the enclosure, the Munroe air conditioner slightly exceeds maximum daytime noise standards.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specific circumstances in this case render noise made by either party in the narrow area between the two homes especially bothersome. Therefore, in my view the bylaw standards should be considered absolute maximums as to the level of continuous noise that the Suzukis should be required to tolerate in the circumstances applicable here.</w:t>
      </w:r>
      <w:r>
        <w:rPr>
          <w:rFonts w:ascii="arial" w:eastAsia="arial" w:hAnsi="arial" w:cs="arial"/>
          <w:sz w:val="20"/>
          <w:lang w:val="en-US" w:eastAsia="en-US" w:bidi="ar-SA"/>
        </w:rPr>
        <w:cr/>
      </w:r>
    </w:p>
    <w:p>
      <w:pPr>
        <w:numPr>
          <w:numId w:val="9"/>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 can give little weight to the subjective descriptions of noise levels from any witness and rely instead on professionally-obtained noise level measurements.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 Munroes did not consult with the Suzukis prior to installing the air conditioning unit just a few feet away from the Suzukis' property. This would have been neighbourly and prudent, but they were not obliged to do so. It appears that the Munroes and their installer paid little attention to the effect on the Suzukis' property of the installation of the air conditioner. The site of the air conditioner was chosen based upon what was optimal for the Munroe residence. The sound-insulating blanket was obtained later after a complaint was made. Mr. Munroe began exploring sound enclosures after the issue escalated further. The Munroes have never explored professional engineering solutions for the problem. It may well be that there would be no nuisance created had the unit been located at the rear of the Munroes' property as the Suzukis contend. The evidence does not allow me to make that determination.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Munroes point to the fact that central air conditioners are common in the neighbourhood. They say these are now everyday appliances. This is true. However, whether the noise from an air conditioner will cause a nuisance to one's neighbour is heavily dependent upon many specific factors including the precise site of the air conditioner, the model, the nature of the noise generated, the measures taken to attenuate the noise, and the location of buildings on neighbouring properties, including where bedrooms and bedroom windows are situated.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One of the factors to be considered in deciding whether a nuisance exists is the social utility of the activity complained of. Here, the air conditioning was installed by the Munroes in order to enhance the comfort of their own home. Their enhanced comfort should not come at the expense of significantly reduced comfort for their neighbours. Nor should the Suzukis be required to close up their windows and acquire an air conditioner in what might be considered self-defence.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Mrs. Suzuki testified that she uses a portable air conditioning unit only when the temperature inside the master bedroom exceeds 30 degrees Celsius. She uses it as little as possible. It is a water-evaporative type appliance which she thought was more environmentally friendly.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The law requires that the activity complained of must be objectively unreasonable in order to constitute an actionable nuisance. The Munroes argue that the Suzukis, and especially Mrs. Suzuki, are unduly sensitive.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 Suzukis have maintained, from the beginning, that they would have no objection to the Munroes' air conditioner being operated 24 hours a day, if it were not located between the two houses, right next to the Suzukis' master bedroom.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The Munroes operate an indoor portable air conditioner which exhausts through their bedroom window, in close proximity to the Suzuki bedroom window. Mrs. Suzuki indicates that she has no objection to that air conditioner, which does not bother her. The Suzukis are not bothered by the air conditioning unit in the home behind the Munroes, which is at a similar distance to the Suzuki home as it is to the Munroe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Dr. Oduwole did not state in his evidence, or concede in cross-examination, that Mrs. Suzuki was unusually sensitive concerning noise.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In my view, although Mrs. Suzuki may have become somewhat obsessed with the noise and the operation of the air conditioner, and the conflict with her neighbours, none of this means that the air conditioning noise is not objectively a nuisance. In my view, most people would consider an air conditioning unit operating in excess of 50 decibels only a few feet from one's bedroom window as being a serious and substantial interference with one's enjoyment of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 am satisfied on all of the evidence that the Suzukis are not abnormally sensitive individuals and that the noise caused by the Munroe air conditioner is unreasonable, by objective standards.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In all of the circumstances of the case, I conclude that the operation of the Munroe air conditioner has caused and is likely to continue to cause a nuisance for the Suzukis. Based on the objective evidence available, the noise emanating from the air conditioner is well above the existing night time ambient noise levels. It is above the levels set out in the various bylaws. When initially installed, the noise from the air conditioner must have been significantly higher. During the daytime, the noise level, with the unit fully enclosed, causes persistent noise, but at a level which is less than the maximums set out in the various bylaws.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The Munroes have limited the operation of their air conditioner so that it does not operate between 9:00 p.m. and 7:00 a.m. Initially they did so by voluntary agreement. The court order that was later obtained has been substantially complied with. However, that interlocutory order will end when final judgment is obtained in this action. It is therefore be necessary to consider whether an injunction is needed in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 Whether the operation of the surveillance camera constitutes an actionable private nuisance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As noted, the Munroes installed a surveillance camera on the side of their house pointing toward the Suzuki property in or about July 2006. At trial they stated that the camera was for the purpose of monitoring the air conditioning unit and that side of their home against vandalism. I took it that they were concerned about vandalism by the Suzukis. The Suzukis say that initially they were not concerned with the camera as they did not know the camera took in a view of their front steps, yard, and driveway. They became very concerned upon learning of this in 2008. In 2008 they amended their statement of claim to add a complaint about the surveillance camera. They seek a permanent injunction to remove or redirect the camera so that it does not observe their property and invade their privacy.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The Munroes have declined to move the camera or to redirect it. They say the image from the camera takes in only a small part of the Suzuki property, which is barely discernable in the image seen. They do not deny that the view from the camera takes in a portion of the Suzuki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A photographic image from the surveillance camera was produced at trial. The resolution shown in the printed photograph is so poor that one can hardly make out anything. However it is clear that the camera is directed in part so that it has a view of not only the air conditioner but also the Suzukis' entrance, front yard and driveway. If the resolution of the camera is as poor as the photograph presented at trial, I would see no purpose in having the camera at all. I do not accept that the resolution is as bad as the photograph I was shown. I infer that the camera is connected to an electronic monitor of some kind and that the picture on the screen of that monitor must be adequate to be of 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I have no doubt that a surveillance camera continuously observing the entrance areas to a neighbouring property, or any part thereof, in these circumstances, is an intolerable interference with the use and enjoyment of the neighbouring property. There is no reason the Munroes could not monitor the side of their home utilizing a camera positioned so that it takes in no part of the Suzuki property. No useful purpose of any kind is served by having the camera directed at any part of the Suzuki property. I am forced to conclude that the Munroes installed the camera and refused to remove or redirect it at least in part in order to provoke and annoy the Suzukis.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xml:space="preserve">  Acts done with the intention of annoying a neighbour and actually causing annoyance will be a nuisance, although the same amount of annoyance would not be a nuisance if done in the ordinary and reasonable use of the property: A.M. Dugdale &amp; M.A. Jones eds., </w:t>
      </w:r>
      <w:r>
        <w:rPr>
          <w:rFonts w:ascii="arial" w:eastAsia="arial" w:hAnsi="arial" w:cs="arial"/>
          <w:i/>
          <w:color w:val="000000"/>
          <w:sz w:val="20"/>
          <w:lang w:val="en-US" w:eastAsia="en-US" w:bidi="ar-SA"/>
        </w:rPr>
        <w:t>Clerk &amp; Lindsell on Torts,</w:t>
      </w:r>
      <w:r>
        <w:rPr>
          <w:rFonts w:ascii="arial" w:eastAsia="arial" w:hAnsi="arial" w:cs="arial"/>
          <w:color w:val="000000"/>
          <w:sz w:val="20"/>
          <w:lang w:val="en-US" w:eastAsia="en-US" w:bidi="ar-SA"/>
        </w:rPr>
        <w:t xml:space="preserve"> 19th ed. (London: Sweet &amp; Maxwell, 2006) at 11782. In my view this is the natural corollary of the principle that the social utility of the activity complained of may be considered in deciding whether the activity is unreasonable. Activities designed to annoy one's neighbours and having little or no redeeming social utility are unreasonable and should be discouraged by 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Mr. and Mrs. Suzuki have been very upset by the surveillance camera. Mr. Suzuki avoids being present on the part of his property taken in by the camera. The Suzukis feel that their comings and goings and those of their visitors are being monitored by their neighbours. This is a reasonable perception on their part.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xml:space="preserve">  The installation of a surveillance camera overlooking a neighbouring property has been found to comprise an actionable nuisance in several cases: </w:t>
      </w:r>
      <w:r>
        <w:rPr>
          <w:rFonts w:ascii="arial" w:eastAsia="arial" w:hAnsi="arial" w:cs="arial"/>
          <w:i/>
          <w:color w:val="000000"/>
          <w:sz w:val="20"/>
          <w:lang w:val="en-US" w:eastAsia="en-US" w:bidi="ar-SA"/>
        </w:rPr>
        <w:t>Wasserman v. Hall,</w:t>
      </w:r>
      <w:r>
        <w:rPr>
          <w:rFonts w:ascii="arial" w:eastAsia="arial" w:hAnsi="arial" w:cs="arial"/>
          <w:color w:val="000000"/>
          <w:sz w:val="20"/>
          <w:lang w:val="en-US" w:eastAsia="en-US" w:bidi="ar-SA"/>
        </w:rPr>
        <w:t xml:space="preserve"> </w:t>
      </w:r>
      <w:hyperlink r:id="rId635" w:history="1">
        <w:r>
          <w:rPr>
            <w:rFonts w:ascii="arial" w:eastAsia="arial" w:hAnsi="arial" w:cs="arial"/>
            <w:i/>
            <w:color w:val="0077CC"/>
            <w:sz w:val="20"/>
            <w:u w:val="single"/>
            <w:shd w:val="clear" w:color="auto" w:fill="FFFFFF"/>
            <w:lang w:val="en-US" w:eastAsia="en-US" w:bidi="ar-SA"/>
          </w:rPr>
          <w:t>2009 BCSC 1318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Lipiec v. Borsa</w:t>
      </w:r>
      <w:r>
        <w:rPr>
          <w:rFonts w:ascii="arial" w:eastAsia="arial" w:hAnsi="arial" w:cs="arial"/>
          <w:color w:val="000000"/>
          <w:sz w:val="20"/>
          <w:lang w:val="en-US" w:eastAsia="en-US" w:bidi="ar-SA"/>
        </w:rPr>
        <w:t xml:space="preserve">, </w:t>
      </w:r>
      <w:hyperlink r:id="rId636" w:history="1">
        <w:r>
          <w:rPr>
            <w:rFonts w:ascii="arial" w:eastAsia="arial" w:hAnsi="arial" w:cs="arial"/>
            <w:i/>
            <w:color w:val="0077CC"/>
            <w:sz w:val="20"/>
            <w:u w:val="single"/>
            <w:shd w:val="clear" w:color="auto" w:fill="FFFFFF"/>
            <w:lang w:val="en-US" w:eastAsia="en-US" w:bidi="ar-SA"/>
          </w:rPr>
          <w:t>31 C.C.L.T. (2d) 294</w:t>
        </w:r>
      </w:hyperlink>
      <w:r>
        <w:rPr>
          <w:rFonts w:ascii="arial" w:eastAsia="arial" w:hAnsi="arial" w:cs="arial"/>
          <w:color w:val="000000"/>
          <w:sz w:val="20"/>
          <w:lang w:val="en-US" w:eastAsia="en-US" w:bidi="ar-SA"/>
        </w:rPr>
        <w:t xml:space="preserve">, </w:t>
      </w:r>
      <w:hyperlink r:id="rId636" w:history="1">
        <w:r>
          <w:rPr>
            <w:rFonts w:ascii="arial" w:eastAsia="arial" w:hAnsi="arial" w:cs="arial"/>
            <w:i/>
            <w:color w:val="0077CC"/>
            <w:sz w:val="20"/>
            <w:u w:val="single"/>
            <w:shd w:val="clear" w:color="auto" w:fill="FFFFFF"/>
            <w:lang w:val="en-US" w:eastAsia="en-US" w:bidi="ar-SA"/>
          </w:rPr>
          <w:t>[1996] O.J. No. 3819</w:t>
        </w:r>
      </w:hyperlink>
      <w:r>
        <w:rPr>
          <w:rFonts w:ascii="arial" w:eastAsia="arial" w:hAnsi="arial" w:cs="arial"/>
          <w:color w:val="000000"/>
          <w:sz w:val="20"/>
          <w:lang w:val="en-US" w:eastAsia="en-US" w:bidi="ar-SA"/>
        </w:rPr>
        <w:t xml:space="preserve">, (Ont. C.J.) (QL); and </w:t>
      </w:r>
      <w:r>
        <w:rPr>
          <w:rFonts w:ascii="arial" w:eastAsia="arial" w:hAnsi="arial" w:cs="arial"/>
          <w:i/>
          <w:color w:val="000000"/>
          <w:sz w:val="20"/>
          <w:lang w:val="en-US" w:eastAsia="en-US" w:bidi="ar-SA"/>
        </w:rPr>
        <w:t>Saelman v. Hill</w:t>
      </w:r>
      <w:r>
        <w:rPr>
          <w:rFonts w:ascii="arial" w:eastAsia="arial" w:hAnsi="arial" w:cs="arial"/>
          <w:color w:val="000000"/>
          <w:sz w:val="20"/>
          <w:lang w:val="en-US" w:eastAsia="en-US" w:bidi="ar-SA"/>
        </w:rPr>
        <w:t xml:space="preserve">, </w:t>
      </w:r>
      <w:hyperlink r:id="rId637" w:history="1">
        <w:r>
          <w:rPr>
            <w:rFonts w:ascii="arial" w:eastAsia="arial" w:hAnsi="arial" w:cs="arial"/>
            <w:i/>
            <w:color w:val="0077CC"/>
            <w:sz w:val="20"/>
            <w:u w:val="single"/>
            <w:shd w:val="clear" w:color="auto" w:fill="FFFFFF"/>
            <w:lang w:val="en-US" w:eastAsia="en-US" w:bidi="ar-SA"/>
          </w:rPr>
          <w:t>20 R.P.R. (4th) 118</w:t>
        </w:r>
      </w:hyperlink>
      <w:r>
        <w:rPr>
          <w:rFonts w:ascii="arial" w:eastAsia="arial" w:hAnsi="arial" w:cs="arial"/>
          <w:color w:val="000000"/>
          <w:sz w:val="20"/>
          <w:lang w:val="en-US" w:eastAsia="en-US" w:bidi="ar-SA"/>
        </w:rPr>
        <w:t xml:space="preserve">, </w:t>
      </w:r>
      <w:hyperlink r:id="rId637" w:history="1">
        <w:r>
          <w:rPr>
            <w:rFonts w:ascii="arial" w:eastAsia="arial" w:hAnsi="arial" w:cs="arial"/>
            <w:i/>
            <w:color w:val="0077CC"/>
            <w:sz w:val="20"/>
            <w:u w:val="single"/>
            <w:shd w:val="clear" w:color="auto" w:fill="FFFFFF"/>
            <w:lang w:val="en-US" w:eastAsia="en-US" w:bidi="ar-SA"/>
          </w:rPr>
          <w:t>[2004] O.J. No. 2122</w:t>
        </w:r>
      </w:hyperlink>
      <w:r>
        <w:rPr>
          <w:rFonts w:ascii="arial" w:eastAsia="arial" w:hAnsi="arial" w:cs="arial"/>
          <w:color w:val="000000"/>
          <w:sz w:val="20"/>
          <w:lang w:val="en-US" w:eastAsia="en-US" w:bidi="ar-SA"/>
        </w:rPr>
        <w:t xml:space="preserve"> (Ont. S.C.J.) (QL). I find that the surveillance camera installed by the Munroes constitutes a nuisance.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 If the tort of private nuisance is established, the appropriate remedy, and in particular: 1) monetary damages; and/or 2) injunction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I have concluded that the Munroes have committed the tort of nuisance by the operation of the air conditioner and also by the installation and operation of the surveillance camera. These wrongs have caused considerable distress and suffering to Mr. and Mrs. Suzuki and therefore are entitled to damages and injunctive relief.</w:t>
      </w:r>
      <w:r>
        <w:rPr>
          <w:rFonts w:ascii="arial" w:eastAsia="arial" w:hAnsi="arial" w:cs="arial"/>
          <w:sz w:val="20"/>
          <w:lang w:val="en-US" w:eastAsia="en-US" w:bidi="ar-SA"/>
        </w:rPr>
        <w:cr/>
      </w:r>
    </w:p>
    <w:p>
      <w:pPr>
        <w:numPr>
          <w:numId w:val="10"/>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As plaintiffs' counsel conceded in argument, the case is not really much about damages. The purpose of the proceedings is to eliminate the nuisance caused by the Munroes. Nonetheless, an award of some damages as solace is justified in all of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Mrs. Suzuki has suffered more than Mr. Suzuki has. The consequences for her have been noted in the evidence of Dr. Oduwole to which I have already made reference. She continues to be under medication currently.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Dr. Oduwole noted that the chronic stress disorder from which Mrs. Suzuki has been suffering for now in excess of three years, stems from two factors, the air conditioning noise itself, and the conflict with the Munroes.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xml:space="preserve">  The damage she has suffered is indivisible as between the two causes. The noise itself has been the major contributing factor. It is not necessary that the tortious conduct of the defendants be the sole cause of the injuries sustained. It is enough if the tortious conduct is a materially contributing cause of the injury. In such circumstances the defendants are liable for the whole loss. There is, therefore, no room for apportionment of the loss or reduction of the damages based upon the fact some of the injury results from the dispute itself rather than the nuisance; see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65"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467-468.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I will award $4,000 to Mrs. Suzuki and $2,000 to Mr. Suzuki as damages for nuisance. If I were not granting an injunction, the damages awarded would be significantly higher.</w:t>
      </w:r>
      <w:r>
        <w:rPr>
          <w:rFonts w:ascii="arial" w:eastAsia="arial" w:hAnsi="arial" w:cs="arial"/>
          <w:sz w:val="20"/>
          <w:lang w:val="en-US" w:eastAsia="en-US" w:bidi="ar-SA"/>
        </w:rPr>
        <w:cr/>
      </w:r>
    </w:p>
    <w:p>
      <w:pPr>
        <w:numPr>
          <w:numId w:val="11"/>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Injunctive relief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xml:space="preserve">  An injunction is an equitable remedy, and therefore the granting of one is discretionary: R.J. Sharpe, </w:t>
      </w:r>
      <w:r>
        <w:rPr>
          <w:rFonts w:ascii="arial" w:eastAsia="arial" w:hAnsi="arial" w:cs="arial"/>
          <w:i/>
          <w:color w:val="000000"/>
          <w:sz w:val="20"/>
          <w:lang w:val="en-US" w:eastAsia="en-US" w:bidi="ar-SA"/>
        </w:rPr>
        <w:t>Injunctions and Specific Performance</w:t>
      </w:r>
      <w:r>
        <w:rPr>
          <w:rFonts w:ascii="arial" w:eastAsia="arial" w:hAnsi="arial" w:cs="arial"/>
          <w:color w:val="000000"/>
          <w:sz w:val="20"/>
          <w:lang w:val="en-US" w:eastAsia="en-US" w:bidi="ar-SA"/>
        </w:rPr>
        <w:t xml:space="preserve">, 3rd ed. (Aurora: Canada Law Book Inc., 2000) at para. 4.10, </w:t>
      </w:r>
      <w:r>
        <w:rPr>
          <w:rFonts w:ascii="arial" w:eastAsia="arial" w:hAnsi="arial" w:cs="arial"/>
          <w:i/>
          <w:color w:val="000000"/>
          <w:sz w:val="20"/>
          <w:lang w:val="en-US" w:eastAsia="en-US" w:bidi="ar-SA"/>
        </w:rPr>
        <w:t>Boggs v. Harrison</w:t>
      </w:r>
      <w:r>
        <w:rPr>
          <w:rFonts w:ascii="arial" w:eastAsia="arial" w:hAnsi="arial" w:cs="arial"/>
          <w:color w:val="000000"/>
          <w:sz w:val="20"/>
          <w:lang w:val="en-US" w:eastAsia="en-US" w:bidi="ar-SA"/>
        </w:rPr>
        <w:t xml:space="preserve">, </w:t>
      </w:r>
      <w:hyperlink r:id="rId638" w:history="1">
        <w:r>
          <w:rPr>
            <w:rFonts w:ascii="arial" w:eastAsia="arial" w:hAnsi="arial" w:cs="arial"/>
            <w:i/>
            <w:color w:val="0077CC"/>
            <w:sz w:val="20"/>
            <w:u w:val="single"/>
            <w:shd w:val="clear" w:color="auto" w:fill="FFFFFF"/>
            <w:lang w:val="en-US" w:eastAsia="en-US" w:bidi="ar-SA"/>
          </w:rPr>
          <w:t>2009 BCSC 789</w:t>
        </w:r>
      </w:hyperlink>
      <w:r>
        <w:rPr>
          <w:rFonts w:ascii="arial" w:eastAsia="arial" w:hAnsi="arial" w:cs="arial"/>
          <w:color w:val="000000"/>
          <w:sz w:val="20"/>
          <w:lang w:val="en-US" w:eastAsia="en-US" w:bidi="ar-SA"/>
        </w:rPr>
        <w:t xml:space="preserve"> at para. 141.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xml:space="preserve">  A number of factors are relevant in determining whether or not to grant an injunction. The inadequacy of damages is frequently considered, along with the nature of the plaintiff's injury and the balance of convenience between the parties: Sharpe, </w:t>
      </w:r>
      <w:r>
        <w:rPr>
          <w:rFonts w:ascii="arial" w:eastAsia="arial" w:hAnsi="arial" w:cs="arial"/>
          <w:i/>
          <w:color w:val="000000"/>
          <w:sz w:val="20"/>
          <w:lang w:val="en-US" w:eastAsia="en-US" w:bidi="ar-SA"/>
        </w:rPr>
        <w:t>Injunctions and Specific Performance</w:t>
      </w:r>
      <w:r>
        <w:rPr>
          <w:rFonts w:ascii="arial" w:eastAsia="arial" w:hAnsi="arial" w:cs="arial"/>
          <w:color w:val="000000"/>
          <w:sz w:val="20"/>
          <w:lang w:val="en-US" w:eastAsia="en-US" w:bidi="ar-SA"/>
        </w:rPr>
        <w:t xml:space="preserve"> at paras. 1.60-1.140, </w:t>
      </w:r>
      <w:r>
        <w:rPr>
          <w:rFonts w:ascii="arial" w:eastAsia="arial" w:hAnsi="arial" w:cs="arial"/>
          <w:i/>
          <w:color w:val="000000"/>
          <w:sz w:val="20"/>
          <w:lang w:val="en-US" w:eastAsia="en-US" w:bidi="ar-SA"/>
        </w:rPr>
        <w:t>Boggs</w:t>
      </w:r>
      <w:r>
        <w:rPr>
          <w:rFonts w:ascii="arial" w:eastAsia="arial" w:hAnsi="arial" w:cs="arial"/>
          <w:color w:val="000000"/>
          <w:sz w:val="20"/>
          <w:lang w:val="en-US" w:eastAsia="en-US" w:bidi="ar-SA"/>
        </w:rPr>
        <w:t xml:space="preserve"> at para. 141, A.M. Linden &amp; B. Feldthusen, </w:t>
      </w:r>
      <w:r>
        <w:rPr>
          <w:rFonts w:ascii="arial" w:eastAsia="arial" w:hAnsi="arial" w:cs="arial"/>
          <w:i/>
          <w:color w:val="000000"/>
          <w:sz w:val="20"/>
          <w:lang w:val="en-US" w:eastAsia="en-US" w:bidi="ar-SA"/>
        </w:rPr>
        <w:t>Canadian Tort Law</w:t>
      </w:r>
      <w:r>
        <w:rPr>
          <w:rFonts w:ascii="arial" w:eastAsia="arial" w:hAnsi="arial" w:cs="arial"/>
          <w:color w:val="000000"/>
          <w:sz w:val="20"/>
          <w:lang w:val="en-US" w:eastAsia="en-US" w:bidi="ar-SA"/>
        </w:rPr>
        <w:t>, 8th ed. (Markham: LexisNexis Canada Inc., 2006) at 594.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xml:space="preserve">  In situations where the nuisance is likely to continue without the granting of the injunction, as is the case here once the interlocutory order ends and the Munroes are no longer enjoined from operating the air conditioner at night, the inadequacy of damages is easily satisfied: Linden &amp; Feldthusen, </w:t>
      </w:r>
      <w:r>
        <w:rPr>
          <w:rFonts w:ascii="arial" w:eastAsia="arial" w:hAnsi="arial" w:cs="arial"/>
          <w:i/>
          <w:color w:val="000000"/>
          <w:sz w:val="20"/>
          <w:lang w:val="en-US" w:eastAsia="en-US" w:bidi="ar-SA"/>
        </w:rPr>
        <w:t>Canadian Tort Law</w:t>
      </w:r>
      <w:r>
        <w:rPr>
          <w:rFonts w:ascii="arial" w:eastAsia="arial" w:hAnsi="arial" w:cs="arial"/>
          <w:color w:val="000000"/>
          <w:sz w:val="20"/>
          <w:lang w:val="en-US" w:eastAsia="en-US" w:bidi="ar-SA"/>
        </w:rPr>
        <w:t xml:space="preserve"> at 594.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In terms of the damage to the plaintiffs, I have already found that the noise from the air conditioner has caused the Suzukis considerable distress and suffering: see para. 103 of these reasons. The distress is likely to continue if no injunction is granted.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Regarding the balance of convenience, the harm to the plaintiffs is compared against the reasonableness of the efforts the defendants have made and could make to eliminate the nuisance caused by their air conditioner.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I have confidence that it is technically feasible for the Munroes to enjoy central air conditioning in such a manner that it does not cause a nuisance at law to their neighbours. The evidence does not allow me to conclude that they adequately explored the option of moving the air conditioning unit to another location on their property where it might not cause a nuisance. As noted, there was no evidence that they have retained any technical or professional engineering expert who could explore solutions to reduce the noise of the air conditioner. There was evidence that quieter air conditioning units are now available on the market. The model installed by the Munroes is a Lennox XC13 which according to the manufacturer's literature has a sound rating of 74 decibels. The Suzukis have pointed to another appliance, a Lennox XP15 heat pump which is rated at 64 decibels. There was no evidence that this quieter appliance was available in 2006. It is now on the market. I am also confident that, Mr. Munroe's best efforts notwithstanding, a professionally designed and constructed enclosure for the unit could well perform better than Mr. Munroe's enclosure.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Mr. Munroe suggested the construction of a fixed enclosure would violate Coquitlam bylaws set-back requirements. There was no evidence that the City of Coquitlam would not allow such a solution to be implemented. Ultimately, the manner in which the Munroes choose to abate the nuisance is up to them. What the Suzukis are entitled to is an assurance that the nuisance will not continue in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On the evidence, no objective standard is available to me concerning acceptable noise standards other than that which is reflected in the various bylaws.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It is unfortunate that the City of Coquitlam has no applicable bylaw containing an objective standard. In my view, had such a bylaw existed, this lawsuit would have been unnecessary.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Applying the same principles, I am satisfied that an injunction prohibiting the Munroes from employing the surveillance camera which monitors any part of the Suzuki property should be ordered. The existing security camera could perhaps be redirected so that it does not take in any part of the Suzuki property. It is impossible to know what view is taken in by the security camera unless one has access to the monitoring equipment inside the Munroes' home. In the circumstances, the Suzukis are entitled to receive some formal confirmation that the Munroes have complied with the injunction concerning the surveillance camera. The Munroes may seek to remove the existing camera, redirect it, or install other surveillance equipment. Again, how the Munroes choose to comply with the order and eliminate the nuisance is up to them. I will order that Mr. and Mrs. Munroe shall each execute a statutory declaration which will be delivered to the Suzukis and will confirm that they have complied with the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V 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I order as follows:</w:t>
      </w:r>
      <w:r>
        <w:rPr>
          <w:rFonts w:ascii="arial" w:eastAsia="arial" w:hAnsi="arial" w:cs="arial"/>
          <w:sz w:val="20"/>
          <w:lang w:val="en-US" w:eastAsia="en-US" w:bidi="ar-SA"/>
        </w:rPr>
        <w:cr/>
      </w:r>
    </w:p>
    <w:p>
      <w:pPr>
        <w:numPr>
          <w:numId w:val="12"/>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Munroes may not operate their air conditioner such that it causes sound beyond 55 dB(A) during the hours of 7:00 a.m. to 10:00 p.m., and 45 dB(A) during the remaining hours of the day, measured at any point along the Munroe-Suzuki property line;</w:t>
      </w:r>
    </w:p>
    <w:p>
      <w:pPr>
        <w:numPr>
          <w:numId w:val="1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Munroes are prohibited from employing a surveillance camera which monitors any part of the Suzuki property;</w:t>
      </w:r>
    </w:p>
    <w:p>
      <w:pPr>
        <w:numPr>
          <w:numId w:val="14"/>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and Mrs. Munroe shall each execute a statutory declaration which will be delivered to the Suzukis and will confirm that they have complied with the above order regarding the surveillance camera.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xml:space="preserve">  Subject to submissions within 45 days concerning the potential effects of Rule 37B of the </w:t>
      </w:r>
      <w:r>
        <w:rPr>
          <w:rFonts w:ascii="arial" w:eastAsia="arial" w:hAnsi="arial" w:cs="arial"/>
          <w:i/>
          <w:color w:val="000000"/>
          <w:sz w:val="20"/>
          <w:lang w:val="en-US" w:eastAsia="en-US" w:bidi="ar-SA"/>
        </w:rPr>
        <w:t>Rules of Court</w:t>
      </w:r>
      <w:r>
        <w:rPr>
          <w:rFonts w:ascii="arial" w:eastAsia="arial" w:hAnsi="arial" w:cs="arial"/>
          <w:color w:val="000000"/>
          <w:sz w:val="20"/>
          <w:lang w:val="en-US" w:eastAsia="en-US" w:bidi="ar-SA"/>
        </w:rPr>
        <w:t>, the plaintiffs are entitled to their costs of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Both parties sought special costs. Special costs are usually awarded only in relation to misconduct in the course of litigation. There is no basis for an award of special costs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F.E. VERHOEVEN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Correction</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Released: November 5,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Reasons for Judgment of Mr. Justice Verhoeven dated October 14, 2009 have been edited.</w:t>
      </w:r>
      <w:r>
        <w:rPr>
          <w:rFonts w:ascii="arial" w:eastAsia="arial" w:hAnsi="arial" w:cs="arial"/>
          <w:sz w:val="20"/>
          <w:lang w:val="en-US" w:eastAsia="en-US" w:bidi="ar-SA"/>
        </w:rPr>
        <w:cr/>
      </w:r>
    </w:p>
    <w:p>
      <w:pPr>
        <w:numPr>
          <w:numId w:val="15"/>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last line of paragraph 77, the word "beach" has been replaced with the word "breach".</w:t>
      </w:r>
    </w:p>
    <w:p>
      <w:pPr>
        <w:numPr>
          <w:numId w:val="15"/>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In paragraph 99, the structure of the last sentence has been changed from:</w:t>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am forced to conclude that the Munroes installed the camera and refused, at least in part, to remove or redirect it in order to provoke and annoy the Suzukis.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To:</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am forced to conclude that the Munroes installed the camera and refused to remove or redirect it at least in part in order to provoke and annoy the Suzukis.</w:t>
      </w:r>
    </w:p>
    <w:p>
      <w:pPr>
        <w:numPr>
          <w:numId w:val="16"/>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second line of paragraph 106, the word "steams" has been replaced with the word "stems".</w:t>
      </w:r>
    </w:p>
    <w:p>
      <w:pPr>
        <w:numPr>
          <w:numId w:val="16"/>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In paragraph 107, in the third line, the word "the" has been added in front of the words "sole cause".</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70" style="position:absolute;z-index:25188249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39"/>
          <w:headerReference w:type="default" r:id="rId640"/>
          <w:footerReference w:type="even" r:id="rId641"/>
          <w:footerReference w:type="default" r:id="rId642"/>
          <w:headerReference w:type="first" r:id="rId643"/>
          <w:footerReference w:type="first" r:id="rId64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45" w:history="1">
        <w:r>
          <w:rPr>
            <w:rFonts w:ascii="arial" w:eastAsia="arial" w:hAnsi="arial" w:cs="arial"/>
            <w:b/>
            <w:bCs/>
            <w:i/>
            <w:color w:val="0077CC"/>
            <w:kern w:val="32"/>
            <w:sz w:val="28"/>
            <w:szCs w:val="32"/>
            <w:u w:val="single"/>
            <w:shd w:val="clear" w:color="auto" w:fill="FFFFFF"/>
            <w:lang w:val="en-US" w:eastAsia="en-US" w:bidi="ar-SA"/>
          </w:rPr>
          <w:t>Tsilhqot'in Nation v. British Columbia, [2007] B.C.J. No. 2465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and Tl'ebayi, Xeni (Nemiah Valley), British</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D.H. Vickers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339 days between November 18, 2002 and</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April 11,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November 20,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90-0913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Victoria</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[2007] B.C.J. No. 2465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646" w:history="1">
        <w:r>
          <w:rPr>
            <w:rFonts w:ascii="arial" w:eastAsia="arial" w:hAnsi="arial" w:cs="arial"/>
            <w:i/>
            <w:color w:val="0077CC"/>
            <w:sz w:val="20"/>
            <w:u w:val="single"/>
            <w:shd w:val="clear" w:color="auto" w:fill="FFFFFF"/>
            <w:lang w:val="en-US" w:eastAsia="en-US" w:bidi="ar-SA"/>
          </w:rPr>
          <w:t>2007 BCSC 1700</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646" w:history="1">
        <w:r>
          <w:rPr>
            <w:rFonts w:ascii="arial" w:eastAsia="arial" w:hAnsi="arial" w:cs="arial"/>
            <w:i/>
            <w:color w:val="0077CC"/>
            <w:sz w:val="20"/>
            <w:u w:val="single"/>
            <w:shd w:val="clear" w:color="auto" w:fill="FFFFFF"/>
            <w:lang w:val="en-US" w:eastAsia="en-US" w:bidi="ar-SA"/>
          </w:rPr>
          <w:t>[2008] 1 C.N.L.R. 112</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646" w:history="1">
        <w:r>
          <w:rPr>
            <w:rFonts w:ascii="arial" w:eastAsia="arial" w:hAnsi="arial" w:cs="arial"/>
            <w:i/>
            <w:color w:val="0077CC"/>
            <w:sz w:val="20"/>
            <w:u w:val="single"/>
            <w:shd w:val="clear" w:color="auto" w:fill="FFFFFF"/>
            <w:lang w:val="en-US" w:eastAsia="en-US" w:bidi="ar-SA"/>
          </w:rPr>
          <w:t>163 A.C.W.S. (3d) 873</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646" w:history="1">
        <w:r>
          <w:rPr>
            <w:rFonts w:ascii="arial" w:eastAsia="arial" w:hAnsi="arial" w:cs="arial"/>
            <w:i/>
            <w:color w:val="0077CC"/>
            <w:sz w:val="20"/>
            <w:u w:val="single"/>
            <w:shd w:val="clear" w:color="auto" w:fill="FFFFFF"/>
            <w:lang w:val="en-US" w:eastAsia="en-US" w:bidi="ar-SA"/>
          </w:rPr>
          <w:t>65 R.P.R. (4th) 1</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646" w:history="1">
        <w:r>
          <w:rPr>
            <w:rFonts w:ascii="arial" w:eastAsia="arial" w:hAnsi="arial" w:cs="arial"/>
            <w:i/>
            <w:color w:val="0077CC"/>
            <w:sz w:val="20"/>
            <w:u w:val="single"/>
            <w:shd w:val="clear" w:color="auto" w:fill="FFFFFF"/>
            <w:lang w:val="en-US" w:eastAsia="en-US" w:bidi="ar-SA"/>
          </w:rPr>
          <w:t>2007 CarswellBC 2741</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Roger William, on his own behalf and on behalf of all other members of the Xeni Gwet'in First Nations Government and on behalf of all other members of the Tsilhqot'in Nation, Plaintiff, and Her Majesty the Queen in Right of the Province of British Columbia, the Regional Manager of the Cariboo Forest Region and The Attorney General of Canada,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(1382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71" style="position:absolute;z-index:2516889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00" w:name="Keywords_29"/>
      <w:bookmarkEnd w:id="200"/>
      <w:r>
        <w:rPr>
          <w:rFonts w:ascii="arial" w:eastAsia="arial" w:hAnsi="arial" w:cs="arial"/>
          <w:b/>
          <w:color w:val="000000"/>
          <w:sz w:val="20"/>
          <w:lang w:val="en-US" w:eastAsia="en-US" w:bidi="ar-SA"/>
        </w:rPr>
        <w:t>Aboriginal law — Aboriginal rights — Constitution Act, 1982, s. 35, recognition of existing aboriginal and treaty rights — Effect of legislation — Federal — Indian Act — Provincial — Infringement — Action commenced the Xeni Gwet'in Chief as representative of all Xeni Gwet'in and all Tsilhqot'in people for declarations of Tsilhqot'in title in part of the Cariboo-Chilcotin region of British Columbia defined as Tachelach'ed (Brittany Triangle) and the Trapline Territory — Plaintiff also sought declarations of Tsilhqot'in Aboriginal rights to hunt and trap — Action allowed in part — Court was unable to make a declaration of Tsilhqot'in Aboriginal title in the context of the proceedings — Court did make declaration as to existing Aboriginal rights to hunt and trap.</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Aboriginal law — Lands — Title and ownership — Action commenced the Xeni Gwet'in Chief as representative of all Xeni Gwet'in and all Tsilhqot'in people for declarations of Tsilhqot'in title in part of the Cariboo-Chilcotin region of British Columbia defined as Tachelach'ed (Brittany Triangle) and the Trapline Territory — Plaintiff also sought declarations of Tsilhqot'in Aboriginal rights to hunt and trap — Action allowed in part — Court was unable to make a declaration of Tsilhqot'in Aboriginal title in the context of the proceedings — Court did make declaration as to existing Aboriginal rights to hunt and trap.</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01" w:name="Case Summary_27"/>
            <w:bookmarkEnd w:id="20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commenced by Chief Roger William in his representative capacity as Xeni Gwet'in Chief on behalf of all Xeni Gwet'in and all Tsilhqot'in people. The plaintiff sought declarations of Tsilhqot'in title in a part of the Cariboo-Chilcotin region of British Columbia defined as Tachelach'ed (Brittany Triangle) and the Trapline Territory. The plaintiff also sought declarations of Tsilhqot'in Aboriginal rights to hunt and trap in the Claim Area and a declaration of a Tsilhqot'in Aboriginal right to trade in animal skins and pelts. The Tsilhqot'in people were a distinct Aboriginal group who had occupied the Claim Area for over 200 years. The action was provoked by proposed forestry activities in Tachelach'ed and the Trapline Territory.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02" w:name="Holdings of Court_23"/>
            <w:bookmarkEnd w:id="202"/>
            <w:r>
              <w:rPr>
                <w:rFonts w:ascii="arial" w:eastAsia="arial" w:hAnsi="arial" w:cs="arial"/>
                <w:color w:val="000000"/>
                <w:sz w:val="20"/>
                <w:lang w:val="en-US" w:eastAsia="en-US" w:bidi="ar-SA"/>
              </w:rPr>
              <w:t>HELD: Action allowed in part without prejudice.</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Court was unable to make a declaration of Tsilhqot'in Aboriginal title in the context of the proceedings. However, the Court offered the opinion that Tsilhqot'in Aboriginal title did exist within and outside the Claim Area. Aboriginal title land was not "Crown land" as defined by provincial forestry legislation. The provincial Forest Act thus did not apply to Aboriginal title land. Tsilhqot'in people had an Aboriginal right to hunt and trap birds and animals throughout the Claim Area for the purposes of securing animals for work and transportation, food, clothing, shelter, mats, blankets and crafts, as well as for spiritual, ceremonial and cultural uses. Tsilhqot'in people had an Aboriginal right to trade in skins and pelts as a means of securing a moderate livelihood. Land use planning and forestry activities had unjustifiably infringed Tsilhqot'in Aboriginal title and Tsilhqot'in Aboriginal rights. The claim for damages was dismissed without prejudice to a renewal of such claims as they might pertain to Tsilhqot'in Aboriginal title land.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03" w:name="Legislation Cited_21"/>
      <w:bookmarkEnd w:id="20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72" style="position:absolute;z-index:2517401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Constitution Act, 1867, s. 91(24), s. 92(5), s. 109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Constitution Act, 1982, s. 35(1)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Forest Act, </w:t>
      </w:r>
      <w:r>
        <w:rPr>
          <w:rFonts w:ascii="arial" w:eastAsia="arial" w:hAnsi="arial" w:cs="arial"/>
          <w:i/>
          <w:color w:val="000000"/>
          <w:sz w:val="20"/>
          <w:lang w:val="en-US" w:eastAsia="en-US" w:bidi="ar-SA"/>
        </w:rPr>
        <w:t>R.S.B.C. 1996, c. 157</w:t>
      </w:r>
      <w:r>
        <w:rPr>
          <w:rFonts w:ascii="arial" w:eastAsia="arial" w:hAnsi="arial" w:cs="arial"/>
          <w:sz w:val="20"/>
          <w:lang w:val="en-US" w:eastAsia="en-US" w:bidi="ar-SA"/>
        </w:rPr>
        <w:cr/>
      </w:r>
    </w:p>
    <w:p>
      <w:pPr>
        <w:rPr>
          <w:rFonts w:ascii="arial" w:eastAsia="arial" w:hAnsi="arial" w:cs="arial"/>
          <w:sz w:val="20"/>
          <w:lang w:val="en-US" w:eastAsia="en-US" w:bidi="ar-SA"/>
        </w:rPr>
      </w:pP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spacing w:before="120" w:line="260" w:lineRule="atLeast"/>
              <w:ind w:left="240"/>
              <w:rPr>
                <w:rFonts w:ascii="arial" w:eastAsia="arial" w:hAnsi="arial" w:cs="arial"/>
                <w:sz w:val="20"/>
                <w:lang w:val="en-US" w:eastAsia="en-US" w:bidi="ar-SA"/>
              </w:rPr>
            </w:pPr>
            <w:bookmarkStart w:id="204" w:name="Court Summary"/>
            <w:bookmarkEnd w:id="204"/>
            <w:r>
              <w:rPr>
                <w:rFonts w:ascii="arial" w:eastAsia="arial" w:hAnsi="arial" w:cs="arial"/>
                <w:b/>
                <w:color w:val="000000"/>
                <w:sz w:val="20"/>
                <w:lang w:val="en-US" w:eastAsia="en-US" w:bidi="ar-SA"/>
              </w:rPr>
              <w:t>Court Summary:</w:t>
            </w:r>
          </w:p>
          <w:p>
            <w:pPr>
              <w:spacing w:before="120" w:line="260" w:lineRule="atLeast"/>
              <w:ind w:left="240"/>
              <w:jc w:val="both"/>
              <w:rPr>
                <w:rFonts w:ascii="arial" w:eastAsia="arial" w:hAnsi="arial" w:cs="arial"/>
                <w:sz w:val="20"/>
                <w:lang w:val="en-US" w:eastAsia="en-US" w:bidi="ar-SA"/>
              </w:rPr>
            </w:pPr>
            <w:r>
              <w:rPr>
                <w:rFonts w:ascii="arial" w:eastAsia="arial" w:hAnsi="arial" w:cs="arial"/>
                <w:b/>
                <w:color w:val="000000"/>
                <w:sz w:val="20"/>
                <w:lang w:val="en-US" w:eastAsia="en-US" w:bidi="ar-SA"/>
              </w:rPr>
              <w:t>Executive Summary</w:t>
            </w:r>
            <w:r>
              <w:rPr>
                <w:rFonts w:ascii="arial" w:eastAsia="arial" w:hAnsi="arial" w:cs="arial"/>
                <w:color w:val="000000"/>
                <w:sz w:val="20"/>
                <w:lang w:val="en-US" w:eastAsia="en-US" w:bidi="ar-SA"/>
              </w:rPr>
              <w:t xml:space="preserve"> </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Xeni Gwet'in First Nations Government is one of six Tsilhqot'in bands. This action is brought by Chief Roger William in his representative capacity as Xeni Gwet'in Chief on behalf of all Xeni Gwet'in and all Tsilhqot'in people. </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 seeks declarations of Tsilhqot'in Aboriginal title in a part of the Cariboo-Chilcotin region of British Columbia defined as Tachelach'ed (Brittany Triangle) and the Trapline Territory. </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addition, the plaintiff seeks declarations of Tsilhqot'in Aboriginal rights to hunt and trap in the Claim Area and a declaration of a Tsilhqot'in Aboriginal right to trade in animal skins and pelts. </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"Nemiah Trapline Action" was commenced in the Supreme Court of British Columbia on April 18, 1990. The plaintiff commenced the "Brittany Triangle Action" on December 18, 1998. Both actions were provoked by proposed forestry activities in Tachelach'ed and the Trapline Territory. </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trial commenced in Victoria on November 18, 2002. There were a total of 339 trial days. In the late fall and early winter of 2003, the Court sat for five weeks in the language resource room of the Naghataneqed Elementary School at Tl'ebayi in Xeni (Nemiah Valley). The balance of the trial took place in Victoria. In the course of this lengthy trial, the court heard oral history and oral tradition evidence and considered a vast number of historical documents. Evidence was tendered in the fields of archeology, anthropology, history, cartography, hydrology, wildlife ecology, ethnoecology, ethnobotany, biology, linguistics, forestry and forest ecology. The Tsilhqot'in people are a distinct Aboriginal group who have occupied the Claim Area for over 200 years. </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Court is not able, in the context of these proceedings, to make a declaration of Tsilhqot'in Aboriginal Title. The Court offers the opinion that Tsilhqot'in Aboriginal title does exist inside and outside the Claim Area. On the evidence in this case, title lands includes: </w:t>
            </w:r>
          </w:p>
          <w:p>
            <w:pPr>
              <w:numPr>
                <w:numId w:val="10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Tsilhqox (Chilko River) Corridor from its outlet at Tsilhqox Biny (Chilko Lake) including a corridor of at least 1 kilometre on both sides of the river and inclusive of the river up to Gwetsilh (Siwash Bridge);</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Xeni, inclusive of the entire north slope of Ts'il?os. This slope of Ts'il?os provides the southern boundary, while the eastern shore of Tsilhqox Biny marks the western boundary. Gweqez Dzelh and Xeni Dwelh combine to provide the northern boundary, while Tsiyi (Tsi ?Ezish Dzelh or Cardiff Mountain) marks the eastern boundary.</w:t>
            </w:r>
          </w:p>
          <w:p>
            <w:pPr>
              <w:numPr>
                <w:numId w:val="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North from Xeni into Tachelach'ed to a line drawn east to west from the points where Elkin Creek joins the Dasiqox (Taseko River) over to Nu Natase?ex on the Tsilhqox. Elkin Creek is that water course draining Nabi Tsi Biny (Elkin Lake), flowing northeast to the Dasiqox;</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the west, from Xeni across Tsilhqox Biny to Ch'a Biny and then over to the point on Talhiqox Biny (Tatlayoko Lake) where the Western Trapline boundary touches the lake at the southeast shore, then following the boundary of the Western Trapline so as to include Gwedzin Biny (Cochin Lake);</w:t>
            </w:r>
          </w:p>
          <w:p>
            <w:pPr>
              <w:numPr>
                <w:numId w:val="5"/>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the east from Xeni following the Dasiqox north to where it is joined by Elkin Creek; and</w:t>
            </w:r>
          </w:p>
          <w:p>
            <w:pPr>
              <w:numPr>
                <w:numId w:val="6"/>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With a northern boundary from Gwedzin Biny in a straight line to include the area north of Naghatalhchoz Biny (Big Eagle Lake or Chelquoit Lake) to Nu Natase?ex on the Tsilhqox where it joins the northern boundary of Tachelach'ed over to the Dasiqox at Elkin Creek.</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Aboriginal title land is not "Crown land" as defined by provincial forestry legislation. The provincial </w:t>
            </w:r>
            <w:r>
              <w:rPr>
                <w:rFonts w:ascii="arial" w:eastAsia="arial" w:hAnsi="arial" w:cs="arial"/>
                <w:b/>
                <w:i/>
                <w:color w:val="000000"/>
                <w:sz w:val="20"/>
                <w:lang w:val="en-US" w:eastAsia="en-US" w:bidi="ar-SA"/>
              </w:rPr>
              <w:t>Forest Act</w:t>
            </w:r>
            <w:r>
              <w:rPr>
                <w:rFonts w:ascii="arial" w:eastAsia="arial" w:hAnsi="arial" w:cs="arial"/>
                <w:color w:val="000000"/>
                <w:sz w:val="20"/>
                <w:lang w:val="en-US" w:eastAsia="en-US" w:bidi="ar-SA"/>
              </w:rPr>
              <w:t xml:space="preserve"> does not apply to Aboriginal title land. The jurisdiction to legislate with respect to Aboriginal title land lies with the Federal government pursuant to s. 91(24) of the </w:t>
            </w:r>
            <w:r>
              <w:rPr>
                <w:rFonts w:ascii="arial" w:eastAsia="arial" w:hAnsi="arial" w:cs="arial"/>
                <w:b/>
                <w:i/>
                <w:color w:val="000000"/>
                <w:sz w:val="20"/>
                <w:lang w:val="en-US" w:eastAsia="en-US" w:bidi="ar-SA"/>
              </w:rPr>
              <w:t>Constitution Act, 1967</w:t>
            </w:r>
            <w:r>
              <w:rPr>
                <w:rFonts w:ascii="arial" w:eastAsia="arial" w:hAnsi="arial" w:cs="arial"/>
                <w:color w:val="000000"/>
                <w:sz w:val="20"/>
                <w:lang w:val="en-US" w:eastAsia="en-US" w:bidi="ar-SA"/>
              </w:rPr>
              <w:t xml:space="preserve">. </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Province has no jurisdiction to extinguish Aboriginal title and such title has not been extinguished by a conveyance of fee simple title. </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Tsilhqot'in people have an Aboriginal right to hunt and trap birds and animals throughout the Claim Area for the purposes of securing animals for work and transportation, food, clothing, shelter, mats, blankets and crafts, as well as for spiritual, ceremonial, and cultural uses. This right is inclusive of a right to capture and use horses for transportation and work. </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Tsilhqot'in people have an Aboriginal right to trade in skins and pelts as a means of securing a moderate livelihood. </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These rights have been continuous since pre-contact time which the Court determines was 1793. </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Land use planning and forestry activities have unjustifiably infringed Tsilhqot'in Aboriginal title and Tsilhqot'in Aboriginal rights. </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claim for damages is dismissed without prejudice to a renewal of such claims as they may pertain to Tsilhqot'in Aboriginal title land.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05" w:name="Counsel_29"/>
      <w:bookmarkEnd w:id="20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73" style="position:absolute;z-index:2517913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J. Woodward, D. Rosenberg, P. Hutchings, P. Rosenberg, M. Browne, D.M. Robbins, G.S. Campo, H. Mahony, M. Couling, S. Nixon, M. Haddock, J. Nelson, G. Reed and D. Mildon.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British Columbia (Forestry): P.G. Foy, Q.C., T. Leadem, Q.C., G.J. Underwood, K.J. Tyler, K.E. Gillese, J.G. Penner, E. Christie, S. Lysyk and J.Z. Murray.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Attorney General of Canada: G. Donegan, Q.C., B. McLaughlin, M.P. Doherty, J. Chow, C. Cameron, J. Blackhawk and I. Jackson.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06" w:name="Judgment_29"/>
      <w:bookmarkEnd w:id="206"/>
      <w:r>
        <w:pict>
          <v:line id="_x0000_s1174" style="position:absolute;z-index:251842560"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Characters from the Aboriginal alphabet have been substituted with their closest approximation from the English language.]</w: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A corrigendum was released by the Court June 2, 2008; the corrections have been made to the text and the corrigendum is appended to this document.]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EXECUTIVE SUMMARY</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TABLE OF CONTENTS</w:t>
      </w:r>
      <w:r>
        <w:rPr>
          <w:rFonts w:ascii="arial" w:eastAsia="arial" w:hAnsi="arial" w:cs="arial"/>
          <w:sz w:val="20"/>
          <w:lang w:val="en-US" w:eastAsia="en-US" w:bidi="ar-SA"/>
        </w:rPr>
        <w:cr/>
      </w:r>
    </w:p>
    <w:p>
      <w:pPr>
        <w:numPr>
          <w:numId w:val="7"/>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PREFACE</w:t>
      </w:r>
    </w:p>
    <w:p>
      <w:pPr>
        <w:numPr>
          <w:numId w:val="7"/>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INTRODUCTION</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Tislagh Season</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Nature of the Litigation</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Region and People</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Tsilhqot'in Population</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Parties</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Description of the Claim Area</w:t>
      </w:r>
    </w:p>
    <w:p>
      <w:pPr>
        <w:numPr>
          <w:numId w:val="9"/>
        </w:numPr>
        <w:tabs>
          <w:tab w:val="clear" w:pos="220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Tachelach'ed and the Trapline Territory</w:t>
      </w:r>
    </w:p>
    <w:p>
      <w:pPr>
        <w:numPr>
          <w:numId w:val="10"/>
        </w:numPr>
        <w:tabs>
          <w:tab w:val="clear" w:pos="2200"/>
          <w:tab w:val="num" w:pos="2920"/>
        </w:tabs>
        <w:spacing w:before="120" w:line="260" w:lineRule="atLeast"/>
        <w:ind w:left="2920"/>
        <w:jc w:val="both"/>
        <w:rPr>
          <w:rFonts w:ascii="arial" w:eastAsia="arial" w:hAnsi="arial" w:cs="arial"/>
          <w:sz w:val="20"/>
          <w:lang w:val="en-US" w:eastAsia="en-US" w:bidi="ar-SA"/>
        </w:rPr>
      </w:pPr>
      <w:r>
        <w:rPr>
          <w:rFonts w:ascii="arial" w:eastAsia="arial" w:hAnsi="arial" w:cs="arial"/>
          <w:color w:val="000000"/>
          <w:sz w:val="20"/>
          <w:lang w:val="en-US" w:eastAsia="en-US" w:bidi="ar-SA"/>
        </w:rPr>
        <w:t>Landscape</w:t>
      </w:r>
    </w:p>
    <w:p>
      <w:pPr>
        <w:numPr>
          <w:numId w:val="10"/>
        </w:numPr>
        <w:tabs>
          <w:tab w:val="clear" w:pos="2200"/>
          <w:tab w:val="num" w:pos="2920"/>
        </w:tabs>
        <w:spacing w:before="120" w:line="260" w:lineRule="atLeast"/>
        <w:ind w:left="2920"/>
        <w:jc w:val="both"/>
        <w:rPr>
          <w:rFonts w:ascii="arial" w:eastAsia="arial" w:hAnsi="arial" w:cs="arial"/>
          <w:sz w:val="20"/>
          <w:lang w:val="en-US" w:eastAsia="en-US" w:bidi="ar-SA"/>
        </w:rPr>
      </w:pPr>
      <w:r>
        <w:rPr>
          <w:rFonts w:ascii="arial" w:eastAsia="arial" w:hAnsi="arial" w:cs="arial"/>
          <w:color w:val="000000"/>
          <w:sz w:val="20"/>
          <w:lang w:val="en-US" w:eastAsia="en-US" w:bidi="ar-SA"/>
        </w:rPr>
        <w:t>Climate</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Forest Cover</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Public Lands/Crown Lands</w:t>
      </w:r>
    </w:p>
    <w:p>
      <w:pPr>
        <w:numPr>
          <w:numId w:val="13"/>
        </w:numPr>
        <w:tabs>
          <w:tab w:val="clear" w:pos="2200"/>
          <w:tab w:val="num" w:pos="2920"/>
        </w:tabs>
        <w:spacing w:before="120" w:line="260" w:lineRule="atLeast"/>
        <w:ind w:left="2920"/>
        <w:jc w:val="both"/>
        <w:rPr>
          <w:rFonts w:ascii="arial" w:eastAsia="arial" w:hAnsi="arial" w:cs="arial"/>
          <w:sz w:val="20"/>
          <w:lang w:val="en-US" w:eastAsia="en-US" w:bidi="ar-SA"/>
        </w:rPr>
      </w:pPr>
      <w:r>
        <w:rPr>
          <w:rFonts w:ascii="arial" w:eastAsia="arial" w:hAnsi="arial" w:cs="arial"/>
          <w:color w:val="000000"/>
          <w:sz w:val="20"/>
          <w:lang w:val="en-US" w:eastAsia="en-US" w:bidi="ar-SA"/>
        </w:rPr>
        <w:t>Provincial Parks</w:t>
      </w:r>
    </w:p>
    <w:p>
      <w:pPr>
        <w:numPr>
          <w:numId w:val="13"/>
        </w:numPr>
        <w:tabs>
          <w:tab w:val="clear" w:pos="2200"/>
          <w:tab w:val="num" w:pos="2920"/>
        </w:tabs>
        <w:spacing w:before="120" w:line="260" w:lineRule="atLeast"/>
        <w:ind w:left="2920"/>
        <w:jc w:val="both"/>
        <w:rPr>
          <w:rFonts w:ascii="arial" w:eastAsia="arial" w:hAnsi="arial" w:cs="arial"/>
          <w:sz w:val="20"/>
          <w:lang w:val="en-US" w:eastAsia="en-US" w:bidi="ar-SA"/>
        </w:rPr>
      </w:pPr>
      <w:r>
        <w:rPr>
          <w:rFonts w:ascii="arial" w:eastAsia="arial" w:hAnsi="arial" w:cs="arial"/>
          <w:color w:val="000000"/>
          <w:sz w:val="20"/>
          <w:lang w:val="en-US" w:eastAsia="en-US" w:bidi="ar-SA"/>
        </w:rPr>
        <w:t>Fishing Station</w:t>
      </w:r>
    </w:p>
    <w:p>
      <w:pPr>
        <w:numPr>
          <w:numId w:val="14"/>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Xeni Gwet'in Declaration</w:t>
      </w:r>
    </w:p>
    <w:p>
      <w:pPr>
        <w:numPr>
          <w:numId w:val="15"/>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DETAILS OF THE LITIGATION</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Chronology of the Litigation and Related Events</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Issues to be Decided</w:t>
      </w:r>
    </w:p>
    <w:p>
      <w:pPr>
        <w:numPr>
          <w:numId w:val="17"/>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PRELIMINARY ISSUE</w:t>
      </w:r>
    </w:p>
    <w:p>
      <w:pPr>
        <w:numPr>
          <w:numId w:val="17"/>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EVIDENTIARY ISSUES</w:t>
      </w:r>
    </w:p>
    <w:p>
      <w:pPr>
        <w:numPr>
          <w:numId w:val="1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Oral History/Oral Tradition Evidence</w:t>
      </w:r>
    </w:p>
    <w:p>
      <w:pPr>
        <w:numPr>
          <w:numId w:val="1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Historical Documents</w:t>
      </w:r>
    </w:p>
    <w:p>
      <w:pPr>
        <w:numPr>
          <w:numId w:val="19"/>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HISTORICAL NARRATIVE</w:t>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Pre-Historic Period</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Dene/Athapaskan Migrations</w:t>
      </w:r>
    </w:p>
    <w:p>
      <w:pPr>
        <w:numPr>
          <w:numId w:val="2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Proto-Historic Period</w:t>
      </w:r>
    </w:p>
    <w:p>
      <w:pPr>
        <w:numPr>
          <w:numId w:val="2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Early European Exploration to 1808</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Historic Period</w:t>
      </w:r>
    </w:p>
    <w:p>
      <w:pPr>
        <w:numPr>
          <w:numId w:val="25"/>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ETHNOGRAPHIC NARRATIVE</w:t>
      </w:r>
    </w:p>
    <w:p>
      <w:pPr>
        <w:numPr>
          <w:numId w:val="2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Ethnography</w:t>
      </w:r>
    </w:p>
    <w:p>
      <w:pPr>
        <w:numPr>
          <w:numId w:val="2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Language and Culture</w:t>
      </w:r>
    </w:p>
    <w:p>
      <w:pPr>
        <w:numPr>
          <w:numId w:val="2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Time Periods</w:t>
      </w:r>
    </w:p>
    <w:p>
      <w:pPr>
        <w:numPr>
          <w:numId w:val="2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Socio-Political Structure</w:t>
      </w:r>
    </w:p>
    <w:p>
      <w:pPr>
        <w:numPr>
          <w:numId w:val="2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Tsilhqot'in Dwellings</w:t>
      </w:r>
    </w:p>
    <w:p>
      <w:pPr>
        <w:numPr>
          <w:numId w:val="2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Semi-Nomadic Lifestyle</w:t>
      </w:r>
    </w:p>
    <w:p>
      <w:pPr>
        <w:numPr>
          <w:numId w:val="2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Tools and Implements</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Fishing</w:t>
      </w:r>
    </w:p>
    <w:p>
      <w:pPr>
        <w:numPr>
          <w:numId w:val="2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Hunting and Trapping</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Other implements</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Baskets and Cooking</w:t>
      </w:r>
    </w:p>
    <w:p>
      <w:pPr>
        <w:numPr>
          <w:numId w:val="31"/>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?Etaslaz ts'i (Bark Boats)</w:t>
      </w:r>
    </w:p>
    <w:p>
      <w:pPr>
        <w:numPr>
          <w:numId w:val="3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Bedding</w:t>
      </w:r>
    </w:p>
    <w:p>
      <w:pPr>
        <w:numPr>
          <w:numId w:val="3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Clothing and Footwear</w:t>
      </w:r>
    </w:p>
    <w:p>
      <w:pPr>
        <w:numPr>
          <w:numId w:val="3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Spirituality</w:t>
      </w:r>
    </w:p>
    <w:p>
      <w:pPr>
        <w:numPr>
          <w:numId w:val="3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Deyen</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Burial Practices</w:t>
      </w:r>
    </w:p>
    <w:p>
      <w:pPr>
        <w:numPr>
          <w:numId w:val="3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Tsilhqot'in Laws</w:t>
      </w:r>
    </w:p>
    <w:p>
      <w:pPr>
        <w:numPr>
          <w:numId w:val="3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Legends and Stories</w:t>
      </w:r>
    </w:p>
    <w:p>
      <w:pPr>
        <w:numPr>
          <w:numId w:val="3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Summary</w:t>
      </w:r>
    </w:p>
    <w:p>
      <w:pPr>
        <w:numPr>
          <w:numId w:val="38"/>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ABORIGINAL GROUP</w:t>
      </w:r>
    </w:p>
    <w:p>
      <w:pPr>
        <w:numPr>
          <w:numId w:val="3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Proper Rights Holder</w:t>
      </w:r>
    </w:p>
    <w:p>
      <w:pPr>
        <w:numPr>
          <w:numId w:val="40"/>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ABORIGINAL TITLE</w:t>
      </w:r>
    </w:p>
    <w:p>
      <w:pPr>
        <w:numPr>
          <w:numId w:val="41"/>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Nature of Aboriginal Title</w:t>
      </w:r>
    </w:p>
    <w:p>
      <w:pPr>
        <w:numPr>
          <w:numId w:val="41"/>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Test for Aboriginal Title</w:t>
      </w:r>
    </w:p>
    <w:p>
      <w:pPr>
        <w:numPr>
          <w:numId w:val="42"/>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Pre-sovereignty Occupation</w:t>
      </w:r>
    </w:p>
    <w:p>
      <w:pPr>
        <w:numPr>
          <w:numId w:val="43"/>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Exclusivity</w:t>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Continuity</w:t>
      </w:r>
    </w:p>
    <w:p>
      <w:pPr>
        <w:numPr>
          <w:numId w:val="4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 v. Marshall; R. v. Bernard</w:t>
      </w:r>
    </w:p>
    <w:p>
      <w:pPr>
        <w:numPr>
          <w:numId w:val="46"/>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DATE OF SOVEREIGNTY ASSERTION</w:t>
      </w:r>
    </w:p>
    <w:p>
      <w:pPr>
        <w:numPr>
          <w:numId w:val="47"/>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TSILHQOT'IN ABORIGINAL TITLE</w:t>
      </w:r>
    </w:p>
    <w:p>
      <w:pPr>
        <w:numPr>
          <w:numId w:val="4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Introduction</w:t>
      </w:r>
    </w:p>
    <w:p>
      <w:pPr>
        <w:numPr>
          <w:numId w:val="4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Tsilhqot'in Traditional Territory and the Claim Area</w:t>
      </w:r>
    </w:p>
    <w:p>
      <w:pPr>
        <w:numPr>
          <w:numId w:val="4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Tsilhqot'in Migration, South and East</w:t>
      </w:r>
    </w:p>
    <w:p>
      <w:pPr>
        <w:numPr>
          <w:numId w:val="4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Boundaries of the Claim Area</w:t>
      </w:r>
    </w:p>
    <w:p>
      <w:pPr>
        <w:numPr>
          <w:numId w:val="49"/>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SUMMARY OF EVIDENCE - OCCUPATION</w:t>
      </w:r>
    </w:p>
    <w:p>
      <w:pPr>
        <w:numPr>
          <w:numId w:val="5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Introduction</w:t>
      </w:r>
    </w:p>
    <w:p>
      <w:pPr>
        <w:numPr>
          <w:numId w:val="5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Oral Traditions: Legends and Landmarks</w:t>
      </w:r>
    </w:p>
    <w:p>
      <w:pPr>
        <w:numPr>
          <w:numId w:val="5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Time Depth</w:t>
      </w:r>
    </w:p>
    <w:p>
      <w:pPr>
        <w:numPr>
          <w:numId w:val="5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Trails, Hunting, Fishing and Trapping</w:t>
      </w:r>
    </w:p>
    <w:p>
      <w:pPr>
        <w:numPr>
          <w:numId w:val="5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Regular Use of Definite Tracts of Land</w:t>
      </w:r>
    </w:p>
    <w:p>
      <w:pPr>
        <w:numPr>
          <w:numId w:val="51"/>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CLAIM AREA SITES</w:t>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Tsilhqox (Chilko River) and the Historical "Long Lake"</w:t>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Tsilhqox (Chilko River) Corridor</w:t>
      </w:r>
    </w:p>
    <w:p>
      <w:pPr>
        <w:numPr>
          <w:numId w:val="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Gwetsilh (Siwash Bridge)</w:t>
      </w:r>
    </w:p>
    <w:p>
      <w:pPr>
        <w:numPr>
          <w:numId w:val="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?Elhixidlin (Whitewater)</w:t>
      </w:r>
    </w:p>
    <w:p>
      <w:pPr>
        <w:numPr>
          <w:numId w:val="5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Tl'egwated</w:t>
      </w:r>
    </w:p>
    <w:p>
      <w:pPr>
        <w:numPr>
          <w:numId w:val="5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Tachi</w:t>
      </w:r>
    </w:p>
    <w:p>
      <w:pPr>
        <w:numPr>
          <w:numId w:val="5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Tsilangh</w:t>
      </w:r>
    </w:p>
    <w:p>
      <w:pPr>
        <w:numPr>
          <w:numId w:val="5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Tsi Lhizbed</w:t>
      </w:r>
    </w:p>
    <w:p>
      <w:pPr>
        <w:numPr>
          <w:numId w:val="5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Nusay Bighinlin</w:t>
      </w:r>
    </w:p>
    <w:p>
      <w:pPr>
        <w:numPr>
          <w:numId w:val="6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Ts'eman Ts'ezchi or Ts'esman Ts'ez</w:t>
      </w:r>
    </w:p>
    <w:p>
      <w:pPr>
        <w:numPr>
          <w:numId w:val="61"/>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Tsi T'is Gulin and Henry's Crossing</w:t>
      </w:r>
    </w:p>
    <w:p>
      <w:pPr>
        <w:numPr>
          <w:numId w:val="6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Ts'u Nintil</w:t>
      </w:r>
    </w:p>
    <w:p>
      <w:pPr>
        <w:numPr>
          <w:numId w:val="6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Biny Gwetsel</w:t>
      </w:r>
    </w:p>
    <w:p>
      <w:pPr>
        <w:numPr>
          <w:numId w:val="6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Gwedeld'en T'ay</w:t>
      </w:r>
    </w:p>
    <w:p>
      <w:pPr>
        <w:numPr>
          <w:numId w:val="71"/>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Biny Gwechugh (Canoe Crossing)</w:t>
      </w:r>
    </w:p>
    <w:p>
      <w:pPr>
        <w:numPr>
          <w:numId w:val="7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Sul Gunlin</w:t>
      </w:r>
    </w:p>
    <w:p>
      <w:pPr>
        <w:numPr>
          <w:numId w:val="7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Xeni (Nemiah Valley)</w:t>
      </w:r>
    </w:p>
    <w:p>
      <w:pPr>
        <w:numPr>
          <w:numId w:val="7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Various Sites</w:t>
      </w:r>
    </w:p>
    <w:p>
      <w:pPr>
        <w:numPr>
          <w:numId w:val="7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Summary</w:t>
      </w:r>
    </w:p>
    <w:p>
      <w:pPr>
        <w:numPr>
          <w:numId w:val="7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Tachelach'ed (Brittany Triangle)</w:t>
      </w:r>
    </w:p>
    <w:p>
      <w:pPr>
        <w:numPr>
          <w:numId w:val="7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Gweq'ez Dzelh and Xeni Dzelh</w:t>
      </w:r>
    </w:p>
    <w:p>
      <w:pPr>
        <w:numPr>
          <w:numId w:val="7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?Esqi Nintanisdzah (Child Got Lost)</w:t>
      </w:r>
    </w:p>
    <w:p>
      <w:pPr>
        <w:numPr>
          <w:numId w:val="7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Nu Natase?ex (Mountain House)</w:t>
      </w:r>
    </w:p>
    <w:p>
      <w:pPr>
        <w:numPr>
          <w:numId w:val="8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Natasewed Biny (Brittany Lake)</w:t>
      </w:r>
    </w:p>
    <w:p>
      <w:pPr>
        <w:numPr>
          <w:numId w:val="8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Captain George Town</w:t>
      </w:r>
    </w:p>
    <w:p>
      <w:pPr>
        <w:numPr>
          <w:numId w:val="8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Far Meadow</w:t>
      </w:r>
    </w:p>
    <w:p>
      <w:pPr>
        <w:numPr>
          <w:numId w:val="10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Delgi Ch'osh or Lhuy Tu Xadats'ebe?elhtalh (Big Lake)</w:t>
      </w:r>
    </w:p>
    <w:p>
      <w:pPr>
        <w:numPr>
          <w:numId w:val="10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Ts'uni?ad Biny (Tsuniah Lake)</w:t>
      </w:r>
    </w:p>
    <w:p>
      <w:pPr>
        <w:numPr>
          <w:numId w:val="10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?Elhghatish (Between the Lakes)</w:t>
      </w:r>
    </w:p>
    <w:p>
      <w:pPr>
        <w:numPr>
          <w:numId w:val="10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Tsanlgen Biny (Chaunigan Lake)</w:t>
      </w:r>
    </w:p>
    <w:p>
      <w:pPr>
        <w:numPr>
          <w:numId w:val="10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Western Trapline Territory</w:t>
      </w:r>
    </w:p>
    <w:p>
      <w:pPr>
        <w:numPr>
          <w:numId w:val="10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Lhuy Nachasgwengulin (Little Eagle Lake)</w:t>
      </w:r>
    </w:p>
    <w:p>
      <w:pPr>
        <w:numPr>
          <w:numId w:val="10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Gwedzin Biny (Quitzee or Cochin Lake)</w:t>
      </w:r>
    </w:p>
    <w:p>
      <w:pPr>
        <w:numPr>
          <w:numId w:val="1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Ch'ezqud</w:t>
      </w:r>
    </w:p>
    <w:p>
      <w:pPr>
        <w:numPr>
          <w:numId w:val="1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?Edibiny</w:t>
      </w:r>
    </w:p>
    <w:p>
      <w:pPr>
        <w:numPr>
          <w:numId w:val="1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Naghatalhchoz Biny (Chelquoit Lake or Big Eagle Lake)</w:t>
      </w:r>
    </w:p>
    <w:p>
      <w:pPr>
        <w:numPr>
          <w:numId w:val="1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Tsi gheh ne?eten</w:t>
      </w:r>
    </w:p>
    <w:p>
      <w:pPr>
        <w:numPr>
          <w:numId w:val="1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Sa Nagwedijan</w:t>
      </w:r>
    </w:p>
    <w:p>
      <w:pPr>
        <w:numPr>
          <w:numId w:val="1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Tsi Ch'ed Diz?an</w:t>
      </w:r>
    </w:p>
    <w:p>
      <w:pPr>
        <w:numPr>
          <w:numId w:val="1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Tsilhqox Biny (Chilko Lake) Area</w:t>
      </w:r>
    </w:p>
    <w:p>
      <w:pPr>
        <w:numPr>
          <w:numId w:val="1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Tsilhqox Biny Area - Gwedats'ish</w:t>
      </w:r>
    </w:p>
    <w:p>
      <w:pPr>
        <w:numPr>
          <w:numId w:val="1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Tsilhqox Biny Area - Ch'a Biny</w:t>
      </w:r>
    </w:p>
    <w:p>
      <w:pPr>
        <w:numPr>
          <w:numId w:val="1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Ts'il?os (Mount Tatlow)</w:t>
      </w:r>
    </w:p>
    <w:p>
      <w:pPr>
        <w:numPr>
          <w:numId w:val="1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Dzelh Ch'ed (Snow Mountains) - Coast or Cascade Mountains</w:t>
      </w:r>
    </w:p>
    <w:p>
      <w:pPr>
        <w:numPr>
          <w:numId w:val="1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Tl'ech'id Gunaz (Long Valley), Yuhitah (Yohetta Valley), Ts'i Talh?ad (Rainbow Creek), Tsi Tese?an (Tchaikazan Valley) and Tsilhqox Tu Tl'az (Edmond Creek) watersheds</w:t>
      </w:r>
    </w:p>
    <w:p>
      <w:pPr>
        <w:numPr>
          <w:numId w:val="1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Talhiqox Biny (Tatlayoko Lake)</w:t>
      </w:r>
    </w:p>
    <w:p>
      <w:pPr>
        <w:numPr>
          <w:numId w:val="1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Tsimol Ch'ed (Potato Mountain)</w:t>
      </w:r>
    </w:p>
    <w:p>
      <w:pPr>
        <w:numPr>
          <w:numId w:val="1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Area West and South of Tsilhqox Biny</w:t>
      </w:r>
    </w:p>
    <w:p>
      <w:pPr>
        <w:numPr>
          <w:numId w:val="1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West Side of Tsilhqox Biny</w:t>
      </w:r>
    </w:p>
    <w:p>
      <w:pPr>
        <w:numPr>
          <w:numId w:val="1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Eastern Trapline Territory</w:t>
      </w:r>
    </w:p>
    <w:p>
      <w:pPr>
        <w:numPr>
          <w:numId w:val="1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Dasiqox Biny (Taseko Lake) and Eastward</w:t>
      </w:r>
    </w:p>
    <w:p>
      <w:pPr>
        <w:numPr>
          <w:numId w:val="1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Teztan Biny (Fish Lake)</w:t>
      </w:r>
    </w:p>
    <w:p>
      <w:pPr>
        <w:numPr>
          <w:numId w:val="1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Nabas Dzelh (Anvil Mountain)</w:t>
      </w:r>
    </w:p>
    <w:p>
      <w:pPr>
        <w:numPr>
          <w:numId w:val="1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Gwetex Natel?as (Red Mountain)</w:t>
      </w:r>
    </w:p>
    <w:p>
      <w:pPr>
        <w:numPr>
          <w:numId w:val="1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EXCLUSIVITY</w:t>
      </w:r>
    </w:p>
    <w:p>
      <w:pPr>
        <w:numPr>
          <w:numId w:val="1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CONTINUITY</w:t>
      </w:r>
    </w:p>
    <w:p>
      <w:pPr>
        <w:numPr>
          <w:numId w:val="1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CONCLUSIONS ON TSILHQOT'IN ABORIGINAL TITLE TO THE CLAIM AREA</w:t>
      </w:r>
    </w:p>
    <w:p>
      <w:pPr>
        <w:numPr>
          <w:numId w:val="1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STATUTORY AUTHORITY TO ISSUE FOREST TENURES AND AUTHORIZATIONS</w:t>
      </w:r>
    </w:p>
    <w:p>
      <w:pPr>
        <w:numPr>
          <w:numId w:val="1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PRIVATE LANDS ISSUE</w:t>
      </w:r>
    </w:p>
    <w:p>
      <w:pPr>
        <w:numPr>
          <w:numId w:val="1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CONSTITUTIONAL ISSUES - DIVISION OF POWERS</w:t>
      </w:r>
    </w:p>
    <w:p>
      <w:pPr>
        <w:numPr>
          <w:numId w:val="1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Interjurisdictional Immunity</w:t>
      </w:r>
    </w:p>
    <w:p>
      <w:pPr>
        <w:numPr>
          <w:numId w:val="1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Submerged Lands</w:t>
      </w:r>
    </w:p>
    <w:p>
      <w:pPr>
        <w:numPr>
          <w:numId w:val="1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INFRINGEMENT OF ABORIGINAL TITLE</w:t>
      </w:r>
    </w:p>
    <w:p>
      <w:pPr>
        <w:numPr>
          <w:numId w:val="1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General Principles</w:t>
      </w:r>
    </w:p>
    <w:p>
      <w:pPr>
        <w:numPr>
          <w:numId w:val="1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Application</w:t>
      </w:r>
    </w:p>
    <w:p>
      <w:pPr>
        <w:numPr>
          <w:numId w:val="1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JUSTIFICATION OF INFRINGEMENT OF ABORIGINAL TITLE</w:t>
      </w:r>
    </w:p>
    <w:p>
      <w:pPr>
        <w:numPr>
          <w:numId w:val="1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General Principles</w:t>
      </w:r>
    </w:p>
    <w:p>
      <w:pPr>
        <w:numPr>
          <w:numId w:val="1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Compelling and Substantial Legislative Objective</w:t>
      </w:r>
    </w:p>
    <w:p>
      <w:pPr>
        <w:numPr>
          <w:numId w:val="1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Honour of the Crown</w:t>
      </w:r>
    </w:p>
    <w:p>
      <w:pPr>
        <w:numPr>
          <w:numId w:val="1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Duty to Consult</w:t>
      </w:r>
    </w:p>
    <w:p>
      <w:pPr>
        <w:numPr>
          <w:numId w:val="1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Application</w:t>
      </w:r>
    </w:p>
    <w:p>
      <w:pPr>
        <w:numPr>
          <w:numId w:val="1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ABORIGINAL RIGHTS (Excluding Title)</w:t>
      </w:r>
    </w:p>
    <w:p>
      <w:pPr>
        <w:numPr>
          <w:numId w:val="1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Introduction</w:t>
      </w:r>
    </w:p>
    <w:p>
      <w:pPr>
        <w:numPr>
          <w:numId w:val="1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Test for Aboriginal Rights</w:t>
      </w:r>
    </w:p>
    <w:p>
      <w:pPr>
        <w:numPr>
          <w:numId w:val="1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Characterizing the Right</w:t>
      </w:r>
    </w:p>
    <w:p>
      <w:pPr>
        <w:numPr>
          <w:numId w:val="1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Establishing the Ancestors of the Claimant Aboriginal Group Engaged in a Particular Practice, Custom or Tradition Prior to European Contact - Continuity Element</w:t>
      </w:r>
    </w:p>
    <w:p>
      <w:pPr>
        <w:numPr>
          <w:numId w:val="1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Integral to the Distinctive Culture</w:t>
      </w:r>
    </w:p>
    <w:p>
      <w:pPr>
        <w:numPr>
          <w:numId w:val="1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Continuity Between Claimed Rights and Pre-Contact Practices</w:t>
      </w:r>
    </w:p>
    <w:p>
      <w:pPr>
        <w:numPr>
          <w:numId w:val="1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Date of Contact</w:t>
      </w:r>
    </w:p>
    <w:p>
      <w:pPr>
        <w:numPr>
          <w:numId w:val="1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TSILHQOT'IN ABORIGINAL RIGHTS (Excluding Title)</w:t>
      </w:r>
    </w:p>
    <w:p>
      <w:pPr>
        <w:numPr>
          <w:numId w:val="1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Position of the Parties</w:t>
      </w:r>
    </w:p>
    <w:p>
      <w:pPr>
        <w:numPr>
          <w:numId w:val="1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Proper Rights Holder</w:t>
      </w:r>
    </w:p>
    <w:p>
      <w:pPr>
        <w:numPr>
          <w:numId w:val="1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Tsilhqot'in Right to Hunt and Trap</w:t>
      </w:r>
    </w:p>
    <w:p>
      <w:pPr>
        <w:numPr>
          <w:numId w:val="1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Tsilhqot'in Right to Trade</w:t>
      </w:r>
    </w:p>
    <w:p>
      <w:pPr>
        <w:numPr>
          <w:numId w:val="1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Continuity</w:t>
      </w:r>
    </w:p>
    <w:p>
      <w:pPr>
        <w:numPr>
          <w:numId w:val="1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INFRINGEMENTS OF ABORIGINAL RIGHTS</w:t>
      </w:r>
    </w:p>
    <w:p>
      <w:pPr>
        <w:numPr>
          <w:numId w:val="1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Introduction</w:t>
      </w:r>
    </w:p>
    <w:p>
      <w:pPr>
        <w:numPr>
          <w:numId w:val="1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General Principles</w:t>
      </w:r>
    </w:p>
    <w:p>
      <w:pPr>
        <w:numPr>
          <w:numId w:val="1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Application</w:t>
      </w:r>
    </w:p>
    <w:p>
      <w:pPr>
        <w:numPr>
          <w:numId w:val="1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JUSTIFICATION OF INFRINGEMENTS OF ABORIGINAL RIGHTS</w:t>
      </w:r>
    </w:p>
    <w:p>
      <w:pPr>
        <w:numPr>
          <w:numId w:val="1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FORESTRY REGIME - SUSTAINABILITY</w:t>
      </w:r>
    </w:p>
    <w:p>
      <w:pPr>
        <w:numPr>
          <w:numId w:val="1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FIDUCIARY DUTY/HONOUR OF THE CROWN</w:t>
      </w:r>
    </w:p>
    <w:p>
      <w:pPr>
        <w:numPr>
          <w:numId w:val="1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LIMITATIONS, LACHES AND CROWN IMMUNITY</w:t>
      </w:r>
    </w:p>
    <w:p>
      <w:pPr>
        <w:numPr>
          <w:numId w:val="1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Limitations</w:t>
      </w:r>
    </w:p>
    <w:p>
      <w:pPr>
        <w:numPr>
          <w:numId w:val="1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Laches</w:t>
      </w:r>
    </w:p>
    <w:p>
      <w:pPr>
        <w:numPr>
          <w:numId w:val="1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Crown Immunity</w:t>
      </w:r>
    </w:p>
    <w:p>
      <w:pPr>
        <w:numPr>
          <w:numId w:val="1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w:t>
      </w:r>
    </w:p>
    <w:p>
      <w:pPr>
        <w:numPr>
          <w:numId w:val="1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RECONCILIATION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APPENDIX A - MAPS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Map 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Map 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Map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APPENDIX B - GLOSSARY OF TERMS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07" w:name="D.H. VICKERS J."/>
            <w:bookmarkEnd w:id="207"/>
            <w:r>
              <w:rPr>
                <w:rFonts w:ascii="arial" w:eastAsia="arial" w:hAnsi="arial" w:cs="arial"/>
                <w:b/>
                <w:color w:val="000000"/>
                <w:sz w:val="30"/>
                <w:lang w:val="en-US" w:eastAsia="en-US" w:bidi="ar-SA"/>
              </w:rPr>
              <w:t>D.H. VICKERS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1. PREFACE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Canada's multi-cultural society did not begin when various European nations colonized North America. Rather, multiculturalism on this continent had it genesis thousands of years ago with the receding of the last great ice age. Waves of Aboriginal people swept across North America, establishing themselves in diverse communities across the entire continent. While the lives of Aboriginal people were not without conflict, there are many examples of different Aboriginal cultures living side by side in peace and harmony. Today's modern, multi-cultural communities seldom, if ever, look back at the Aboriginal roots of Canadian diversity. The evidence in this case has provided me with the opportunity to acknowledge the multi-cultural roots of our Canadian culture; roots to be honoured and respected.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Every Canadian should have the good fortune I have experienced over the past several years. These proceedings provided me with a unique opportunity to learn about one of Canada's vibrant Aboriginal communities. I also had the opportunity to learn more of the history of this province and to appreciate the role of Aboriginal people in that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About two hundred years ago, Tsilhqot'in people were presented with life altering challenges. The arrival of fur traders encouraged trade in items that, up to that point in time, had provided Tsilhqot'in people with subsistence and survival. In return, Tsilhqot'in people received European goods that would forever change their lives. Their new trading partners also encouraged them to abandon their usual trading habits with neighbouring Aboriginal groups.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With the arrival of the Christian missionaries, Tsilhqot'in people faced another challenge. They were invited to accept a new spirituality in place of that which had served them for generations.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Smallpox and other diseases were introduced by European colonizers, leaving Tsilhqot'in people decimated in their numbers. Shortly thereafter, Tsilhqot'in people were directed by the federal and provincial governments to stop their migratory movements, to stay in one place and to become farmers and ranchers. The Tsilhqot'in language and culture were placed under severe stress as children were taken from their homes and required to live in residential schools.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All of these life altering changes came without the benefits of a modern social support system to assist Tsilhqot'in people through the transition that was demanded of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present Canadian community is now faced with the challenge of acknowledging past wrongs and of building a consensual and lasting reconciliation with Aboriginal people. Trials in a courtroom have the inevitable downside of producing winners and losers. My hope is that this judgment will shine new light on the path of reconciliation that lies ahead.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 want to express my gratitude to those who provided assistance to me throughout this long trial. I am greatly indebted to counsel for their assistance. Each of the many lawyers who played a role in this case made an important contribution and I thank them for all of their efforts. A trial judge relies heavily on the assistance of counsel in the course of every trial. Aboriginal law is a field that has grown and developed rapidly in the past 25 years. Counsel were of great assistance to me in my understanding of the legal principles and issues that arose throughout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Of equal importance to a trial judge is the cooperation demonstrated by counsel throughout the trial. There were many differences of opinion but counsel never failed to respect each other and to reach accommodations whenever possible, lightening the burden on me as the trial judge. Each one of them brings great credit to the legal profession.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 was assisted throughout the trial by several Interpreters and Word Spellers. In that regard, I want to express my appreciation to Ms. Susie Lulua, Word Speller for the deposition evidence of Martin Quilt; Ms. Bella Alphonse, Word Speller; Mr. William Myers, Word Speller and Interpreter; Ms. Beverly M. Quilt, Interpreter; Ms. Agnes Haller, Interpreter; Mr. Orrie Charleyboy, Interpreter and Ms. Margaret Lulua, Word Speller.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the late fall and early winter of 2003, the court convened at the Naghtaneged School at Tl'ebayi in Xeni (Nemiah Valley). I want to express my appreciation to all who made this sitting possible. I reserve a special thank you for the children of the school who allowed us the use of their language resource classroom for this historic sitting of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 also had the benefit of an excellent court staff. The first clerk assigned to the case was Ms. Lisa Wickens. With her departure to another court, Ms. Jean Lystar became our court clerk and registrar. These two women provided exceptional assistance as court clerks, registrars and keepers of the many exhibits. I am grateful to all court staff who provided assistance throughout this trial but I do reserve special thanks for the work of Ms. Wickens and Ms. Lystar.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Each year, throughout the course of this trial, I was assisted by law clerks and Judicial Administration staff. These people are the unsung heroes, working tirelessly behind the scenes. They provided support and assistance to me whenever it was needed. I thank each of them for their contributions and for their many hours of dedicated service.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trial was recorded each day by a court reporter. I believe all counsel would join me when I express our collective gratitude to Ms. Christie L. Pratt who was "our court reporter". She provided an outstanding service to the Court and now has the foundation of a Tsilhqot'in language dictionary buried in the software of her computer. I would be remiss if I did not acknowledge the work of Ms. Pauline S. Cziraky who joined us on those few days that Ms. Pratt was unavailable. Her role as a substitute for Ms. Pratt was not easy as much of the evidence in this case was unfamiliar and complex.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Ms. Kathleen Lush was our Court Cartographer and I want to express my appreciation to her for her excellent cartographic assistance.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This was a trial that took advantage of the latest technology available. I want to express my appreciation to all those people who made it possible to view the documents in electronic form. Various disks containing place names referred to by witnesses were provided from time to time and this too was of great assistance.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From September 2004 to the end of term in 2005, Ms. Becky Black provided assistance as my law clerk. In September 2006, after her call to the Bar, she returned as a Law Officer of the Court, assigned to assist me in the work that was to lie ahead. I want to express my gratitude to Ms. Black for all the assistance she has provided to me throughout the past year. Ms. Black's outstanding work has made the task of writing this judgment much less daunting than I first imagined.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It is not usual in the writing of judgments to provide a preface. This is not a usual judgment but, rather, part of a larger process of reconciliation between Tsilhqot'in people and the broader Canadian society. A reader will find the usual recitation of facts, the legal principles and the conclusions I have drawn. In the writing of a judgment, a court does not normally decide an issue if that decision is only to become unnecessary </w:t>
      </w:r>
      <w:r>
        <w:rPr>
          <w:rFonts w:ascii="arial" w:eastAsia="arial" w:hAnsi="arial" w:cs="arial"/>
          <w:i/>
          <w:color w:val="000000"/>
          <w:sz w:val="20"/>
          <w:lang w:val="en-US" w:eastAsia="en-US" w:bidi="ar-SA"/>
        </w:rPr>
        <w:t>obiter dicta</w:t>
      </w:r>
      <w:r>
        <w:rPr>
          <w:rFonts w:ascii="arial" w:eastAsia="arial" w:hAnsi="arial" w:cs="arial"/>
          <w:color w:val="000000"/>
          <w:sz w:val="20"/>
          <w:lang w:val="en-US" w:eastAsia="en-US" w:bidi="ar-SA"/>
        </w:rPr>
        <w:t xml:space="preserve"> of the court. Because the Court is engaged in the broader process of reconciliation, I have departed from the usual practice and expressed my views on some issues that might not have been addressed but for the nature of these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 have also considered it helpful to include a rather lengthy historical section with relevant and interesting extracts from historical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More importantly, this judgment features Tsilhqot'in people as they strive to assert their place as First Peoples within the fabric of Canada's multi-cultural society. The richness of their language, the story of their long history on this continent, the wisdom of their oral traditions and the strength and depth of their characters are a significant contribution to our society. Tsilhqot'in people have survived despite centuries of colonization. The central question is whether Canadians can meet the challenges of decolonization.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Important work lies ahead for the provincial and federal governments and Tsilhqot'in people. In that regard, there will have to be compromises on all sides if a just and lasting reconciliation is to be achieved.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 Tislagh Season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It was the season for tislagh (steelhead salmon). According to their oral history and traditions, Tsilhqot'in people have gathered at this time of year in the custom of the ?Esggidam (ancestors) since the time of sadanx (legendary period of time long ago). Tislagh returned to the Tsilhqox (Chilko River) and, as they had for generations, Tsilhqot'in people returned to the river crossing at Biny Gwetsel and to Tsi T'is Gunlin, just south of Henry's Crossing, to gaff tislagh. They left Xeni (Nemiah Valley) and other parts of Tsilhqot'in territory and travelled the ancient trails set by the ?Esggidam, passing Tsuniah Biny (Tsuniah Lake), onto the crossing of the Tsilhqox at Biny Gwetsel, making their way further down river past Tsi T'is Gunlin and onto Henry's Crossing.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May of 1992, during the season for tislagh, approximately 100 Tsilhqot'in people returned, not to gaff tislagh at Tsi T'is Gunlin and Biny Gwetsel but to establish a blockade at Henry's Crossing. Their purpose was clear. There would be no improvements to the bridge at this important crossing over the Tsilhqox that would allow clear cut logging to occur in Tachelach'ed (Brittany Triangle).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Xeni Gwet'in people (people of the Nemiah Valley) are charged with the sacred duty to protect the nen (land) of Tachelach'ed and the surrounding nen on behalf of all Tsilhqot'in people. They were determined that any logging in Tachelach'ed would be on their terms. The nen and their Aboriginal rights were threatened. The seasonal harvest could be interrupted in order to discharge their duty to protect the nen.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Tsilhqot'in people were frustrated and angry. What they considered "their wood" was leaving the community without any economic benefit to Tsilhqot'in people. Over 40 families were on the Xeni Gwet'in housing wait list. The wait for housing was upwards to 25 years on Tsilhqot'in Reserves. There was also high unemployment. Forestry provided very few jobs for Tsilhqot'in people and the profits from harvesting the wood did not flow to their communities.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forecasted clear cut logging was expected to interfere with their Aboriginal right to hunt and trap. Insufficient consideration had been given to sustaining their communities in the model for sustainability employed by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These were the central issues that interrupted the 1992 season for tislagh. The events that year on the bridge at Henry's Crossing, just downriver from Tis T'si Gunlin and Biny Gwetsel, subsequently spiralled into these long and costly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 Nature of the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This is an action for declarations of Tsilhqot'in Aboriginal title and certain defined Tsilhqot'in Aboriginal rights relating to land in the central region of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 The Region and People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Chilcotin Region is located in the central interior of British Columbia. The region spreads west from the Fraser River, across the Chilcotin Plateau to the Coast Mountain Range. It rises into the Chilcotin Mountain Range in the south. The Blackwater River cuts across its northern edge. The landscape of the high elevation plateau and surrounding mountain ranges is both the backdrop and the heartland of the present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Chilcotin Region is named after the Tsilhqot'in people. The Tsilhqot'in people are an Athapaskan speaking Aboriginal people. The Tsilhqot'in First Nation is comprised of the Xeni Gwet'in, the Tl'esqox (Toosey), the Tsi Del Del (Redstone), the Tletinqox-t'in (Anahim), the ?Esdilagh (Alexandria) and the Yunesit'in (Stone).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 Tsilhqot'in Population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At the present time, there are approximately 3,000 Tsilhqot'in people. They are spread across communities from Fort Alexandria to Anahim Lake. It is not clear how many Tsilhqot'in people live off reserve. Those who make their homes on the reserves are a relatively small community of people, spread over great distances. The Xeni Gwet'in community of Tsilhqot'in people is the most remote and is clearly situated on historical Tsilhqot'in territory.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Historical data reveals a population in the Tsilhqox corridor of approximately 150-200 people at the time of sovereignty assertion. Given the semi-nomadic nature of Tsilhqot'in people over 160 years ago, collecting an accurate census would have been impossible. Those who were recorded were seen or reported to be along the river corridor. Undoubtedly others, outside this river corridor, were not counted. The numbers of Tsilhqot'in people were greatly reduced in the 1860's due to an epidemic of smallpox, a fate that was met by many Aboriginal people.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Today, the Xeni Gwet'in number about 390-400 people. Of these, approximately 200 persons live on the Xeni Gwet'in reserves in Xeni and about 15 live off reserve in the Claim Area. The balance live off reserve, outside of the Claim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Chief Roger William is a member of the Tsilhqot'in First Nation and is the Chief of the Xeni Gwet'in. This action is brought by Chief William in his representative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The Xeni Gwet'in First Nations Government, also known as the Nemiah Valley Indian Band, is a body of Aboriginal persons. They constitute a "band" within the meaning of the </w:t>
      </w:r>
      <w:r>
        <w:rPr>
          <w:rFonts w:ascii="arial" w:eastAsia="arial" w:hAnsi="arial" w:cs="arial"/>
          <w:b/>
          <w:i/>
          <w:color w:val="000000"/>
          <w:sz w:val="20"/>
          <w:lang w:val="en-US" w:eastAsia="en-US" w:bidi="ar-SA"/>
        </w:rPr>
        <w:t>Indian Act</w:t>
      </w:r>
      <w:r>
        <w:rPr>
          <w:rFonts w:ascii="arial" w:eastAsia="arial" w:hAnsi="arial" w:cs="arial"/>
          <w:color w:val="000000"/>
          <w:sz w:val="20"/>
          <w:lang w:val="en-US" w:eastAsia="en-US" w:bidi="ar-SA"/>
        </w:rPr>
        <w:t xml:space="preserve">, </w:t>
      </w:r>
      <w:hyperlink r:id="rId647" w:history="1">
        <w:r>
          <w:rPr>
            <w:rFonts w:ascii="arial" w:eastAsia="arial" w:hAnsi="arial" w:cs="arial"/>
            <w:i/>
            <w:color w:val="0077CC"/>
            <w:sz w:val="20"/>
            <w:u w:val="single"/>
            <w:shd w:val="clear" w:color="auto" w:fill="FFFFFF"/>
            <w:lang w:val="en-US" w:eastAsia="en-US" w:bidi="ar-SA"/>
          </w:rPr>
          <w:t>R.S.C. 1985, c. I-5</w:t>
        </w:r>
      </w:hyperlink>
      <w:r>
        <w:rPr>
          <w:rFonts w:ascii="arial" w:eastAsia="arial" w:hAnsi="arial" w:cs="arial"/>
          <w:color w:val="000000"/>
          <w:sz w:val="20"/>
          <w:lang w:val="en-US" w:eastAsia="en-US" w:bidi="ar-SA"/>
        </w:rPr>
        <w:t>. Common Crown lands have been set apart for their use and benefit.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In 1996, the Tsilhqot'in National Government (TNG) was incorporated under the </w:t>
      </w:r>
      <w:r>
        <w:rPr>
          <w:rFonts w:ascii="arial" w:eastAsia="arial" w:hAnsi="arial" w:cs="arial"/>
          <w:b/>
          <w:i/>
          <w:color w:val="000000"/>
          <w:sz w:val="20"/>
          <w:lang w:val="en-US" w:eastAsia="en-US" w:bidi="ar-SA"/>
        </w:rPr>
        <w:t>Canada Corporations Act</w:t>
      </w:r>
      <w:r>
        <w:rPr>
          <w:rFonts w:ascii="arial" w:eastAsia="arial" w:hAnsi="arial" w:cs="arial"/>
          <w:color w:val="000000"/>
          <w:sz w:val="20"/>
          <w:lang w:val="en-US" w:eastAsia="en-US" w:bidi="ar-SA"/>
        </w:rPr>
        <w:t xml:space="preserve">, </w:t>
      </w:r>
      <w:hyperlink r:id="rId648" w:history="1">
        <w:r>
          <w:rPr>
            <w:rFonts w:ascii="arial" w:eastAsia="arial" w:hAnsi="arial" w:cs="arial"/>
            <w:i/>
            <w:color w:val="0077CC"/>
            <w:sz w:val="20"/>
            <w:u w:val="single"/>
            <w:shd w:val="clear" w:color="auto" w:fill="FFFFFF"/>
            <w:lang w:val="en-US" w:eastAsia="en-US" w:bidi="ar-SA"/>
          </w:rPr>
          <w:t>R.S.C. 1970, c. C-32</w:t>
        </w:r>
      </w:hyperlink>
      <w:r>
        <w:rPr>
          <w:rFonts w:ascii="arial" w:eastAsia="arial" w:hAnsi="arial" w:cs="arial"/>
          <w:color w:val="000000"/>
          <w:sz w:val="20"/>
          <w:lang w:val="en-US" w:eastAsia="en-US" w:bidi="ar-SA"/>
        </w:rPr>
        <w:t xml:space="preserve"> on February 28, 1996. Only five Tsilhqot'in bands are members of the TNG. The Tl'esqox Band is not a member. It maintains a membership in the Carrier/Tsilhqot'in Tribal Council.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The defendant, Her Majesty the Queen in Right of the Province of British Columbia, is that aspect of the Monarch in which the lands at issue in these proceedings are said to vest pursuant to s. 109 of the </w:t>
      </w:r>
      <w:r>
        <w:rPr>
          <w:rFonts w:ascii="arial" w:eastAsia="arial" w:hAnsi="arial" w:cs="arial"/>
          <w:b/>
          <w:i/>
          <w:color w:val="000000"/>
          <w:sz w:val="20"/>
          <w:lang w:val="en-US" w:eastAsia="en-US" w:bidi="ar-SA"/>
        </w:rPr>
        <w:t>Constitution Act, 1867</w:t>
      </w:r>
      <w:r>
        <w:rPr>
          <w:rFonts w:ascii="arial" w:eastAsia="arial" w:hAnsi="arial" w:cs="arial"/>
          <w:color w:val="000000"/>
          <w:sz w:val="20"/>
          <w:lang w:val="en-US" w:eastAsia="en-US" w:bidi="ar-SA"/>
        </w:rPr>
        <w:t xml:space="preserve">. The Regional Manager of the Cariboo Forest District is that person exercising powers and authority over forestry related matters pursuant to the </w:t>
      </w:r>
      <w:r>
        <w:rPr>
          <w:rFonts w:ascii="arial" w:eastAsia="arial" w:hAnsi="arial" w:cs="arial"/>
          <w:b/>
          <w:i/>
          <w:color w:val="000000"/>
          <w:sz w:val="20"/>
          <w:lang w:val="en-US" w:eastAsia="en-US" w:bidi="ar-SA"/>
        </w:rPr>
        <w:t>Forest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157</w:t>
      </w:r>
      <w:r>
        <w:rPr>
          <w:rFonts w:ascii="arial" w:eastAsia="arial" w:hAnsi="arial" w:cs="arial"/>
          <w:color w:val="000000"/>
          <w:sz w:val="20"/>
          <w:lang w:val="en-US" w:eastAsia="en-US" w:bidi="ar-SA"/>
        </w:rPr>
        <w:t xml:space="preserve"> (and under the predecessor legislation: the </w:t>
      </w:r>
      <w:r>
        <w:rPr>
          <w:rFonts w:ascii="arial" w:eastAsia="arial" w:hAnsi="arial" w:cs="arial"/>
          <w:b/>
          <w:i/>
          <w:color w:val="000000"/>
          <w:sz w:val="20"/>
          <w:lang w:val="en-US" w:eastAsia="en-US" w:bidi="ar-SA"/>
        </w:rPr>
        <w:t>Forest Act</w:t>
      </w:r>
      <w:r>
        <w:rPr>
          <w:rFonts w:ascii="arial" w:eastAsia="arial" w:hAnsi="arial" w:cs="arial"/>
          <w:color w:val="000000"/>
          <w:sz w:val="20"/>
          <w:lang w:val="en-US" w:eastAsia="en-US" w:bidi="ar-SA"/>
        </w:rPr>
        <w:t xml:space="preserve">, R.S.B.C. 1979, c. 140). The Office of the Regional Manager was created on January 1, 1979 and continued until March 31, 2003. At that time, the duties were assumed by the Regional Manager of the Southern Interior Forest Region. At all material times, the Regional Manager was authorized to make decisions relating to the granting of forest tenures on the lands in the Claim Area pursuant to the </w:t>
      </w:r>
      <w:r>
        <w:rPr>
          <w:rFonts w:ascii="arial" w:eastAsia="arial" w:hAnsi="arial" w:cs="arial"/>
          <w:b/>
          <w:i/>
          <w:color w:val="000000"/>
          <w:sz w:val="20"/>
          <w:lang w:val="en-US" w:eastAsia="en-US" w:bidi="ar-SA"/>
        </w:rPr>
        <w:t>Forest Act</w:t>
      </w:r>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Ministry of Forests and Range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300</w:t>
      </w:r>
      <w:r>
        <w:rPr>
          <w:rFonts w:ascii="arial" w:eastAsia="arial" w:hAnsi="arial" w:cs="arial"/>
          <w:color w:val="000000"/>
          <w:sz w:val="20"/>
          <w:lang w:val="en-US" w:eastAsia="en-US" w:bidi="ar-SA"/>
        </w:rPr>
        <w:t xml:space="preserve"> and the </w:t>
      </w:r>
      <w:r>
        <w:rPr>
          <w:rFonts w:ascii="arial" w:eastAsia="arial" w:hAnsi="arial" w:cs="arial"/>
          <w:b/>
          <w:i/>
          <w:color w:val="000000"/>
          <w:sz w:val="20"/>
          <w:lang w:val="en-US" w:eastAsia="en-US" w:bidi="ar-SA"/>
        </w:rPr>
        <w:t>Forest Practices Code of British Columbia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159</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The defendant, the Attorney General of Canada, is named in these proceedings pursuant to </w:t>
      </w:r>
      <w:r>
        <w:rPr>
          <w:rFonts w:ascii="arial" w:eastAsia="arial" w:hAnsi="arial" w:cs="arial"/>
          <w:b/>
          <w:i/>
          <w:color w:val="000000"/>
          <w:sz w:val="20"/>
          <w:lang w:val="en-US" w:eastAsia="en-US" w:bidi="ar-SA"/>
        </w:rPr>
        <w:t>Crown Liability and Proceedings Act</w:t>
      </w:r>
      <w:r>
        <w:rPr>
          <w:rFonts w:ascii="arial" w:eastAsia="arial" w:hAnsi="arial" w:cs="arial"/>
          <w:color w:val="000000"/>
          <w:sz w:val="20"/>
          <w:lang w:val="en-US" w:eastAsia="en-US" w:bidi="ar-SA"/>
        </w:rPr>
        <w:t xml:space="preserve">, </w:t>
      </w:r>
      <w:hyperlink r:id="rId568" w:history="1">
        <w:r>
          <w:rPr>
            <w:rFonts w:ascii="arial" w:eastAsia="arial" w:hAnsi="arial" w:cs="arial"/>
            <w:i/>
            <w:color w:val="0077CC"/>
            <w:sz w:val="20"/>
            <w:u w:val="single"/>
            <w:shd w:val="clear" w:color="auto" w:fill="FFFFFF"/>
            <w:lang w:val="en-US" w:eastAsia="en-US" w:bidi="ar-SA"/>
          </w:rPr>
          <w:t>R.S.C. 1985, c. C-50, s. 23</w:t>
        </w:r>
      </w:hyperlink>
      <w:r>
        <w:rPr>
          <w:rFonts w:ascii="arial" w:eastAsia="arial" w:hAnsi="arial" w:cs="arial"/>
          <w:color w:val="000000"/>
          <w:sz w:val="20"/>
          <w:lang w:val="en-US" w:eastAsia="en-US" w:bidi="ar-SA"/>
        </w:rPr>
        <w:t>(1).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These actions were initiated to prevent the harvesting of timber in the Claim Area. Forest companies with rights and plans to harvest timber were parties to the action in its early stages. When these companies abandoned plans to log in the Claim Area, the proceedings against them were discontinued.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 Description of the Claim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i. Tachelach'ed and the Trapline Territory</w:t>
      </w:r>
      <w:r>
        <w:rPr>
          <w:rFonts w:ascii="arial" w:eastAsia="arial" w:hAnsi="arial" w:cs="arial"/>
          <w:sz w:val="20"/>
          <w:lang w:val="en-US" w:eastAsia="en-US" w:bidi="ar-SA"/>
        </w:rPr>
        <w:cr/>
      </w:r>
    </w:p>
    <w:p>
      <w:pPr>
        <w:numPr>
          <w:numId w:val="1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Landscape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plaintiff makes claims with respect to lands known as the Brittany Triangle and the Trapline Territory. The Brittany Triangle is known to Tsilhqot'in people as Tachelach'ed. It refers to the land enclosed by the Tsilhqox and Dasiqox (Taseko River) with a southern boundary running through Xeni.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Tachelach'ed encompasses plateau, mountain and transition zones (between mountains and plateau). It falls within the Cariboo Forest Region of British Columbia. The Chilcotin Plateau, located in the central and northern portion of the Claim Area, consists of level to gently rolling terrain. The southern and western halves of the Claim Area are made up of the Chilcotin and Pacific Ranges. The transition zone between these two areas is relatively narrow. Elevations on the plateau range from 1,000 to 1,500 m. Deeply incised valleys have been cut into the plateau by the major river systems. The Chilcotin and Pacific Ranges are rugged glacial mountains that rise to approximately 2,800 m elevation.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boundaries of Tachelach'ed are described as follows: the point of commencement is marked by the confluence of the Tsilhqox and Dasiqox. The eastern boundary follows the Dasiqox to the Davidson Bridge. The southern boundary follows the Nemiah Valley Road in a westerly direction until it reaches Xeni Biny (Konni Lake), then follows the southern shore of Xeni Biny to its confluence with Xeni Yeqox (Nemiah Creek). It then follows Xeni Yeqox to the eastern shore of Tsilhqox Biny (Chilko Lake). The western boundary follows the eastern shore of Tsilhqox Biny in a northerly direction to the Tsilhqox. It then continues along the Tsilhqox until the point of commencement, the confluence of the Tsilhqox and Dasiqox.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area of Tachelach'ed, including the geographic area which overlaps the Trapline Territory, totals 141,769 hectares. The area of Tachelach'ed, excluding the geographic area which overlaps the Trapline Territory, totals 100,395 hectares.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For the purposes of this action, Tachelach'ed does not include the lands within the following Indian Reserves: Chilco Lake 1; Chilco Lake 1A; Garden 2; Garden 2A; Lezbye No. 6; Lohbiee 3; Tanakut 4 and Tsunnia Lake.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Trapline Territory is the land within the boundary of Trapline Licence #0504T003 issued by British Columbia and does not include lands within the Indian Reserves noted in the preceding paragraph.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To orient the reader of this judgment, I have attached as Appendix A, three maps. Map 1 situates the Claim Area in the Province of British Columbia. The large body of water within the Claim Area is Tsilhqox Biny. Map 2 is a portion of the locater base map marked as exhibit 10 in these proceedings. Tachelach'ed is outlined with a solid yellow line; the Trapline Territory, east and west is outlined with a broken yellow line. Map 3 locates Tsilhqot'in sites inside and outside the Claim Area and is intended to assist in an understanding of my later review of Tsilhqot'in occupation of the Claim Area.</w:t>
      </w:r>
      <w:r>
        <w:rPr>
          <w:rFonts w:ascii="arial" w:eastAsia="arial" w:hAnsi="arial" w:cs="arial"/>
          <w:sz w:val="20"/>
          <w:lang w:val="en-US" w:eastAsia="en-US" w:bidi="ar-SA"/>
        </w:rPr>
        <w:cr/>
      </w:r>
    </w:p>
    <w:p>
      <w:pPr>
        <w:numPr>
          <w:numId w:val="1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Climate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Five distinct biogeoclimatic zones are found within the Claim Area. I rely on the evidence of Brian T. Guy, Ph.D., a hydrologist, in describing the climate of the Claim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Tachelach'ed is located primarily in the Sub-Boreal Pine Spruce zone. The lowest elevations within the major valleys are within the Interior Douglas Fir zone. The Montane Spruce, Englemann Spruce Subalpin Fir, and Alpine Tundra zones dominate the Trapline areas to the west and south of Tachelach'ed (within the Chilcotin Ranges) at the highest elevation.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climate in the Claim Area is largely controlled by location and physiography. The exposed Chilcotin Plateau portion of the Claim Area has a moderate continental climate with cold winters, warm summers and relatively low levels of precipitation. The movement of continental arctic air in the fall and winter and continental tropical air in the summer result in large seasonal variability in air temperature across the Claim Area. Moisture availability to the plateau is limited primarily by the Coast Mountains, which dewater moist maritime air coming from the Pacific.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Pacific and Chilcotin Ranges act as a partial barrier between the interior continental systems and coastal systems. Air temperatures are significantly colder in the high mountains and milder in the low elevation valleys. Precipitation values in the mountains are highest in the winter months (September to February) due to a continuous succession of frontal systems moving eastward from the Pacific. Glaciers in the Chilcotin and Pacific Ranges reflect the higher winter precipitation values. In the summer months, dry weather is more common.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Precipitation on the plateau is highest from June through August. During these three months, the plateau receives nearly half of its annual precipitation (which averages 337.6 mm). Extreme daily precipitation events of greater than 25 mm can occur throughout the year. In summer, daytime high temperatures are between 18 degrees and 22 degrees centigrade.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Talhiqox Biny (Tatlayoko Lake), located on the western boundary of the Trapline Territory, is situated in the valley bottom between the Chilcotin and Pacific Ranges. Here the climate exhibits characteristics of both the plateau and the mountain regions of the Claim Area. Day time temperatures during the summer are generally between 18 degrees and 23 degrees centigrade at Talhiqox Biny. Winter night time minimum temperatures typically range from -6 degrees to -12 degrees centigrade.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In the valley bottom, the wettest months occur between October and January. Nearly half of the annual precipitation, which averages 434.2 mm, falls during these four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Tsilhqox and Dasiqox both flow through large valley bottom lakes, Tsilhqox Biny and Dasiqox Biny, at the northern limit of the mountains before they begin their journey across the plateau. These two rivers mark the boundaries of Tachelach'ed and join together at its northern tip. There they continue on to the Chezqox (Chilcotin) River which drains into the Fraser River. These river systems have historically provided a variety of salmon runs, an important source of food for First Nations people and in particular, the Tsilhqot'in people. Other significant valley bottom lakes near the mountain-plateau transition include Talhiqox Biny, Ts'uni?ad Biny (Tsuniah Lake), Xeni Biny, ?Elhghatish Biny (Vedan Lake) and Nabi Tsi Biny (Elkin Lake). Streams originating on the plateau tend to be smaller and tend to have a more meandering habit characterized by frequent lakes and wetlands. There are some significant shallow plateau lakes in the Claim Area including Tsanigan Biny (Chaunigan Lake), Mainguy Lake, Natasewed Biny (Brittany Lake), Naghatalhchoz or Chelquoit Biny (Big Eagle Lake), Gwedzin Biny (Cochin Lake), Lhuy Nachasgwengulin (Little Eagle Lake) and many small lakes.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ii. Forest Cover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Claim Area is situated in the Williams Lake Timber Supply Area. Within that larger area, forestry is responsible for more jobs than any other component of the economy. Other major areas of the economy include mining, tourism, farming and ranching.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nature of the forest cover is dependant on climate and terrain. The dominant species are pine, spruce and Douglas fir. A major infestation of Mountain Pine Beetle has had a profound impact on the pine forests in the Claim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iii. Public Lands/Crown Lands</w:t>
      </w:r>
      <w:r>
        <w:rPr>
          <w:rFonts w:ascii="arial" w:eastAsia="arial" w:hAnsi="arial" w:cs="arial"/>
          <w:sz w:val="20"/>
          <w:lang w:val="en-US" w:eastAsia="en-US" w:bidi="ar-SA"/>
        </w:rPr>
        <w:cr/>
      </w:r>
    </w:p>
    <w:p>
      <w:pPr>
        <w:numPr>
          <w:numId w:val="1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Provincial Parks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Ts'yl?os Provincial Park totals approximately 233,000 hectares. It is located in both Tachelach'ed and the Trapline Territories. Nuntsi Provincial Park is situated in the central eastern portion of Tachelach'ed and totals 20,570 hectares.</w:t>
      </w:r>
      <w:r>
        <w:rPr>
          <w:rFonts w:ascii="arial" w:eastAsia="arial" w:hAnsi="arial" w:cs="arial"/>
          <w:sz w:val="20"/>
          <w:lang w:val="en-US" w:eastAsia="en-US" w:bidi="ar-SA"/>
        </w:rPr>
        <w:cr/>
      </w:r>
    </w:p>
    <w:p>
      <w:pPr>
        <w:numPr>
          <w:numId w:val="1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Fishing Station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A Federal Department of Fisheries station is located at the outlet of Tsilhqox Biny. This is an important location for the management of the Tsilhqox salmon run which itself is a component of the larger Fraser River salmon runs.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g. Xeni Gwet'in Declaration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On August 23, 1989, the Xeni Gwet'in people made a declaration concerning the Nemiah Aboriginal Wilderness Preserve which included Tachelach'ed and the Trapline Territory. The Xeni Gwet'in people declared that within the Nemiah Aboriginal Wilderness Preserve, the following rules were to apply:</w:t>
      </w:r>
      <w:r>
        <w:rPr>
          <w:rFonts w:ascii="arial" w:eastAsia="arial" w:hAnsi="arial" w:cs="arial"/>
          <w:sz w:val="20"/>
          <w:lang w:val="en-US" w:eastAsia="en-US" w:bidi="ar-SA"/>
        </w:rPr>
        <w:cr/>
      </w:r>
    </w:p>
    <w:p>
      <w:pPr>
        <w:numPr>
          <w:numId w:val="1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shall be no commercial logging. Only local cutting of trees for our own needs i.e., firewood, housing, fencing, native uses, etc.</w:t>
      </w:r>
    </w:p>
    <w:p>
      <w:pPr>
        <w:numPr>
          <w:numId w:val="1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shall be no mining or mining explorations.</w:t>
      </w:r>
    </w:p>
    <w:p>
      <w:pPr>
        <w:numPr>
          <w:numId w:val="1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shall be no commercial road building.</w:t>
      </w:r>
    </w:p>
    <w:p>
      <w:pPr>
        <w:numPr>
          <w:numId w:val="1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All-terrain vehicles and skidoos shall only be permitted for trapping purposes.</w:t>
      </w:r>
    </w:p>
    <w:p>
      <w:pPr>
        <w:numPr>
          <w:numId w:val="1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shall be no flooding or dam construction on Chilko, Taseko, and Tatlayoko lakes.</w:t>
      </w:r>
    </w:p>
    <w:p>
      <w:pPr>
        <w:numPr>
          <w:numId w:val="1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This is the spiritual and economic homeland of our people. We will continue in perpetuity:</w:t>
      </w:r>
    </w:p>
    <w:p>
      <w:pPr>
        <w:numPr>
          <w:numId w:val="1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have and exercise our traditional rights of hunting, fishing, trapping, gathering, and natural resources.</w:t>
      </w:r>
    </w:p>
    <w:p>
      <w:pPr>
        <w:numPr>
          <w:numId w:val="1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carry on our traditional ranching way of life.</w:t>
      </w:r>
    </w:p>
    <w:p>
      <w:pPr>
        <w:numPr>
          <w:numId w:val="1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practice our traditional native medicine, religion, sacred, and spiritual ways.</w:t>
      </w:r>
    </w:p>
    <w:p>
      <w:pPr>
        <w:numPr>
          <w:numId w:val="1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we are prepared to share our Nemiah Aboriginal Wilderness Preserve with non-natives in the following ways:</w:t>
      </w:r>
    </w:p>
    <w:p>
      <w:pPr>
        <w:numPr>
          <w:numId w:val="1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 our permission visitors may come and view and photograph our beautiful land.</w:t>
      </w:r>
    </w:p>
    <w:p>
      <w:pPr>
        <w:numPr>
          <w:numId w:val="17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We will issue permits, subject to our conservation rules, for hunting and fishing within our Preserve.</w:t>
      </w:r>
    </w:p>
    <w:p>
      <w:pPr>
        <w:numPr>
          <w:numId w:val="17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respectful use of our Preserve by canoeists, hikers, light campers, and other visitors is encouraged, subject to our system of permits.</w:t>
      </w:r>
    </w:p>
    <w:p>
      <w:pPr>
        <w:numPr>
          <w:numId w:val="17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We are prepared to enforce and defend our Aboriginal rights in any way we are 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 DETAILS OF THE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 Chronology of the Litigation and Related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In 1983, Carrier Lumber Ltd. (Carrier) was granted a forest licence authorizing logging activities in the Trapline Territory.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In 1989, Carrier submitted a Forest Development Plan (FDP). This FDP proposed logging in the Trapline Territory and was approved during that year. Carrier was granted a cutting permit for blocks in the Trapline Territory in 1990.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On August 23, 1989, as a consequence of this and other forestry activities in the surrounding areas, the Xeni Gwet'in people issued the Xeni Gwet'in (Nemiah) Declaration.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On December 14, 1989, the plaintiff commenced Action No. 89/2573 against British Columbia (the "Original Action"). The plaintiff claimed essentially the same relief as claimed in this action, No. 90/0913 (the "Nemiah Trapline Action" or the "Trapline Action"). The Original Action was discontinued when the Trapline Action was commenced.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Nemiah Trapline Action was commenced in the Supreme Court of British Columbia on April 18, 1990 against the Regional Manager of the Cariboo Forest Region, British Columbia, Carrier and other forest companies. At that time, the plaintiff sought injunctions restraining the defendants from clear-cut logging within the Trapline Territory.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On December 17, 1990, Millward J. made a consent order accepting Carrier's undertaking not to apply to British Columbia for timber cutting permits in the Nemiah Trapline without notice.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proceedings against the other forest companies were eventually discontinued.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On October 11, 1991, this Court issued an injunction by consent, enjoining Carrier from logging (or any other preparatory work for logging) within the Trapline Territory until the trial of this matter. Carrier was specifically enjoined from logging certain named cut blocks located within the Trapline Territory.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In 1998, the Trapline Action was amended to advance claims for Tsilhqot'in Aboriginal title, damages for infringement of Aboriginal rights and title, compensation for breach of fiduciary duty, declaratory orders concerning the issuance and use of certain forest licences and injunctions restraining the issuance of cutting permits.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Following the injunction restraining logging in the Trapline Territory, forest companies indicated interest in logging within Tachelach'ed (Brittany Triangle). Logging in this part of the Claim Area required an upgrade of the bridge at Henry's Crossing, a bridge spanning the Tsilhqox (Chilko River) and providing access to Tachelach'ed.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On May 7, 1992, Tsilhqot'in members mounted a blockade to prevent work on the bridge at Henry's Crossing. This activity attracted the attention of the provincial government and on May 13, 1992, Premier Michael Harcourt promised the Xeni Gwet'in people that there would be no further logging in their traditional territory without their consent.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In 1992, the Xeni Gwet'in people commissioned a sustainable forestry plan for Tachelach'ed lands. This plan was rejected by the Ministry of Forests. Ministry officials proposed various logging plans and sought the views of Xeni Gwet'in people. Between 1994 and 1997, Xeni Gwet'in people voted against logging plans for Tachelach'ed in a series of community referenda.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dispute between Ministry of Forests officials and the Xeni Gwet'in people centred on the control of logging in Tachelach'ed. Tsilhqot'in people sought a right of first refusal with respect to any logging activities. They argued that such a right was essential to the maintenance of their traditional way of life. Ministry officials declined to grant such a right, arguing that there was no legislative authority that enabled them to grant such a concession to Tsilhqot'in people.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On January 12, 1994, Ts'il?os Provincial Park was established as a Class A park under the </w:t>
      </w:r>
      <w:r>
        <w:rPr>
          <w:rFonts w:ascii="arial" w:eastAsia="arial" w:hAnsi="arial" w:cs="arial"/>
          <w:b/>
          <w:i/>
          <w:color w:val="000000"/>
          <w:sz w:val="20"/>
          <w:lang w:val="en-US" w:eastAsia="en-US" w:bidi="ar-SA"/>
        </w:rPr>
        <w:t>Park Act</w:t>
      </w:r>
      <w:r>
        <w:rPr>
          <w:rFonts w:ascii="arial" w:eastAsia="arial" w:hAnsi="arial" w:cs="arial"/>
          <w:color w:val="000000"/>
          <w:sz w:val="20"/>
          <w:lang w:val="en-US" w:eastAsia="en-US" w:bidi="ar-SA"/>
        </w:rPr>
        <w:t>, R.S.B.C. 1979, c. 309 by Order-in-Council No. 64.12. At the centre of this wilderness park is Ts'il?os (Mount Tatlow). Ts'il?os Park comprises 39% of the Claim Area. In its amended statement of defence, British Columbia admits that Xeni Gwet'in people hold Aboriginal hunting and trapping rights for subsistence and ceremonial use throughout Ts'il?os Park.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On February 16, 1994, Tsilhqot'in Chiefs met with members of the British Columbia Cabinet to discuss, amongst other things, forestry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On January 1, 1997, British Columbia issued Forest Licence A54417 to Timberwest Forest Limited. This forest licence permitted logging within the Trapline Territory and Tachelach'ed. On January 8, 1997, the Xeni Gwet'in filed a notice of intention to proceed with the Nemiah Trapline Action. Harvesting rights under this licence were transferred to Riverside Forest Products (Soda Creek) Limited on June 23,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On March 1, 1997, British Columbia granted Forest Licences A55901 to Lignum Limited; A55902 to West Fraser Mills Limited; A55904 to RFP Timber Ltd.; and A55905 to Jackpine Forest Products Ltd., which permitted additional logging of the Trapline Territory and Tachelach'ed.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In the fall of 1998, with the assistance of the David Suzuki Foundation, the Xeni Gwet'in began eco-system based planning for forestry and cultural tourism in the Trapline Territory and Tachelach'ed.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On November 1, 1998, British Columbia re-issued Forest Licences A20016 to RFP Timber Ltd. and A20019 to Riverside Forest Products Limited which would have permitted further logging of the Trapline Territory and Tachelach'ed. Both of these renewed licences replaced licences of the same number dated November 1, 1993.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plaintiff commenced Action No. 98/4847 (the "Brittany Triangle Action") on December 18, 1998 against British Columbia, Riverside Forest Products Ltd. and others, seeking declarations similar to those in the Nemiah Trapline Action with respect to the lands known as Tachelach'ed.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On February 19, 2001, the plaintiff filed a fresh statement of claim in the Brittany Triangle Action. On March 9, 2001, British Columbia filed a fresh statement of defence in the Brittany Triangle Action setting out British Columbia's reserve creation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On November 2, 1999, I dismissed an application brought by British Columbia to strike the representative claim for Aboriginal title in both actions: </w:t>
      </w:r>
      <w:r>
        <w:rPr>
          <w:rFonts w:ascii="arial" w:eastAsia="arial" w:hAnsi="arial" w:cs="arial"/>
          <w:b/>
          <w:i/>
          <w:color w:val="000000"/>
          <w:sz w:val="20"/>
          <w:lang w:val="en-US" w:eastAsia="en-US" w:bidi="ar-SA"/>
        </w:rPr>
        <w:t>Nemaiah Valley Indian Band v. Riverside Forest Products</w:t>
      </w:r>
      <w:r>
        <w:rPr>
          <w:rFonts w:ascii="arial" w:eastAsia="arial" w:hAnsi="arial" w:cs="arial"/>
          <w:color w:val="000000"/>
          <w:sz w:val="20"/>
          <w:lang w:val="en-US" w:eastAsia="en-US" w:bidi="ar-SA"/>
        </w:rPr>
        <w:t xml:space="preserve"> </w:t>
      </w:r>
      <w:hyperlink r:id="rId649" w:history="1">
        <w:r>
          <w:rPr>
            <w:rFonts w:ascii="arial" w:eastAsia="arial" w:hAnsi="arial" w:cs="arial"/>
            <w:i/>
            <w:color w:val="0077CC"/>
            <w:sz w:val="20"/>
            <w:u w:val="single"/>
            <w:shd w:val="clear" w:color="auto" w:fill="FFFFFF"/>
            <w:lang w:val="en-US" w:eastAsia="en-US" w:bidi="ar-SA"/>
          </w:rPr>
          <w:t>(1999), 37 C.P.C. (4th) 101</w:t>
        </w:r>
      </w:hyperlink>
      <w:r>
        <w:rPr>
          <w:rFonts w:ascii="arial" w:eastAsia="arial" w:hAnsi="arial" w:cs="arial"/>
          <w:color w:val="000000"/>
          <w:sz w:val="20"/>
          <w:lang w:val="en-US" w:eastAsia="en-US" w:bidi="ar-SA"/>
        </w:rPr>
        <w:t>, 1999 Carswell BC 2438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parties consented to the consolidation of the Trapline Action and the Brittany Triangle Action. On February 21, 2000, a notice of trial was issued setting the trial date in both actions for September 10,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On October 5, 2000, upon application by the plaintiff, I made an order that Canada be added as a defendant in the Brittany Triangle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On November 2, 2000, Canada was added as a defendant in the Nemiah Trapline Action, by consent.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On February 2001, a fresh statement of claim was filed and, in March 2001, fresh statements of defence were filed by British Columbia and by Canada. In its statement of defence, Canada did not support British Columbia's reserve creation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Upon application by Canada on March 19, 2001 the trial of the action was adjourned to a date to be fixed.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On April 18, 2001, a Ministry of Forests official confirmed that logging and road building in the Claim Area were inevitable, as the decision to permit harvesting in the disputed area was made at the time the licences were issued early in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On April 4, 2002, an order was made consolidating the Nemiah Trapline Action and the Brittany Triangle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On August 14, 2002, I dismissed an application by the defendant, British Columbia, for an order compelling the plaintiff to provide notice of the plaintiff's claims to all land or resource use tenure holders, or applicants for tenure, whose interests may be affected by the litigation: </w:t>
      </w:r>
      <w:r>
        <w:rPr>
          <w:rFonts w:ascii="arial" w:eastAsia="arial" w:hAnsi="arial" w:cs="arial"/>
          <w:b/>
          <w:i/>
          <w:color w:val="000000"/>
          <w:sz w:val="20"/>
          <w:lang w:val="en-US" w:eastAsia="en-US" w:bidi="ar-SA"/>
        </w:rPr>
        <w:t>William v. Riverside Forest Products Limited</w:t>
      </w:r>
      <w:r>
        <w:rPr>
          <w:rFonts w:ascii="arial" w:eastAsia="arial" w:hAnsi="arial" w:cs="arial"/>
          <w:color w:val="000000"/>
          <w:sz w:val="20"/>
          <w:lang w:val="en-US" w:eastAsia="en-US" w:bidi="ar-SA"/>
        </w:rPr>
        <w:t xml:space="preserve">, </w:t>
      </w:r>
      <w:hyperlink r:id="rId650" w:history="1">
        <w:r>
          <w:rPr>
            <w:rFonts w:ascii="arial" w:eastAsia="arial" w:hAnsi="arial" w:cs="arial"/>
            <w:i/>
            <w:color w:val="0077CC"/>
            <w:sz w:val="20"/>
            <w:u w:val="single"/>
            <w:shd w:val="clear" w:color="auto" w:fill="FFFFFF"/>
            <w:lang w:val="en-US" w:eastAsia="en-US" w:bidi="ar-SA"/>
          </w:rPr>
          <w:t>2002 BCSC 1199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On September 13, 2002, the plaintiff filed a consolidated fresh statement of claim. On October 22, 2002, British Columbia filed a consolidated fresh statement of defence. This new pleading did not contain the reserve creation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The trial of the consolidated action began on November 18, 2002. On November 20, 2002, I dismissed an application by Canada to be removed as a party: </w:t>
      </w:r>
      <w:r>
        <w:rPr>
          <w:rFonts w:ascii="arial" w:eastAsia="arial" w:hAnsi="arial" w:cs="arial"/>
          <w:b/>
          <w:i/>
          <w:color w:val="000000"/>
          <w:sz w:val="20"/>
          <w:lang w:val="en-US" w:eastAsia="en-US" w:bidi="ar-SA"/>
        </w:rPr>
        <w:t>William v. British Columbia</w:t>
      </w:r>
      <w:r>
        <w:rPr>
          <w:rFonts w:ascii="arial" w:eastAsia="arial" w:hAnsi="arial" w:cs="arial"/>
          <w:color w:val="000000"/>
          <w:sz w:val="20"/>
          <w:lang w:val="en-US" w:eastAsia="en-US" w:bidi="ar-SA"/>
        </w:rPr>
        <w:t xml:space="preserve">, </w:t>
      </w:r>
      <w:hyperlink r:id="rId651" w:history="1">
        <w:r>
          <w:rPr>
            <w:rFonts w:ascii="arial" w:eastAsia="arial" w:hAnsi="arial" w:cs="arial"/>
            <w:i/>
            <w:color w:val="0077CC"/>
            <w:sz w:val="20"/>
            <w:u w:val="single"/>
            <w:shd w:val="clear" w:color="auto" w:fill="FFFFFF"/>
            <w:lang w:val="en-US" w:eastAsia="en-US" w:bidi="ar-SA"/>
          </w:rPr>
          <w:t>2002 BCSC 1904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On January 8, 2003, I struck out the claim against Riverside Forest Products Ltd.: </w:t>
      </w:r>
      <w:r>
        <w:rPr>
          <w:rFonts w:ascii="arial" w:eastAsia="arial" w:hAnsi="arial" w:cs="arial"/>
          <w:b/>
          <w:i/>
          <w:color w:val="000000"/>
          <w:sz w:val="20"/>
          <w:lang w:val="en-US" w:eastAsia="en-US" w:bidi="ar-SA"/>
        </w:rPr>
        <w:t>William v. British Columbia</w:t>
      </w:r>
      <w:r>
        <w:rPr>
          <w:rFonts w:ascii="arial" w:eastAsia="arial" w:hAnsi="arial" w:cs="arial"/>
          <w:color w:val="000000"/>
          <w:sz w:val="20"/>
          <w:lang w:val="en-US" w:eastAsia="en-US" w:bidi="ar-SA"/>
        </w:rPr>
        <w:t xml:space="preserve">, </w:t>
      </w:r>
      <w:hyperlink r:id="rId652" w:history="1">
        <w:r>
          <w:rPr>
            <w:rFonts w:ascii="arial" w:eastAsia="arial" w:hAnsi="arial" w:cs="arial"/>
            <w:i/>
            <w:color w:val="0077CC"/>
            <w:sz w:val="20"/>
            <w:u w:val="single"/>
            <w:shd w:val="clear" w:color="auto" w:fill="FFFFFF"/>
            <w:lang w:val="en-US" w:eastAsia="en-US" w:bidi="ar-SA"/>
          </w:rPr>
          <w:t>2003 BCSC 2036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On February 14, 2003, I allowed the plaintiff to amend the statement of claim and dismissed an application by British Columbia for an order striking out the statement of claim on the basis that it disclosed no reasonable claim, or was otherwise an abuse of process: </w:t>
      </w:r>
      <w:r>
        <w:rPr>
          <w:rFonts w:ascii="arial" w:eastAsia="arial" w:hAnsi="arial" w:cs="arial"/>
          <w:b/>
          <w:i/>
          <w:color w:val="000000"/>
          <w:sz w:val="20"/>
          <w:lang w:val="en-US" w:eastAsia="en-US" w:bidi="ar-SA"/>
        </w:rPr>
        <w:t>William v. British Columbia</w:t>
      </w:r>
      <w:r>
        <w:rPr>
          <w:rFonts w:ascii="arial" w:eastAsia="arial" w:hAnsi="arial" w:cs="arial"/>
          <w:color w:val="000000"/>
          <w:sz w:val="20"/>
          <w:lang w:val="en-US" w:eastAsia="en-US" w:bidi="ar-SA"/>
        </w:rPr>
        <w:t xml:space="preserve">, </w:t>
      </w:r>
      <w:hyperlink r:id="rId653" w:history="1">
        <w:r>
          <w:rPr>
            <w:rFonts w:ascii="arial" w:eastAsia="arial" w:hAnsi="arial" w:cs="arial"/>
            <w:i/>
            <w:color w:val="0077CC"/>
            <w:sz w:val="20"/>
            <w:u w:val="single"/>
            <w:shd w:val="clear" w:color="auto" w:fill="FFFFFF"/>
            <w:lang w:val="en-US" w:eastAsia="en-US" w:bidi="ar-SA"/>
          </w:rPr>
          <w:t>2003 BCSC 249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On June 16, 2003, the plaintiff filed an amended statement of claim. On June 19, 2003, Canada filed an amended statement of defence. On June 26, 2003, British Columbia filed a statement of defence. On June 27, 2003, the plaintiff filed a reply to British Columbia's statement of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xml:space="preserve">  On February 6, 2004, I made a ruling on the admission of oral history evidence. In that ruling I established a procedure for the preliminary examination of lay witnesses who intended to offer oral history evidence. The purpose of that procedure was to assist the court in assessing the necessity and reliability of oral history evidence and ultimately, its admissibility: </w:t>
      </w:r>
      <w:r>
        <w:rPr>
          <w:rFonts w:ascii="arial" w:eastAsia="arial" w:hAnsi="arial" w:cs="arial"/>
          <w:b/>
          <w:i/>
          <w:color w:val="000000"/>
          <w:sz w:val="20"/>
          <w:lang w:val="en-US" w:eastAsia="en-US" w:bidi="ar-SA"/>
        </w:rPr>
        <w:t>William v. British Columbia</w:t>
      </w:r>
      <w:r>
        <w:rPr>
          <w:rFonts w:ascii="arial" w:eastAsia="arial" w:hAnsi="arial" w:cs="arial"/>
          <w:color w:val="000000"/>
          <w:sz w:val="20"/>
          <w:lang w:val="en-US" w:eastAsia="en-US" w:bidi="ar-SA"/>
        </w:rPr>
        <w:t xml:space="preserve">, </w:t>
      </w:r>
      <w:hyperlink r:id="rId654" w:history="1">
        <w:r>
          <w:rPr>
            <w:rFonts w:ascii="arial" w:eastAsia="arial" w:hAnsi="arial" w:cs="arial"/>
            <w:i/>
            <w:color w:val="0077CC"/>
            <w:sz w:val="20"/>
            <w:u w:val="single"/>
            <w:shd w:val="clear" w:color="auto" w:fill="FFFFFF"/>
            <w:lang w:val="en-US" w:eastAsia="en-US" w:bidi="ar-SA"/>
          </w:rPr>
          <w:t>2004 BCSC 148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xml:space="preserve">  On May 6, 2004, I directed counsel to frame an issue of law or fact, or partly of law and partly of fact, pursuant to Rule 33. Counsel were unable to frame such a issue by consent. On July 16, 2004, following submissions by counsel, I concluded that this case or specific issues arising in this case ought not to proceed as a stated case pursuant to Rule 33: </w:t>
      </w:r>
      <w:r>
        <w:rPr>
          <w:rFonts w:ascii="arial" w:eastAsia="arial" w:hAnsi="arial" w:cs="arial"/>
          <w:b/>
          <w:i/>
          <w:color w:val="000000"/>
          <w:sz w:val="20"/>
          <w:lang w:val="en-US" w:eastAsia="en-US" w:bidi="ar-SA"/>
        </w:rPr>
        <w:t>William v. British Columbia</w:t>
      </w:r>
      <w:r>
        <w:rPr>
          <w:rFonts w:ascii="arial" w:eastAsia="arial" w:hAnsi="arial" w:cs="arial"/>
          <w:color w:val="000000"/>
          <w:sz w:val="20"/>
          <w:lang w:val="en-US" w:eastAsia="en-US" w:bidi="ar-SA"/>
        </w:rPr>
        <w:t xml:space="preserve">, </w:t>
      </w:r>
      <w:hyperlink r:id="rId655" w:history="1">
        <w:r>
          <w:rPr>
            <w:rFonts w:ascii="arial" w:eastAsia="arial" w:hAnsi="arial" w:cs="arial"/>
            <w:i/>
            <w:color w:val="0077CC"/>
            <w:sz w:val="20"/>
            <w:u w:val="single"/>
            <w:shd w:val="clear" w:color="auto" w:fill="FFFFFF"/>
            <w:lang w:val="en-US" w:eastAsia="en-US" w:bidi="ar-SA"/>
          </w:rPr>
          <w:t>2004 BCSC 964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The trial of this action has consumed 339 trial days. It has had a long history and in its initial stages, a faltering start. The foregoing summary does not include a description of the various motions in this court on the issue of costs, two of which were appealed to the Court of Appeal. One of these decisions was also considered on appeal in the Supreme Court of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The triggering events for these proceedings were proposals to harvest timber in the Claim Area. There is a fundamental dispute between the Province and Tsilhqot'in people on the issue of land use. The result of this litigation has been to bring logging in the Claim Area to a halt.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In the late fall and early winter of 2003, the court convened at the Naghataneqed School at Tl'ebayi in Xeni (Nemiah Valley). As our time at Xeni spanned several weeks during winter months, travel throughout the Claim Area was not possible. Thus, I was only able to see a small portion of Xeni and Tachelach'ed by traveling the short distance from the Davidson Bridge over the Dasiqox (Taseko River) to the eastern shore of Tsilhqox Biny (Chilko Lake).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The parties filed written argument and, by agreement and with my consent, there were no oral arguments.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 Issues to be Decided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The issues raised by these proceedings include the following:</w:t>
      </w:r>
      <w:r>
        <w:rPr>
          <w:rFonts w:ascii="arial" w:eastAsia="arial" w:hAnsi="arial" w:cs="arial"/>
          <w:sz w:val="20"/>
          <w:lang w:val="en-US" w:eastAsia="en-US" w:bidi="ar-SA"/>
        </w:rPr>
        <w:cr/>
      </w:r>
    </w:p>
    <w:p>
      <w:pPr>
        <w:numPr>
          <w:numId w:val="17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Are the Tsilhqot'in people entitled to a declaration of Aboriginal title to all or part of the Claim Area?</w:t>
      </w:r>
    </w:p>
    <w:p>
      <w:pPr>
        <w:numPr>
          <w:numId w:val="17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Are the Tsilhqot'in people entitled to a declaration of Aboriginal rights to hunt and trap birds and animals throughout all or part of the Claim Area for the purposes of securing food, clothing, shelter, mats, blankets and crafts, as well as for spiritual, ceremonial, and cultural uses, inclusive of a right to capture and use horses for transportation and work?</w:t>
      </w:r>
    </w:p>
    <w:p>
      <w:pPr>
        <w:numPr>
          <w:numId w:val="17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Are the Tsilhqot'in people entitled to a declaration of an Aboriginal right to trade in the furs, pelts and other animal products obtained from all or part of the Claim Area as a means of securing a moderate livelihood?</w:t>
      </w:r>
    </w:p>
    <w:p>
      <w:pPr>
        <w:numPr>
          <w:numId w:val="1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Does the </w:t>
      </w:r>
      <w:r>
        <w:rPr>
          <w:rFonts w:ascii="arial" w:eastAsia="arial" w:hAnsi="arial" w:cs="arial"/>
          <w:b/>
          <w:i/>
          <w:color w:val="000000"/>
          <w:sz w:val="20"/>
          <w:lang w:val="en-US" w:eastAsia="en-US" w:bidi="ar-SA"/>
        </w:rPr>
        <w:t>Forest Act</w:t>
      </w:r>
      <w:r>
        <w:rPr>
          <w:rFonts w:ascii="arial" w:eastAsia="arial" w:hAnsi="arial" w:cs="arial"/>
          <w:color w:val="000000"/>
          <w:sz w:val="20"/>
          <w:lang w:val="en-US" w:eastAsia="en-US" w:bidi="ar-SA"/>
        </w:rPr>
        <w:t xml:space="preserve"> apply to Aboriginal title lands?</w:t>
      </w:r>
    </w:p>
    <w:p>
      <w:pPr>
        <w:numPr>
          <w:numId w:val="17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Does the issuing of forest licences, the granting of authorizations and any forest development activity unjustifiably infringe Aboriginal rights in the Claim Area?</w:t>
      </w:r>
    </w:p>
    <w:p>
      <w:pPr>
        <w:numPr>
          <w:numId w:val="17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Are Tsilhqot'in people entitled to damages?</w:t>
      </w:r>
    </w:p>
    <w:p>
      <w:pPr>
        <w:numPr>
          <w:numId w:val="17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Are any claims advanced statute barred or otherwise affected by the doctrines of Crown immunity or laches?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 PRELIMINARY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xml:space="preserve">  One of the issues to be decided in this case is whether the plaintiff has existing Aboriginal title to Tachelach'ed (Brittany Triangle) and the Trapline Territory. To meet the test for Aboriginal title, the plaintiff must establish a sufficient degree of physical occupation of the Claim Area by Tsilhqot'in people at the time of sovereignty assertion. Physical occupation may be established by evidence of "regular use of definite tracts of land": </w:t>
      </w:r>
      <w:r>
        <w:rPr>
          <w:rFonts w:ascii="arial" w:eastAsia="arial" w:hAnsi="arial" w:cs="arial"/>
          <w:b/>
          <w:i/>
          <w:color w:val="000000"/>
          <w:sz w:val="20"/>
          <w:lang w:val="en-US" w:eastAsia="en-US" w:bidi="ar-SA"/>
        </w:rPr>
        <w:t>Delgamuukw v. British Columbia</w:t>
      </w:r>
      <w:r>
        <w:rPr>
          <w:rFonts w:ascii="arial" w:eastAsia="arial" w:hAnsi="arial" w:cs="arial"/>
          <w:color w:val="000000"/>
          <w:sz w:val="20"/>
          <w:lang w:val="en-US" w:eastAsia="en-US" w:bidi="ar-SA"/>
        </w:rPr>
        <w:t xml:space="preserve">, </w:t>
      </w:r>
      <w:hyperlink r:id="rId656" w:history="1">
        <w:r>
          <w:rPr>
            <w:rFonts w:ascii="arial" w:eastAsia="arial" w:hAnsi="arial" w:cs="arial"/>
            <w:i/>
            <w:color w:val="0077CC"/>
            <w:sz w:val="20"/>
            <w:u w:val="single"/>
            <w:shd w:val="clear" w:color="auto" w:fill="FFFFFF"/>
            <w:lang w:val="en-US" w:eastAsia="en-US" w:bidi="ar-SA"/>
          </w:rPr>
          <w:t>[1997] 3 S.C.R. 1010</w:t>
        </w:r>
      </w:hyperlink>
      <w:r>
        <w:rPr>
          <w:rFonts w:ascii="arial" w:eastAsia="arial" w:hAnsi="arial" w:cs="arial"/>
          <w:color w:val="000000"/>
          <w:sz w:val="20"/>
          <w:lang w:val="en-US" w:eastAsia="en-US" w:bidi="ar-SA"/>
        </w:rPr>
        <w:t xml:space="preserve"> at para. 149.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In his main argument, the plaintiff refers to evidence which, in his submission, portrays a regular and highly organized schedule of Tsilhqot'in land use and occupancy throughout the Claim Area. The plaintiff organizes this evidence by season according to Tsilhqot'in subsistence patterns. The evidence provides details about the character of the lands. It includes evidence about the bioclimatic zones, animal habitats, and seasonal variations in animal and plant abundance allowing Tsilhqot'in people to sustain themselves from these resources.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The plaintiff seeks to demonstrate regular use of all of the various geographical areas that comprise the Claim Area pursuant to an organized pattern of occupation. This pattern consists of systematic, oscillating, regular use of the plateau lands, its lakes, rivers and streams and the mountainous regions of the Claim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xml:space="preserve">  The plaintiff argues that this evidence is presented through the lens proposed by the Supreme Court of Canada in </w:t>
      </w:r>
      <w:r>
        <w:rPr>
          <w:rFonts w:ascii="arial" w:eastAsia="arial" w:hAnsi="arial" w:cs="arial"/>
          <w:b/>
          <w:i/>
          <w:color w:val="000000"/>
          <w:sz w:val="20"/>
          <w:lang w:val="en-US" w:eastAsia="en-US" w:bidi="ar-SA"/>
        </w:rPr>
        <w:t>Delgamuukw</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R. v. Marshall</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R. v. Bernard</w:t>
      </w:r>
      <w:r>
        <w:rPr>
          <w:rFonts w:ascii="arial" w:eastAsia="arial" w:hAnsi="arial" w:cs="arial"/>
          <w:color w:val="000000"/>
          <w:sz w:val="20"/>
          <w:lang w:val="en-US" w:eastAsia="en-US" w:bidi="ar-SA"/>
        </w:rPr>
        <w:t xml:space="preserve">, </w:t>
      </w:r>
      <w:hyperlink r:id="rId657" w:history="1">
        <w:r>
          <w:rPr>
            <w:rFonts w:ascii="arial" w:eastAsia="arial" w:hAnsi="arial" w:cs="arial"/>
            <w:i/>
            <w:color w:val="0077CC"/>
            <w:sz w:val="20"/>
            <w:u w:val="single"/>
            <w:shd w:val="clear" w:color="auto" w:fill="FFFFFF"/>
            <w:lang w:val="en-US" w:eastAsia="en-US" w:bidi="ar-SA"/>
          </w:rPr>
          <w:t>[2005] 2 S.C.R. 220</w:t>
        </w:r>
      </w:hyperlink>
      <w:r>
        <w:rPr>
          <w:rFonts w:ascii="arial" w:eastAsia="arial" w:hAnsi="arial" w:cs="arial"/>
          <w:color w:val="000000"/>
          <w:sz w:val="20"/>
          <w:lang w:val="en-US" w:eastAsia="en-US" w:bidi="ar-SA"/>
        </w:rPr>
        <w:t xml:space="preserve">, </w:t>
      </w:r>
      <w:hyperlink r:id="rId657" w:history="1">
        <w:r>
          <w:rPr>
            <w:rFonts w:ascii="arial" w:eastAsia="arial" w:hAnsi="arial" w:cs="arial"/>
            <w:i/>
            <w:color w:val="0077CC"/>
            <w:sz w:val="20"/>
            <w:u w:val="single"/>
            <w:shd w:val="clear" w:color="auto" w:fill="FFFFFF"/>
            <w:lang w:val="en-US" w:eastAsia="en-US" w:bidi="ar-SA"/>
          </w:rPr>
          <w:t>2005 SCC 43</w:t>
        </w:r>
      </w:hyperlink>
      <w:r>
        <w:rPr>
          <w:rFonts w:ascii="arial" w:eastAsia="arial" w:hAnsi="arial" w:cs="arial"/>
          <w:color w:val="000000"/>
          <w:sz w:val="20"/>
          <w:lang w:val="en-US" w:eastAsia="en-US" w:bidi="ar-SA"/>
        </w:rPr>
        <w:t>. This evidence is grounded in the perspective of Tsilhqot'in people and focuses on the cultural, economic and legendary significance of their land use patterns.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British Columbia argues that the plaintiff has advanced an "all or nothing" claim and, accordingly, the Court may only find Aboriginal title to the Claim Area in either Tachelach'ed or the Trapline Territory, or reject the claim outright. British Columbia characterizes the plaintiff's original review of the evidence 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 vast amount of loosely organized information concerning a number of uses to which a variety of geographic areas - some relatively localized, some not, some inside the Claim Area, some not - have in different times and by different sets of people been put. Rarely does the Plaintiff include details that would allow the Court to understand what the evidence shows concerning the frequency, intensity or general time frame for the alleged traditional use in question.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Because the Plaintiff has chosen to organize his review of the evidence of use of land in Appendix 3 by season, as opposed to by use for traditional purposes or by specific geographic location (as in [British Columbia's] Appendix 2), it is very difficult to analyse the evidence in a way that might be helpful to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In his reply, the plaintiff takes issue with British Columbia's characterization of his argument and his review of the evidence. The plaintiff argues that the Court has jurisdiction to make a declaration of title with respect to all or a portion of the Claim Area. In particular, he argues the Court has jurisdiction to find that portions of the component parts of the Claim Area, Tachelach'ed and the Trapline Territory, may also be found to be definite tracts of land that qualify for a declaration of Aboriginal title.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To demonstrate this point, the plaintiff took the same body of occupation evidence that is presented in the main argument according to season and by geographical location. This presentation of the occupation evidence is set out in the plaintiff's reply, Appendix 1A and Appendix 1B. This allows the Court to consider the evidence associated with each of the various tracts of land that comprise the Claim Area. Thus the Court had the benefit of considering the occupation evidence from the perspective of traditional, seasonal use (as conveyed for the most part in Appendix 3 of the main argument) or from the perspective of geographical location (as set out the reply Appendices 1A and 1B).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Both defendants object to the submissions set out in Appendices 1A and 1B. They say that the Trapline Territory and Tachelach'ed are the only two definite tracts of land pleaded in the statement of claim. Together they are defined as the Claim Area. The defendants say that the disputed appendices set out alternate definite tracts of land within the larger Claim Area. No motion has been filed to amend the statement of claim to allow the Court to consider each of these tracts of land individually.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The defendants say they are prejudiced by the plaintiff's late stage attempts to convert the pleaded definite tracts of land - Tachelach'ed and the Trapline Territory - into smaller definite tracts of land. In their submission, the plaintiff is bound by his pleadings and cannot succeed simply by saying the smaller definite tracts of land are all included in the greater Claim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By way of example, counsel for both defendants point out that the southern boundary of Tachelach'ed was described differently by three Aboriginal witnesses. At the time the evidence was heard, they did not consider the southern boundary of Tachelach'ed to be an issue in the case. If it were an issue, they say it would have prompted a different cross examination of the witnesses. In their submission there is a resulting prejudice. If smaller definite tracts of land are to be considered, notice of such tracts should have been set out in the pleadings. The defendants say this would have triggered a different approach to the evidence in the course of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Delgamuukw v. British Columbia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(1991), 79 D.L.R. (4th) 185</w:t>
      </w:r>
      <w:r>
        <w:rPr>
          <w:rFonts w:ascii="arial" w:eastAsia="arial" w:hAnsi="arial" w:cs="arial"/>
          <w:color w:val="000000"/>
          <w:sz w:val="20"/>
          <w:lang w:val="en-US" w:eastAsia="en-US" w:bidi="ar-SA"/>
        </w:rPr>
        <w:t xml:space="preserve"> (B.C.S.C.) the plaintiffs claimed ownership and later Aboriginal title to 133 individual tracts of land on behalf of 51 "Houses". The sum of the individual tracts equaled the total landmass of the overall territory claimed. The claims were rejected by the trial judge for various reasons. One reason was that the internal boundaries of the individually claimed portions of the territory had not been established. On appeal in </w:t>
      </w:r>
      <w:r>
        <w:rPr>
          <w:rFonts w:ascii="arial" w:eastAsia="arial" w:hAnsi="arial" w:cs="arial"/>
          <w:b/>
          <w:i/>
          <w:color w:val="000000"/>
          <w:sz w:val="20"/>
          <w:lang w:val="en-US" w:eastAsia="en-US" w:bidi="ar-SA"/>
        </w:rPr>
        <w:t>Delgamuukw v. British Columbia</w:t>
      </w:r>
      <w:r>
        <w:rPr>
          <w:rFonts w:ascii="arial" w:eastAsia="arial" w:hAnsi="arial" w:cs="arial"/>
          <w:color w:val="000000"/>
          <w:sz w:val="20"/>
          <w:lang w:val="en-US" w:eastAsia="en-US" w:bidi="ar-SA"/>
        </w:rPr>
        <w:t xml:space="preserve"> </w:t>
      </w:r>
      <w:hyperlink r:id="rId658" w:history="1">
        <w:r>
          <w:rPr>
            <w:rFonts w:ascii="arial" w:eastAsia="arial" w:hAnsi="arial" w:cs="arial"/>
            <w:i/>
            <w:color w:val="0077CC"/>
            <w:sz w:val="20"/>
            <w:u w:val="single"/>
            <w:shd w:val="clear" w:color="auto" w:fill="FFFFFF"/>
            <w:lang w:val="en-US" w:eastAsia="en-US" w:bidi="ar-SA"/>
          </w:rPr>
          <w:t>(1993), 104 D.L.R. (4th) 470</w:t>
        </w:r>
      </w:hyperlink>
      <w:r>
        <w:rPr>
          <w:rFonts w:ascii="arial" w:eastAsia="arial" w:hAnsi="arial" w:cs="arial"/>
          <w:color w:val="000000"/>
          <w:sz w:val="20"/>
          <w:lang w:val="en-US" w:eastAsia="en-US" w:bidi="ar-SA"/>
        </w:rPr>
        <w:t xml:space="preserve"> (B.C.C.A.), Macfarlane J.A., for the majority, said the following at p. 499: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plaintiffs did not establish to the satisfaction of the trial judge they had the requisite exclusive possession of land to make out their claim for ownership except in locations already within reserves. As well, there was significant difficulty with the delineation of specific boundaries for the claim. It is clear that no one can own an undefined non-specific parcel of land. In my view the trial judge applied the relevant law in dismissing the plaintiffs' claim.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addition to the claims of "ownership" and "jurisdiction", the plaintiffs also asked "the court to grant them whatever other rights they may be entitled to": </w:t>
      </w:r>
      <w:r>
        <w:rPr>
          <w:rFonts w:ascii="arial" w:eastAsia="arial" w:hAnsi="arial" w:cs="arial"/>
          <w:b/>
          <w:i/>
          <w:color w:val="000000"/>
          <w:sz w:val="20"/>
          <w:lang w:val="en-US" w:eastAsia="en-US" w:bidi="ar-SA"/>
        </w:rPr>
        <w:t>Delgamuukw</w:t>
      </w:r>
      <w:r>
        <w:rPr>
          <w:rFonts w:ascii="arial" w:eastAsia="arial" w:hAnsi="arial" w:cs="arial"/>
          <w:color w:val="000000"/>
          <w:sz w:val="20"/>
          <w:lang w:val="en-US" w:eastAsia="en-US" w:bidi="ar-SA"/>
        </w:rPr>
        <w:t xml:space="preserve"> (B.C.S.C.) at p. 237. Although the plaintiffs did not amend their pleadings to claim other Aboriginal rights, McEachern C.J. concluded that "a claim for Aboriginal rights other than ownership and jurisdiction was also open to the plaintiffs": </w:t>
      </w:r>
      <w:r>
        <w:rPr>
          <w:rFonts w:ascii="arial" w:eastAsia="arial" w:hAnsi="arial" w:cs="arial"/>
          <w:b/>
          <w:i/>
          <w:color w:val="000000"/>
          <w:sz w:val="20"/>
          <w:lang w:val="en-US" w:eastAsia="en-US" w:bidi="ar-SA"/>
        </w:rPr>
        <w:t>Delgamuukw</w:t>
      </w:r>
      <w:r>
        <w:rPr>
          <w:rFonts w:ascii="arial" w:eastAsia="arial" w:hAnsi="arial" w:cs="arial"/>
          <w:color w:val="000000"/>
          <w:sz w:val="20"/>
          <w:lang w:val="en-US" w:eastAsia="en-US" w:bidi="ar-SA"/>
        </w:rPr>
        <w:t xml:space="preserve"> (B.C.S.C.) at p. 283.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On appeal the plaintiffs sought to amalgamate the individual House claims into two claims, one brought by the Gitksan Nation and the second by the Wet'suwet'en Nation. The plaintiffs argued that there was no prejudice because the greater territorial claim was merely the sum of the individual claims. The Supreme Court of Canada rejected this argument. In the judgment of Lamer C.J.C. at para. 76,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However, no such amendment was made with respect to the amalgamation of the individual claims brought by the 51 Gitksan and Wet'suwet'en Houses into two collective claims, one by each nation, for aboriginal title and self-government. Given the absence of an amendment to the pleadings, I must reluctantly conclude that the respondents suffered some prejudice. The appellants argue that the respondents did not experience prejudice since the collective and individual claims are related to the extent that the territory claimed by each nation is merely the sum of the individual claims of each House; the external boundaries of the collective claims therefore represent the outer boundaries of the outer territories. Although that argument carries considerable weight, it does not address the basic point that the collective claims were simply not in issue at trial. To frame the case in a different manner on appeal would retroactively deny the respondents the opportunity to know the appellants'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It is clear from the foregoing passage that the Supreme Court was of the view that the collective claims were not in issue at trial. Thus, the Court was not prepared to allow the appellants to frame their case in a different manner on appeal because of the resulting prejudice to the respondents.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xml:space="preserve">  British Columbia argues that the plaintiff is attempting to reframe his case in the same manner as the plaintiffs on appeal in </w:t>
      </w:r>
      <w:r>
        <w:rPr>
          <w:rFonts w:ascii="arial" w:eastAsia="arial" w:hAnsi="arial" w:cs="arial"/>
          <w:b/>
          <w:i/>
          <w:color w:val="000000"/>
          <w:sz w:val="20"/>
          <w:lang w:val="en-US" w:eastAsia="en-US" w:bidi="ar-SA"/>
        </w:rPr>
        <w:t>Delgamuukw</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xml:space="preserve">  The plaintiff relies upon the provisions of s. 10 of the </w:t>
      </w:r>
      <w:r>
        <w:rPr>
          <w:rFonts w:ascii="arial" w:eastAsia="arial" w:hAnsi="arial" w:cs="arial"/>
          <w:b/>
          <w:i/>
          <w:color w:val="000000"/>
          <w:sz w:val="20"/>
          <w:lang w:val="en-US" w:eastAsia="en-US" w:bidi="ar-SA"/>
        </w:rPr>
        <w:t>Law and Equity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253</w:t>
      </w:r>
      <w:r>
        <w:rPr>
          <w:rFonts w:ascii="arial" w:eastAsia="arial" w:hAnsi="arial" w:cs="arial"/>
          <w:color w:val="000000"/>
          <w:sz w:val="20"/>
          <w:lang w:val="en-US" w:eastAsia="en-US" w:bidi="ar-SA"/>
        </w:rPr>
        <w:t>. That provision sets out a direction to the Court to grant "all remedies that any of the parties may appear to be entitled to in respect of any legal or equitable claim properly brought forward by them in the cause or matter ...". I interpret those words to mean that appropriate remedies are to be granted for those matters that have been pleaded and proven to the satisfaction of the court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The plaintiff's amended statement of claim states at para. 10: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part of the lands exclusively occupied by the Tsilhqot'in, at and before the time the British Crown assumed sovereignty, the Tsilhqot'in exclusively occupied lands known as the Brittany Triangle (the "Brittany"). The Tsilhqot'in continue to exclusively occupy the Brittany today.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Paragraph 11 of the amended statement of claim provides a geographical description of the boundaries of Tachelach'ed. Paragraph 12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part of the lands exclusively occupied by the Tsilhqot'in at the time of British sovereignty, the Tsilhqot'in exclusively occupied the whole of the lands within the boundary of Trapline Licence #0504T03 issued by British Columbia (the "Trapline Territory"). The Tsilhqot'in continues to have exclusive occupation of the Trapline Territory today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The plaintiff seeks the following declarations in his amended statement of claim:</w:t>
      </w:r>
      <w:r>
        <w:rPr>
          <w:rFonts w:ascii="arial" w:eastAsia="arial" w:hAnsi="arial" w:cs="arial"/>
          <w:sz w:val="20"/>
          <w:lang w:val="en-US" w:eastAsia="en-US" w:bidi="ar-SA"/>
        </w:rPr>
        <w:cr/>
      </w:r>
    </w:p>
    <w:p>
      <w:pPr>
        <w:numPr>
          <w:numId w:val="18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declaration that the Tsilhqot'in have existing Aboriginal title to the Brittany;</w:t>
      </w:r>
    </w:p>
    <w:p>
      <w:pPr>
        <w:numPr>
          <w:numId w:val="18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declaration that the Tsilhqot'in have existing Aboriginal title to the Trapline Territory.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xml:space="preserve">  The plaintiff does not explicitly claim Aboriginal rights or title to portions of the Tachelach'ed or Trapline Territories. Indeed, in para. 11, the plaintiff alleges Tsilhqot'in people occupied "the whole of the lands within the boundaries of Trapline Licence #0504T003". In the prayer for relief the plaintiff does not seek a declaration that Tsilhqot'in people have existing Aboriginal title to the Claim Area </w:t>
      </w:r>
      <w:r>
        <w:rPr>
          <w:rFonts w:ascii="arial" w:eastAsia="arial" w:hAnsi="arial" w:cs="arial"/>
          <w:i/>
          <w:color w:val="000000"/>
          <w:sz w:val="20"/>
          <w:lang w:val="en-US" w:eastAsia="en-US" w:bidi="ar-SA"/>
        </w:rPr>
        <w:t>or any portions thereof</w:t>
      </w:r>
      <w:r>
        <w:rPr>
          <w:rFonts w:ascii="arial" w:eastAsia="arial" w:hAnsi="arial" w:cs="arial"/>
          <w:color w:val="000000"/>
          <w:sz w:val="20"/>
          <w:lang w:val="en-US" w:eastAsia="en-US" w:bidi="ar-SA"/>
        </w:rPr>
        <w:t>. A plain reading of the pleadings shows the plaintiff has claimed Aboriginal title over all of the lands, which may be said to be an "all or nothing" claim. The plaintiff is now attempting to reframe his claim to include Aboriginal title over smaller included portions of Tachelach'ed and the Trapline Territory.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It appears that British Columbia was aware of the potential for this alternative claim to title over portions of these defined areas. In its amended statement of defence, British Columbia does not admit that the Tsilhqot'in Nation exclusively occupied Tachelach'ed or the Trapline Territory: para. 12(a), but says in the alternative at para. 12(c):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that if the Aboriginal activities that may have been practiced by the Ancestral Tsilhqot'in Groups constituted occupation establishing Aboriginal title to any portions of the Brittany or Trapline Territory, such occupation did not extend to the whole of the Brittany or the Trapline Territory, but only to limited portions thereof and put the Plaintiff to the strict proof of the location and extent of such limited portions;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xml:space="preserve">  Although British Columbia may have been aware of an alternate claim to portions of the Claim Area, any mention of this in the statement of defence is not a </w:t>
      </w:r>
      <w:r>
        <w:rPr>
          <w:rFonts w:ascii="arial" w:eastAsia="arial" w:hAnsi="arial" w:cs="arial"/>
          <w:i/>
          <w:color w:val="000000"/>
          <w:sz w:val="20"/>
          <w:lang w:val="en-US" w:eastAsia="en-US" w:bidi="ar-SA"/>
        </w:rPr>
        <w:t>de facto</w:t>
      </w:r>
      <w:r>
        <w:rPr>
          <w:rFonts w:ascii="arial" w:eastAsia="arial" w:hAnsi="arial" w:cs="arial"/>
          <w:color w:val="000000"/>
          <w:sz w:val="20"/>
          <w:lang w:val="en-US" w:eastAsia="en-US" w:bidi="ar-SA"/>
        </w:rPr>
        <w:t xml:space="preserve"> amendment of the plaintiff's pleadings. More importantly, such a plea does not define the smaller tracts of land said to be contained within the two component parts of the Claim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Delgamuukw</w:t>
      </w:r>
      <w:r>
        <w:rPr>
          <w:rFonts w:ascii="arial" w:eastAsia="arial" w:hAnsi="arial" w:cs="arial"/>
          <w:color w:val="000000"/>
          <w:sz w:val="20"/>
          <w:lang w:val="en-US" w:eastAsia="en-US" w:bidi="ar-SA"/>
        </w:rPr>
        <w:t xml:space="preserve"> (S.C.C.) at para. 76, Lamer C.J.C. declined to allow the plaintiff's to "frame the case in a different manner on appeal" because it "would retroactively deny the respondents the opportunity to know the appellants' case". The Supreme Court of Canada ruled that the plaintiffs could not amend their claim to make a collective claim for Aboriginal rights and title because it was simply not the case the plaintiffs had originally pleaded. Similarly the plaintiff here did not claim </w:t>
      </w:r>
      <w:r>
        <w:rPr>
          <w:rFonts w:ascii="arial" w:eastAsia="arial" w:hAnsi="arial" w:cs="arial"/>
          <w:i/>
          <w:color w:val="000000"/>
          <w:sz w:val="20"/>
          <w:lang w:val="en-US" w:eastAsia="en-US" w:bidi="ar-SA"/>
        </w:rPr>
        <w:t>portions</w:t>
      </w:r>
      <w:r>
        <w:rPr>
          <w:rFonts w:ascii="arial" w:eastAsia="arial" w:hAnsi="arial" w:cs="arial"/>
          <w:color w:val="000000"/>
          <w:sz w:val="20"/>
          <w:lang w:val="en-US" w:eastAsia="en-US" w:bidi="ar-SA"/>
        </w:rPr>
        <w:t xml:space="preserve"> of Tachelach'ed or the Trapline Territory in his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xml:space="preserve">  "Volume 36.1: Pleading", in </w:t>
      </w:r>
      <w:r>
        <w:rPr>
          <w:rFonts w:ascii="arial" w:eastAsia="arial" w:hAnsi="arial" w:cs="arial"/>
          <w:i/>
          <w:color w:val="000000"/>
          <w:sz w:val="20"/>
          <w:lang w:val="en-US" w:eastAsia="en-US" w:bidi="ar-SA"/>
        </w:rPr>
        <w:t>Halsbury's Laws of England</w:t>
      </w:r>
      <w:r>
        <w:rPr>
          <w:rFonts w:ascii="arial" w:eastAsia="arial" w:hAnsi="arial" w:cs="arial"/>
          <w:color w:val="000000"/>
          <w:sz w:val="20"/>
          <w:lang w:val="en-US" w:eastAsia="en-US" w:bidi="ar-SA"/>
        </w:rPr>
        <w:t xml:space="preserve">, 4th ed. (London: Butterworths, 1999) states at para. 51: "[a]n omission to seek an appropriately precise declaration may disqualify the party seeking it to such relief", citing </w:t>
      </w:r>
      <w:r>
        <w:rPr>
          <w:rFonts w:ascii="arial" w:eastAsia="arial" w:hAnsi="arial" w:cs="arial"/>
          <w:b/>
          <w:i/>
          <w:color w:val="000000"/>
          <w:sz w:val="20"/>
          <w:lang w:val="en-US" w:eastAsia="en-US" w:bidi="ar-SA"/>
        </w:rPr>
        <w:t>Biss v. Smallburgh Rural District Council</w:t>
      </w:r>
      <w:r>
        <w:rPr>
          <w:rFonts w:ascii="arial" w:eastAsia="arial" w:hAnsi="arial" w:cs="arial"/>
          <w:color w:val="000000"/>
          <w:sz w:val="20"/>
          <w:lang w:val="en-US" w:eastAsia="en-US" w:bidi="ar-SA"/>
        </w:rPr>
        <w:t>, [1964] 2 All E.R. 543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xml:space="preserve">  The plaintiffs in </w:t>
      </w:r>
      <w:r>
        <w:rPr>
          <w:rFonts w:ascii="arial" w:eastAsia="arial" w:hAnsi="arial" w:cs="arial"/>
          <w:b/>
          <w:i/>
          <w:color w:val="000000"/>
          <w:sz w:val="20"/>
          <w:lang w:val="en-US" w:eastAsia="en-US" w:bidi="ar-SA"/>
        </w:rPr>
        <w:t>Biss</w:t>
      </w:r>
      <w:r>
        <w:rPr>
          <w:rFonts w:ascii="arial" w:eastAsia="arial" w:hAnsi="arial" w:cs="arial"/>
          <w:color w:val="000000"/>
          <w:sz w:val="20"/>
          <w:lang w:val="en-US" w:eastAsia="en-US" w:bidi="ar-SA"/>
        </w:rPr>
        <w:t xml:space="preserve"> were the owners of 105 acres of land known as Warren Farm. Shortly after purchasing the property, the plaintiffs cleared nine acres and advertised the lands as a site suitable for caravans and campers. The plaintiffs' application to the district planning authority for a license to use some of the lands as a caravan site was denied.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The plaintiffs asked the court for a declaration that either 72 acres or alternatively 35 acres of Warren Farm was eligible for a licence. The trial judge declared that the plaintiffs were entitled to a site licence for the 9 cleared acres. On appeal, the court found that the 9 acres of declared lands were the trial judge's own invention and there was no attempt to lead evidence to prove anything smaller than the portions actually claimed in the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Harman L.J. of the English Court of Appeal described the plaintiffs' cross appeal as follows at pp. 553-554: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cross-appeal was conducted after the manner of a Dutch auction where the auctioneer starts at the top price and comes gradually down till he finds a bidder. So here various lines of demarcation were suggested coming down at last to about three acres round the house, and we were treated to a minute review of the evidence ... of the stationing of caravans (a) on the area immediately to the south of the farm-house, (b) between it and the sea, and (c) round about the first pylon carrying the electric power line to the house. I do not think that this is a legitimate way of conducting an action such as this. No suggestion was made of any amendment of the pleadings, which be it remembered dealt only with the seventy-two acres or the thirty-five acres as a whole, and I do not think that the remedy by declaration can be properly used in this way. It is a useful method, but I think that he who seeks a declaration must make up his mind and set out in his pleading what that declaration 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xml:space="preserve">  The Court of Appeal's reasoning in </w:t>
      </w:r>
      <w:r>
        <w:rPr>
          <w:rFonts w:ascii="arial" w:eastAsia="arial" w:hAnsi="arial" w:cs="arial"/>
          <w:b/>
          <w:i/>
          <w:color w:val="000000"/>
          <w:sz w:val="20"/>
          <w:lang w:val="en-US" w:eastAsia="en-US" w:bidi="ar-SA"/>
        </w:rPr>
        <w:t>Biss</w:t>
      </w:r>
      <w:r>
        <w:rPr>
          <w:rFonts w:ascii="arial" w:eastAsia="arial" w:hAnsi="arial" w:cs="arial"/>
          <w:color w:val="000000"/>
          <w:sz w:val="20"/>
          <w:lang w:val="en-US" w:eastAsia="en-US" w:bidi="ar-SA"/>
        </w:rPr>
        <w:t xml:space="preserve"> echoes the concerns raised by the defendants here. In my view, the plaintiff must make up his mind and set out in his pleadings exactly what declaration he seeks.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xml:space="preserve">  I am bound by the conclusions reached by the Supreme Court of Canada in </w:t>
      </w:r>
      <w:r>
        <w:rPr>
          <w:rFonts w:ascii="arial" w:eastAsia="arial" w:hAnsi="arial" w:cs="arial"/>
          <w:b/>
          <w:i/>
          <w:color w:val="000000"/>
          <w:sz w:val="20"/>
          <w:lang w:val="en-US" w:eastAsia="en-US" w:bidi="ar-SA"/>
        </w:rPr>
        <w:t>Delgamuukw</w:t>
      </w:r>
      <w:r>
        <w:rPr>
          <w:rFonts w:ascii="arial" w:eastAsia="arial" w:hAnsi="arial" w:cs="arial"/>
          <w:color w:val="000000"/>
          <w:sz w:val="20"/>
          <w:lang w:val="en-US" w:eastAsia="en-US" w:bidi="ar-SA"/>
        </w:rPr>
        <w:t>. I conclude that the reply argument Appendices 1A and 1B are a reframing of the plaintiff's case. The case is framed as an "all or nothing" claim. To allow the plaintiff to now seek declarations over portions of the Claim Area would be prejudicial to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I should acknowledge, however, that I have rejected British Columbia's request that I not consider the material in reply Appendices 1A and 1B. I have found the material to be helpful from two perspectives. The first is in an overall assessment of the entire body of evidence on the issue of Tsilhqot'in Aboriginal title. The second relates to the opinions I express on potential Tsilhqot'in Aboriginal title inside and outside the Claim Area. These opinions are not binding on the parties, but emerge from a consideration of the entire evidentiary record. For these assessments, I have found the plaintiff's method of organizing the evidence in reply Appendices 1A and 1B to be helpful.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 EVIDENTIARY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 Oral History/Oral Tradition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Tsilhqot'in was not a written language until the last half of the twentieth century. The history of the Tsilhqot'in people is an oral history, accessed by listening to the stories and legends told by Tsilhqot'in people. The listener is taught how the land was formed; the need to respect the land and all it has to offer; the bond between plants, animals and people; the rules that must be followed and the consequences of failing to follow those rules; places and events that shape the lives of Tsilhqot'in people; and all those matters of importance that provide substance and meaning to the life of a Tsilhqot'in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xml:space="preserve">  The absence of a Tsilhqot'in written record raises a number of evidentiary challenges. The plaintiff must lead evidence about a pre-contact Aboriginal society "across a gulf of centuries and without the aid of written records": </w:t>
      </w:r>
      <w:r>
        <w:rPr>
          <w:rFonts w:ascii="arial" w:eastAsia="arial" w:hAnsi="arial" w:cs="arial"/>
          <w:b/>
          <w:i/>
          <w:color w:val="000000"/>
          <w:sz w:val="20"/>
          <w:lang w:val="en-US" w:eastAsia="en-US" w:bidi="ar-SA"/>
        </w:rPr>
        <w:t>Mitchell v. M.N.R.</w:t>
      </w:r>
      <w:r>
        <w:rPr>
          <w:rFonts w:ascii="arial" w:eastAsia="arial" w:hAnsi="arial" w:cs="arial"/>
          <w:color w:val="000000"/>
          <w:sz w:val="20"/>
          <w:lang w:val="en-US" w:eastAsia="en-US" w:bidi="ar-SA"/>
        </w:rPr>
        <w:t xml:space="preserve">, </w:t>
      </w:r>
      <w:hyperlink r:id="rId659" w:history="1">
        <w:r>
          <w:rPr>
            <w:rFonts w:ascii="arial" w:eastAsia="arial" w:hAnsi="arial" w:cs="arial"/>
            <w:i/>
            <w:color w:val="0077CC"/>
            <w:sz w:val="20"/>
            <w:u w:val="single"/>
            <w:shd w:val="clear" w:color="auto" w:fill="FFFFFF"/>
            <w:lang w:val="en-US" w:eastAsia="en-US" w:bidi="ar-SA"/>
          </w:rPr>
          <w:t>[2001] 1 S.C.R. 911</w:t>
        </w:r>
      </w:hyperlink>
      <w:r>
        <w:rPr>
          <w:rFonts w:ascii="arial" w:eastAsia="arial" w:hAnsi="arial" w:cs="arial"/>
          <w:color w:val="000000"/>
          <w:sz w:val="20"/>
          <w:lang w:val="en-US" w:eastAsia="en-US" w:bidi="ar-SA"/>
        </w:rPr>
        <w:t xml:space="preserve">, </w:t>
      </w:r>
      <w:hyperlink r:id="rId659" w:history="1">
        <w:r>
          <w:rPr>
            <w:rFonts w:ascii="arial" w:eastAsia="arial" w:hAnsi="arial" w:cs="arial"/>
            <w:i/>
            <w:color w:val="0077CC"/>
            <w:sz w:val="20"/>
            <w:u w:val="single"/>
            <w:shd w:val="clear" w:color="auto" w:fill="FFFFFF"/>
            <w:lang w:val="en-US" w:eastAsia="en-US" w:bidi="ar-SA"/>
          </w:rPr>
          <w:t>2001 SCC 33</w:t>
        </w:r>
      </w:hyperlink>
      <w:r>
        <w:rPr>
          <w:rFonts w:ascii="arial" w:eastAsia="arial" w:hAnsi="arial" w:cs="arial"/>
          <w:color w:val="000000"/>
          <w:sz w:val="20"/>
          <w:lang w:val="en-US" w:eastAsia="en-US" w:bidi="ar-SA"/>
        </w:rPr>
        <w:t xml:space="preserve"> at para. 27. Courts that have favoured written modes of transmission over oral accounts have been criticized for taking an ethnocentric view of the evidence. Certainly the early decisions in this area did little to foster Aboriginal litigants' trust in the court's ability to view the evidence from an Aboriginal perspective. In order to truly hear the oral history and oral tradition evidence presented in these cases, courts must undergo their own process of decolonization.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xml:space="preserve">  This process requires a court to not only "peer beyond recorded history" but also to set aside some closely held beliefs about the reliability of oral history evidence. The Supreme Court of Canada provided some general direction on the use of oral history and oral tradition evidence in </w:t>
      </w:r>
      <w:r>
        <w:rPr>
          <w:rFonts w:ascii="arial" w:eastAsia="arial" w:hAnsi="arial" w:cs="arial"/>
          <w:b/>
          <w:i/>
          <w:color w:val="000000"/>
          <w:sz w:val="20"/>
          <w:lang w:val="en-US" w:eastAsia="en-US" w:bidi="ar-SA"/>
        </w:rPr>
        <w:t>R. v. Van der Peet</w:t>
      </w:r>
      <w:r>
        <w:rPr>
          <w:rFonts w:ascii="arial" w:eastAsia="arial" w:hAnsi="arial" w:cs="arial"/>
          <w:color w:val="000000"/>
          <w:sz w:val="20"/>
          <w:lang w:val="en-US" w:eastAsia="en-US" w:bidi="ar-SA"/>
        </w:rPr>
        <w:t xml:space="preserve">, </w:t>
      </w:r>
      <w:hyperlink r:id="rId660" w:history="1">
        <w:r>
          <w:rPr>
            <w:rFonts w:ascii="arial" w:eastAsia="arial" w:hAnsi="arial" w:cs="arial"/>
            <w:i/>
            <w:color w:val="0077CC"/>
            <w:sz w:val="20"/>
            <w:u w:val="single"/>
            <w:shd w:val="clear" w:color="auto" w:fill="FFFFFF"/>
            <w:lang w:val="en-US" w:eastAsia="en-US" w:bidi="ar-SA"/>
          </w:rPr>
          <w:t>[1996] 2 S.C.R. 507</w:t>
        </w:r>
      </w:hyperlink>
      <w:r>
        <w:rPr>
          <w:rFonts w:ascii="arial" w:eastAsia="arial" w:hAnsi="arial" w:cs="arial"/>
          <w:color w:val="000000"/>
          <w:sz w:val="20"/>
          <w:lang w:val="en-US" w:eastAsia="en-US" w:bidi="ar-SA"/>
        </w:rPr>
        <w:t xml:space="preserve"> at para. 68: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determining whether an aboriginal claimant has produced evidence sufficient to demonstrate that her activity is an aspect of a practice, custom or tradition integral to a distinctive aboriginal culture, a court should approach the rules of evidence, and interpret the evidence that exists, with a consciousness of the special nature of aboriginal claims, and of the evidentiary difficulties in proving a right which originates in times where there were no written records of the practices, customs and traditions engaged in. The courts must not undervalue the evidence presented by aboriginal claimants simply because that evidence does not conform precisely with the evidentiary standards that would be applied in, for example, a private law torts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Delgamuukw</w:t>
      </w:r>
      <w:r>
        <w:rPr>
          <w:rFonts w:ascii="arial" w:eastAsia="arial" w:hAnsi="arial" w:cs="arial"/>
          <w:color w:val="000000"/>
          <w:sz w:val="20"/>
          <w:lang w:val="en-US" w:eastAsia="en-US" w:bidi="ar-SA"/>
        </w:rPr>
        <w:t xml:space="preserve"> (S.C.C.), at para. 80, Lamer C.J.C. repeated those words and emphasized that the evidence must not be undervalued merely because it does not conform precisely to existing or traditional evidentiary standards. He continued at paras. 81-82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justification for this special approach can be found in the nature of aboriginal rights themselves. I explained in </w:t>
      </w:r>
      <w:r>
        <w:rPr>
          <w:rFonts w:ascii="arial" w:eastAsia="arial" w:hAnsi="arial" w:cs="arial"/>
          <w:i/>
          <w:color w:val="000000"/>
          <w:sz w:val="20"/>
          <w:lang w:val="en-US" w:eastAsia="en-US" w:bidi="ar-SA"/>
        </w:rPr>
        <w:t>Van der Peet</w:t>
      </w:r>
      <w:r>
        <w:rPr>
          <w:rFonts w:ascii="arial" w:eastAsia="arial" w:hAnsi="arial" w:cs="arial"/>
          <w:color w:val="000000"/>
          <w:sz w:val="20"/>
          <w:lang w:val="en-US" w:eastAsia="en-US" w:bidi="ar-SA"/>
        </w:rPr>
        <w:t xml:space="preserve"> that those rights are aimed at the reconciliation of the prior occupation of North America by distinctive aboriginal societies with the assertion of Crown sovereignty over Canadian territory. They attempt to achieve that reconciliation by "their bridging of aboriginal and non-aboriginal cultures" (at para. 42). Accordingly, "a court must take into account the perspective of the aboriginal people claiming the right. ... while at the same time taking into account the perspective of the common law" such that "[t]rue reconciliation will, equally, place weight on each" (at paras. 49 and 50).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other words, although the doctrine of aboriginal rights is a common law doctrine, aboriginal rights are truly </w:t>
      </w:r>
      <w:r>
        <w:rPr>
          <w:rFonts w:ascii="arial" w:eastAsia="arial" w:hAnsi="arial" w:cs="arial"/>
          <w:i/>
          <w:color w:val="000000"/>
          <w:sz w:val="20"/>
          <w:lang w:val="en-US" w:eastAsia="en-US" w:bidi="ar-SA"/>
        </w:rPr>
        <w:t>sui generis</w:t>
      </w:r>
      <w:r>
        <w:rPr>
          <w:rFonts w:ascii="arial" w:eastAsia="arial" w:hAnsi="arial" w:cs="arial"/>
          <w:color w:val="000000"/>
          <w:sz w:val="20"/>
          <w:lang w:val="en-US" w:eastAsia="en-US" w:bidi="ar-SA"/>
        </w:rPr>
        <w:t xml:space="preserve">, and demand a unique approach to the treatment of evidence which accords due weight to the perspective of aboriginal peoples. However, that accommodation must be done in a manner which does not strain "the Canadian legal and constitutional structure" (at para. 49). Both the principles laid down in </w:t>
      </w:r>
      <w:r>
        <w:rPr>
          <w:rFonts w:ascii="arial" w:eastAsia="arial" w:hAnsi="arial" w:cs="arial"/>
          <w:i/>
          <w:color w:val="000000"/>
          <w:sz w:val="20"/>
          <w:lang w:val="en-US" w:eastAsia="en-US" w:bidi="ar-SA"/>
        </w:rPr>
        <w:t>Van der Peet</w:t>
      </w:r>
      <w:r>
        <w:rPr>
          <w:rFonts w:ascii="arial" w:eastAsia="arial" w:hAnsi="arial" w:cs="arial"/>
          <w:color w:val="000000"/>
          <w:sz w:val="20"/>
          <w:lang w:val="en-US" w:eastAsia="en-US" w:bidi="ar-SA"/>
        </w:rPr>
        <w:t xml:space="preserve"> - first, that trial courts must approach the rules of evidence in light of the evidentiary difficulties inherent in adjudicating aboriginal claims, and second, that trial courts must interpret that evidence in the same spirit - must be understood against this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xml:space="preserve">  The description of Aboriginal oral history found in the </w:t>
      </w:r>
      <w:r>
        <w:rPr>
          <w:rFonts w:ascii="arial" w:eastAsia="arial" w:hAnsi="arial" w:cs="arial"/>
          <w:i/>
          <w:color w:val="000000"/>
          <w:sz w:val="20"/>
          <w:lang w:val="en-US" w:eastAsia="en-US" w:bidi="ar-SA"/>
        </w:rPr>
        <w:t>Report of the Royal Commission on Aboriginal Peoples</w:t>
      </w:r>
      <w:r>
        <w:rPr>
          <w:rFonts w:ascii="arial" w:eastAsia="arial" w:hAnsi="arial" w:cs="arial"/>
          <w:color w:val="000000"/>
          <w:sz w:val="20"/>
          <w:lang w:val="en-US" w:eastAsia="en-US" w:bidi="ar-SA"/>
        </w:rPr>
        <w:t xml:space="preserve"> (1996), Vol. 1 (</w:t>
      </w:r>
      <w:r>
        <w:rPr>
          <w:rFonts w:ascii="arial" w:eastAsia="arial" w:hAnsi="arial" w:cs="arial"/>
          <w:i/>
          <w:color w:val="000000"/>
          <w:sz w:val="20"/>
          <w:lang w:val="en-US" w:eastAsia="en-US" w:bidi="ar-SA"/>
        </w:rPr>
        <w:t>Looking Forward, Looking Back</w:t>
      </w:r>
      <w:r>
        <w:rPr>
          <w:rFonts w:ascii="arial" w:eastAsia="arial" w:hAnsi="arial" w:cs="arial"/>
          <w:color w:val="000000"/>
          <w:sz w:val="20"/>
          <w:lang w:val="en-US" w:eastAsia="en-US" w:bidi="ar-SA"/>
        </w:rPr>
        <w:t xml:space="preserve">), at p. 33, and quoted by Lamer C.J.C. in </w:t>
      </w:r>
      <w:r>
        <w:rPr>
          <w:rFonts w:ascii="arial" w:eastAsia="arial" w:hAnsi="arial" w:cs="arial"/>
          <w:b/>
          <w:i/>
          <w:color w:val="000000"/>
          <w:sz w:val="20"/>
          <w:lang w:val="en-US" w:eastAsia="en-US" w:bidi="ar-SA"/>
        </w:rPr>
        <w:t>Delgamuukw</w:t>
      </w:r>
      <w:r>
        <w:rPr>
          <w:rFonts w:ascii="arial" w:eastAsia="arial" w:hAnsi="arial" w:cs="arial"/>
          <w:color w:val="000000"/>
          <w:sz w:val="20"/>
          <w:lang w:val="en-US" w:eastAsia="en-US" w:bidi="ar-SA"/>
        </w:rPr>
        <w:t xml:space="preserve"> at para. 85, bears repeating here: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Aboriginal tradition in the recording of history is neither linear nor steeped in the same notions of social progress and evolution [as in the non-Aboriginal tradition]. Nor is it usually human-centred in the same way as the western scientific tradition, for it does not assume that human beings are anything more than one - and not necessarily the most important - element of the natural order of the universe. Moreover, the Aboriginal historical tradition is an oral one, involving legends, stories and accounts handed down through the generations in oral form. It is less focused on establishing objective truth and assumes that the teller of the story is so much a part of the event being described that it would be arrogant to presume to classify or categorize the event exactly or for all time.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Aboriginal tradition the purpose of repeating oral accounts from the past is broader than the role of written history in western societies. It may be to educate the listener, to communicate aspects of culture, to socialize people into a cultural tradition, or to validate the claims of a particular family to authority and prestige.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Oral accounts of the past include a good deal of subjective experience. They are not simply a detached recounting of factual events but, rather, are "facts enmeshed in the stories of a lifetime". They are also likely to be rooted in particular locations, making reference to particular families and communities. This contributes to a sense that there are many histories, each characterized in part by how a people see themselves, how they define their identity in relation to their environment, and how they express their uniqueness as a people.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In a fact-driven process, such as the determination of Aboriginal rights and title, one must sift through the layers of oral history and oral tradition evidence with an awareness of context and an appreciation of the role of that tradition within Aboriginal society. Lamer C.J.C. addresses this process at paras. 86-87,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Many features of oral histories would count against both their admissibility and their weight as evidence of prior events in a court that took a traditional approach to the rules of evidence. The most fundamental of these is their broad social role not only "as a repository of historical knowledge for a culture" but also as an expression of "the values and mores of [that] culture": Clay McLeod, "The Oral Histories of Canada's Northern People, Anglo-Canadian Evidence Law, and Canada's Fiduciary Duty to First Nations: Breaking Down the Barriers of the Past" </w:t>
      </w:r>
      <w:hyperlink r:id="rId661" w:history="1">
        <w:r>
          <w:rPr>
            <w:rFonts w:ascii="arial" w:eastAsia="arial" w:hAnsi="arial" w:cs="arial"/>
            <w:i/>
            <w:color w:val="0077CC"/>
            <w:sz w:val="20"/>
            <w:u w:val="single"/>
            <w:shd w:val="clear" w:color="auto" w:fill="FFFFFF"/>
            <w:lang w:val="en-US" w:eastAsia="en-US" w:bidi="ar-SA"/>
          </w:rPr>
          <w:t>(1992), 30 Alta. L. Rev. 1276</w:t>
        </w:r>
      </w:hyperlink>
      <w:r>
        <w:rPr>
          <w:rFonts w:ascii="arial" w:eastAsia="arial" w:hAnsi="arial" w:cs="arial"/>
          <w:color w:val="000000"/>
          <w:sz w:val="20"/>
          <w:lang w:val="en-US" w:eastAsia="en-US" w:bidi="ar-SA"/>
        </w:rPr>
        <w:t xml:space="preserve">, at p. 1279. Dickson J. (as he then was) recognized as much when he stated in </w:t>
      </w:r>
      <w:r>
        <w:rPr>
          <w:rFonts w:ascii="arial" w:eastAsia="arial" w:hAnsi="arial" w:cs="arial"/>
          <w:i/>
          <w:color w:val="000000"/>
          <w:sz w:val="20"/>
          <w:lang w:val="en-US" w:eastAsia="en-US" w:bidi="ar-SA"/>
        </w:rPr>
        <w:t>Kruger v. The Queen</w:t>
      </w:r>
      <w:r>
        <w:rPr>
          <w:rFonts w:ascii="arial" w:eastAsia="arial" w:hAnsi="arial" w:cs="arial"/>
          <w:color w:val="000000"/>
          <w:sz w:val="20"/>
          <w:lang w:val="en-US" w:eastAsia="en-US" w:bidi="ar-SA"/>
        </w:rPr>
        <w:t xml:space="preserve">, </w:t>
      </w:r>
      <w:hyperlink r:id="rId662" w:history="1">
        <w:r>
          <w:rPr>
            <w:rFonts w:ascii="arial" w:eastAsia="arial" w:hAnsi="arial" w:cs="arial"/>
            <w:i/>
            <w:color w:val="0077CC"/>
            <w:sz w:val="20"/>
            <w:u w:val="single"/>
            <w:shd w:val="clear" w:color="auto" w:fill="FFFFFF"/>
            <w:lang w:val="en-US" w:eastAsia="en-US" w:bidi="ar-SA"/>
          </w:rPr>
          <w:t>[1978] 1 S.C.R. 104</w:t>
        </w:r>
      </w:hyperlink>
      <w:r>
        <w:rPr>
          <w:rFonts w:ascii="arial" w:eastAsia="arial" w:hAnsi="arial" w:cs="arial"/>
          <w:color w:val="000000"/>
          <w:sz w:val="20"/>
          <w:lang w:val="en-US" w:eastAsia="en-US" w:bidi="ar-SA"/>
        </w:rPr>
        <w:t>, at p. 109, that "[c]laims to aboriginal title are woven with history, legend, politics and moral obligations". The difficulty with these features of oral histories is that they are tangential to the ultimate purpose of the fact-finding process at trial -- the determination of the historical truth. Another feature of oral histories which creates difficulty is that they largely consist of out-of-court statements, passed on through an unbroken chain across the generations of a particular aboriginal nation to the present-day. These out-of-court statements are admitted for their truth and therefore conflict with the general rule against the admissibility of hearsay.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Notwithstanding the challenges created by the use of oral histories as proof of historical facts, the laws of evidence must be adapted in order that this type of evidence can be accommodated and placed on an equal footing with the types of historical evidence that courts are familiar with, which largely consists of historical documents. This is a long-standing practice in the interpretation of treaties between the Crown and aboriginal peoples: </w:t>
      </w:r>
      <w:r>
        <w:rPr>
          <w:rFonts w:ascii="arial" w:eastAsia="arial" w:hAnsi="arial" w:cs="arial"/>
          <w:i/>
          <w:color w:val="000000"/>
          <w:sz w:val="20"/>
          <w:lang w:val="en-US" w:eastAsia="en-US" w:bidi="ar-SA"/>
        </w:rPr>
        <w:t>Sioui</w:t>
      </w:r>
      <w:r>
        <w:rPr>
          <w:rFonts w:ascii="arial" w:eastAsia="arial" w:hAnsi="arial" w:cs="arial"/>
          <w:color w:val="000000"/>
          <w:sz w:val="20"/>
          <w:lang w:val="en-US" w:eastAsia="en-US" w:bidi="ar-SA"/>
        </w:rPr>
        <w:t xml:space="preserve">, </w:t>
      </w:r>
      <w:hyperlink r:id="rId663" w:history="1">
        <w:r>
          <w:rPr>
            <w:rFonts w:ascii="arial" w:eastAsia="arial" w:hAnsi="arial" w:cs="arial"/>
            <w:i/>
            <w:color w:val="0077CC"/>
            <w:sz w:val="20"/>
            <w:u w:val="single"/>
            <w:shd w:val="clear" w:color="auto" w:fill="FFFFFF"/>
            <w:lang w:val="en-US" w:eastAsia="en-US" w:bidi="ar-SA"/>
          </w:rPr>
          <w:t>[1990] 1 S.C.R. 1025</w:t>
        </w:r>
      </w:hyperlink>
      <w:r>
        <w:rPr>
          <w:rFonts w:ascii="arial" w:eastAsia="arial" w:hAnsi="arial" w:cs="arial"/>
          <w:color w:val="000000"/>
          <w:sz w:val="20"/>
          <w:lang w:val="en-US" w:eastAsia="en-US" w:bidi="ar-SA"/>
        </w:rPr>
        <w:t xml:space="preserve"> at p.1068 </w:t>
      </w:r>
      <w:r>
        <w:rPr>
          <w:rFonts w:ascii="arial" w:eastAsia="arial" w:hAnsi="arial" w:cs="arial"/>
          <w:i/>
          <w:color w:val="000000"/>
          <w:sz w:val="20"/>
          <w:lang w:val="en-US" w:eastAsia="en-US" w:bidi="ar-SA"/>
        </w:rPr>
        <w:t>R. v. Taylor</w:t>
      </w:r>
      <w:r>
        <w:rPr>
          <w:rFonts w:ascii="arial" w:eastAsia="arial" w:hAnsi="arial" w:cs="arial"/>
          <w:color w:val="000000"/>
          <w:sz w:val="20"/>
          <w:lang w:val="en-US" w:eastAsia="en-US" w:bidi="ar-SA"/>
        </w:rPr>
        <w:t xml:space="preserve"> </w:t>
      </w:r>
      <w:hyperlink r:id="rId664" w:history="1">
        <w:r>
          <w:rPr>
            <w:rFonts w:ascii="arial" w:eastAsia="arial" w:hAnsi="arial" w:cs="arial"/>
            <w:i/>
            <w:color w:val="0077CC"/>
            <w:sz w:val="20"/>
            <w:u w:val="single"/>
            <w:shd w:val="clear" w:color="auto" w:fill="FFFFFF"/>
            <w:lang w:val="en-US" w:eastAsia="en-US" w:bidi="ar-SA"/>
          </w:rPr>
          <w:t>(1981), 62 C.C.C. (2d) 227</w:t>
        </w:r>
      </w:hyperlink>
      <w:r>
        <w:rPr>
          <w:rFonts w:ascii="arial" w:eastAsia="arial" w:hAnsi="arial" w:cs="arial"/>
          <w:color w:val="000000"/>
          <w:sz w:val="20"/>
          <w:lang w:val="en-US" w:eastAsia="en-US" w:bidi="ar-SA"/>
        </w:rPr>
        <w:t xml:space="preserve"> (Ont. C.A.), at p. 232. To quote Dickson C.J., given that most aboriginal societies "did not keep written records", the failure to do so would "impose an impossible burden of proof" on aboriginal peoples, and "render nugatory" any rights that they have (</w:t>
      </w:r>
      <w:r>
        <w:rPr>
          <w:rFonts w:ascii="arial" w:eastAsia="arial" w:hAnsi="arial" w:cs="arial"/>
          <w:i/>
          <w:color w:val="000000"/>
          <w:sz w:val="20"/>
          <w:lang w:val="en-US" w:eastAsia="en-US" w:bidi="ar-SA"/>
        </w:rPr>
        <w:t>Simon v. The Queen</w:t>
      </w:r>
      <w:r>
        <w:rPr>
          <w:rFonts w:ascii="arial" w:eastAsia="arial" w:hAnsi="arial" w:cs="arial"/>
          <w:color w:val="000000"/>
          <w:sz w:val="20"/>
          <w:lang w:val="en-US" w:eastAsia="en-US" w:bidi="ar-SA"/>
        </w:rPr>
        <w:t xml:space="preserve">, </w:t>
      </w:r>
      <w:hyperlink r:id="rId665" w:history="1">
        <w:r>
          <w:rPr>
            <w:rFonts w:ascii="arial" w:eastAsia="arial" w:hAnsi="arial" w:cs="arial"/>
            <w:i/>
            <w:color w:val="0077CC"/>
            <w:sz w:val="20"/>
            <w:u w:val="single"/>
            <w:shd w:val="clear" w:color="auto" w:fill="FFFFFF"/>
            <w:lang w:val="en-US" w:eastAsia="en-US" w:bidi="ar-SA"/>
          </w:rPr>
          <w:t>[1985] 2 S.C.R. 387</w:t>
        </w:r>
      </w:hyperlink>
      <w:r>
        <w:rPr>
          <w:rFonts w:ascii="arial" w:eastAsia="arial" w:hAnsi="arial" w:cs="arial"/>
          <w:color w:val="000000"/>
          <w:sz w:val="20"/>
          <w:lang w:val="en-US" w:eastAsia="en-US" w:bidi="ar-SA"/>
        </w:rPr>
        <w:t>, at p. 408). This process must be undertaken on a case-by-case basis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Many of the oral histories and oral traditions I was privileged to hear in this case were woven with history, legend, politics and moral obligations. This form of evidence is a marked departure from the court's usual fare and poses a challenge to the evaluation of the entire body of evidence. Courts generally receive and evaluate evidence in a positivist or scientific manner: a proposition or claim is either supported or refuted by factual evidence, with the aim of determining an objective truth. However, in cases such as this, the "truth" which lies at the heart of the oral history and oral tradition evidence can be much more elusive.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Mitchell</w:t>
      </w:r>
      <w:r>
        <w:rPr>
          <w:rFonts w:ascii="arial" w:eastAsia="arial" w:hAnsi="arial" w:cs="arial"/>
          <w:color w:val="000000"/>
          <w:sz w:val="20"/>
          <w:lang w:val="en-US" w:eastAsia="en-US" w:bidi="ar-SA"/>
        </w:rPr>
        <w:t>, McLachlin C.J.C., at para. 33, said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second factor that must be considered in determining the admissibility of evidence in aboriginal cases is reliability: does the witness represent a reasonable reliable source of the particular people's history? The trial judge need not go so far as to find a special guarantee of reliability. However, inquiries as to the witness's ability to know and testify to orally transmitted aboriginal traditions and history may be appropriate both on the question of admissibility and the weight to be assigned the evidence if admitted.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xml:space="preserve">  The foregoing observations by McLachlin C.J.C. provided the foundation for my decision in </w:t>
      </w:r>
      <w:r>
        <w:rPr>
          <w:rFonts w:ascii="arial" w:eastAsia="arial" w:hAnsi="arial" w:cs="arial"/>
          <w:b/>
          <w:i/>
          <w:color w:val="000000"/>
          <w:sz w:val="20"/>
          <w:lang w:val="en-US" w:eastAsia="en-US" w:bidi="ar-SA"/>
        </w:rPr>
        <w:t>William v. British Columbia</w:t>
      </w:r>
      <w:r>
        <w:rPr>
          <w:rFonts w:ascii="arial" w:eastAsia="arial" w:hAnsi="arial" w:cs="arial"/>
          <w:color w:val="000000"/>
          <w:sz w:val="20"/>
          <w:lang w:val="en-US" w:eastAsia="en-US" w:bidi="ar-SA"/>
        </w:rPr>
        <w:t xml:space="preserve"> </w:t>
      </w:r>
      <w:hyperlink r:id="rId654" w:history="1">
        <w:r>
          <w:rPr>
            <w:rFonts w:ascii="arial" w:eastAsia="arial" w:hAnsi="arial" w:cs="arial"/>
            <w:i/>
            <w:color w:val="0077CC"/>
            <w:sz w:val="20"/>
            <w:u w:val="single"/>
            <w:shd w:val="clear" w:color="auto" w:fill="FFFFFF"/>
            <w:lang w:val="en-US" w:eastAsia="en-US" w:bidi="ar-SA"/>
          </w:rPr>
          <w:t>2004 BCSC 148</w:t>
        </w:r>
      </w:hyperlink>
      <w:r>
        <w:rPr>
          <w:rFonts w:ascii="arial" w:eastAsia="arial" w:hAnsi="arial" w:cs="arial"/>
          <w:color w:val="000000"/>
          <w:sz w:val="20"/>
          <w:lang w:val="en-US" w:eastAsia="en-US" w:bidi="ar-SA"/>
        </w:rPr>
        <w:t>. I concluded that a central question on the admissibility of hearsay evidence was the issue of reliability. To provide the defendants with the opportunity to test the reliability of oral evidence proffered by the plaintiff, I established a procedure that was followed by counsel whenever a witness was expected to give oral history or oral tradition evidence. Now that this evidence has been heard, the more difficult issue of evidentiary weight must be addressed.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Jan Vansina is an anthropologist and a leading authority on oral history and oral tradition evidence and the role it can play in historical reproduction. Vansina was accepted as an authority by both John Dewhirst for the plaintiff and Dr. Alexander von Gernet for Canada, the two experts who provided opinions on oral history and oral tradition evidence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xml:space="preserve">  In his seminal work, </w:t>
      </w:r>
      <w:r>
        <w:rPr>
          <w:rFonts w:ascii="arial" w:eastAsia="arial" w:hAnsi="arial" w:cs="arial"/>
          <w:i/>
          <w:color w:val="000000"/>
          <w:sz w:val="20"/>
          <w:lang w:val="en-US" w:eastAsia="en-US" w:bidi="ar-SA"/>
        </w:rPr>
        <w:t>Oral Tradition As History</w:t>
      </w:r>
      <w:r>
        <w:rPr>
          <w:rFonts w:ascii="arial" w:eastAsia="arial" w:hAnsi="arial" w:cs="arial"/>
          <w:color w:val="000000"/>
          <w:sz w:val="20"/>
          <w:lang w:val="en-US" w:eastAsia="en-US" w:bidi="ar-SA"/>
        </w:rPr>
        <w:t xml:space="preserve"> (Madison: The University of Wisconsin Press, 1985), Vansina makes a distinction between oral history and oral tradition. There is a very helpful explanation at pp. 12-13: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sources of oral historians are reminiscences, hearsay, or eyewitness accounts about events and situations which are contemporary, that is, which occurred during the lifetime of the informants. This differs from oral traditions in that oral traditions are no longer contemporary. They have passed from mouth to mouth, for a period beyond the lifetime of the informants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messages are transmitted beyond the generation that gave rise to them they become oral traditions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At pp. 27-28, Vansina defines oral traditions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are now ready to define oral traditions as verbal messages which are reported statements from the past beyond the present generation. The definition specifies that the message must be oral statements spoken, sung, or called out on musical instruments only. This distinguishes such sources not only from written messages, but also from all other sources except oral history. The definition also makes clear that all oral sources are not oral traditions. There must be transmission by word of mouth over at least a generation. Sources for oral history are therefore not included. On the other hand the definition does not claim that oral traditions must be "about the past" nor that they are just narratives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Appellate Courts, including the Supreme Court of Canada, have used the terms oral history and oral tradition interchangeably. In situations involving claims for declarations of Aboriginal title and rights, it would appear that the evidence tendered includes both oral tradition and oral history evidence. However, it is the oral tradition evidence in Aboriginal rights and title cases which may be the only available evidence relating to an event or situation which occurred prior to sovereignty assertion or first contact.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Oral traditions about a pre-sovereignty event (for example) pass through a chain of transmission to the present day. Vansina discusses this chain and its implications at p. 29 of his text: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first and simplest model supposes that an observer reported his experience orally, casting it in an initial message. A second party heard it and passed it on. From party to party it was passed on until the last performer, acting as informant, told it to the recorder. A chain of transmission exists in which each of the parties is a link. From the definition ... it is evident that to a historian the truly distinctive characteristic of oral tradition is its transmission by word of mouth over a period longer than the contemporary generation. This means that a tradition should be seen as a series of successive historical documents all lost except for the last one and usually interpreted by every link in the chain of transmission. It is therefore evidence at second, third or nth remove, but it is still evidence unless it be shown that a message does not finally rest on a first statement made by an observer. It cannot then be evidence for the event or situation in question, even though it still will be evidence for later events, those that gave rise to the "false" message.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Vansina also points out that the transmission is not a communication from "one link in one generation to a link in the next one". Rather, "the transmission really is communal and continuous": Vasina, p. 30. Oral traditions and their communication are a vital part of Tsilhqot'in society. They are told and retold while hunting or fishing, at camp, at gatherings or at home. As Chief William testified: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"that's the only way that we were Tsilhqot'in".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Applying Vansina's definition, the evidence tendered by the plaintiff can be characterized as both oral tradition and oral history evidence. The oral tradition evidence consists of verbal messages from the past beyond the present generation. Examples of this type of evidence include: descriptions of how and where the ?Esggidam (ancestors) participated in seasonal rounds; evidence of the locations of cultural depressions (the visible remains of Tsilhqot'in dwellings) that are understood to be created by the ?Esggidam; evidence about the formation of particular landmarks; and legends such as Lhin Desch'osh. These reported transmissions are communal and continuous. Other evidence can be characterized as oral history evidence. Examples of oral history include evidence of when a witness participated in seasonal rounds and how he or she learned from parents or grandparents about how to construct and live in traditional shelters.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Although oral traditions are continuous, unlike written documents they may change through their transmission. Vansina discusses this key distinction between oral and written accounts at pp. 195-6: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Oral and written sources differ with regard to the subjectivity of the encoder of the message. Oral sources are intangible, written sources are tangible. Tangible sources survive unaltered through time and are defined by their properties as objects. If they can be dated, they testify directly to the time of their manufacture. In this, a written source participates in the advantage of an archaeological source or an ancient monument. Nothing has altered the source since it was made, and because written sources are the only ones which are both messages and artifacts, the subjectivity of the encoder of the message is clear and unaltered since the time of writing. Copyists can add or subtract from the original message and add yet another interpretation to the message, but even there the sum of interpretations ends at the date of writing. Hence the concern of scholars with originals and contemporary, "first hand" written data. Here subjectivity is reduced to a minimum: an interpretation encoding the message at the time of the event and an interpretation of the decoder, the historian.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sources are intangible, such as oral tradition, ... they must be reproduced from the time of their first appearance until they are recorded. ... That means that they accumulate interpretations as they are being transmitted. There is no longer an original encoding interpretation and a decoding one, but there are many encoding and decoding interpretations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Nevertheless, one should keep in mind that the first encoded message limits the decoder's interpretation. Hence, and however much various successive encoders have altered original messages through selection or interpretation, they were also restrained by the previous interpretations. Such interpretations are therefore cumulative. The one a researcher is confronted with is to a degree a collective interpretation. It is the product of a continuing reflection about the past, the goal of which was not to find out "what really happened", but to establish what in the past, believed to be real, was relevant to the present.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Tsilhqot'in oral traditions come to life within that community. They are told and retold to members of that group within the context of a specific geographical location - Tsilhqot'in territory. How the community interprets those traditions is an unfolding process, based on their environment and culture. The oral traditions demonstrate how Tsilhqot'in people "establish what in the past, believed to be real, was relevant to the present".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xml:space="preserve">  Some Tsilhqot'in oral traditions have become written documents after they were recorded by visiting anthropologists. Reading the collection of legends collected by Livingston Farrand, </w:t>
      </w:r>
      <w:r>
        <w:rPr>
          <w:rFonts w:ascii="arial" w:eastAsia="arial" w:hAnsi="arial" w:cs="arial"/>
          <w:i/>
          <w:color w:val="000000"/>
          <w:sz w:val="20"/>
          <w:lang w:val="en-US" w:eastAsia="en-US" w:bidi="ar-SA"/>
        </w:rPr>
        <w:t>Traditions of the Chilcotin Indians</w:t>
      </w:r>
      <w:r>
        <w:rPr>
          <w:rFonts w:ascii="arial" w:eastAsia="arial" w:hAnsi="arial" w:cs="arial"/>
          <w:color w:val="000000"/>
          <w:sz w:val="20"/>
          <w:lang w:val="en-US" w:eastAsia="en-US" w:bidi="ar-SA"/>
        </w:rPr>
        <w:t xml:space="preserve"> (New York: 1900) and listening to the oral version of particular legends provided by Tsilhqot'in elders at trial, I was able to observe that stories have changed with the passage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Changes in an oral tradition pose a challenge where one seeks to use the evidence provided by that oral tradition to reconstruct the past. Vansina advocates a particular methodology when using oral history or oral tradition evidence for historical reproductions. He states at p. 196: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follows that oral traditions are not just a source about the past, but a historiology (one dare not write historiography!) of the past, an account of how people have interpreted it. As such oral tradition is not only a raw source. It is a hypothesis, similar to the historian's own interpretation of the past. Therefore oral traditions should be treated as hypotheses, and as the first hypothesis the modern scholar must test before he or she considers others. To consider them first means not to accept them literally, uncritically. It means to give them the attention they deserve, to take pains to prove or disprove them systematically for each case on its own merits.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xml:space="preserve">  Dr. Alexander von Gernet was called as a witness by Canada. He is an anthropologist and ethnohistorian. He was qualified to express opinions in the fields of oral history and oral traditions. His evidence on these subjects has been accepted and relied upon by other courts: see, for example, </w:t>
      </w:r>
      <w:r>
        <w:rPr>
          <w:rFonts w:ascii="arial" w:eastAsia="arial" w:hAnsi="arial" w:cs="arial"/>
          <w:b/>
          <w:i/>
          <w:color w:val="000000"/>
          <w:sz w:val="20"/>
          <w:lang w:val="en-US" w:eastAsia="en-US" w:bidi="ar-SA"/>
        </w:rPr>
        <w:t>Benoit v. Canada</w:t>
      </w:r>
      <w:r>
        <w:rPr>
          <w:rFonts w:ascii="arial" w:eastAsia="arial" w:hAnsi="arial" w:cs="arial"/>
          <w:color w:val="000000"/>
          <w:sz w:val="20"/>
          <w:lang w:val="en-US" w:eastAsia="en-US" w:bidi="ar-SA"/>
        </w:rPr>
        <w:t xml:space="preserve">, </w:t>
      </w:r>
      <w:hyperlink r:id="rId666" w:history="1">
        <w:r>
          <w:rPr>
            <w:rFonts w:ascii="arial" w:eastAsia="arial" w:hAnsi="arial" w:cs="arial"/>
            <w:i/>
            <w:color w:val="0077CC"/>
            <w:sz w:val="20"/>
            <w:u w:val="single"/>
            <w:shd w:val="clear" w:color="auto" w:fill="FFFFFF"/>
            <w:lang w:val="en-US" w:eastAsia="en-US" w:bidi="ar-SA"/>
          </w:rPr>
          <w:t>2003 FCA 236</w:t>
        </w:r>
      </w:hyperlink>
      <w:r>
        <w:rPr>
          <w:rFonts w:ascii="arial" w:eastAsia="arial" w:hAnsi="arial" w:cs="arial"/>
          <w:color w:val="000000"/>
          <w:sz w:val="20"/>
          <w:lang w:val="en-US" w:eastAsia="en-US" w:bidi="ar-SA"/>
        </w:rPr>
        <w:t xml:space="preserve">, </w:t>
      </w:r>
      <w:hyperlink r:id="rId666" w:history="1">
        <w:r>
          <w:rPr>
            <w:rFonts w:ascii="arial" w:eastAsia="arial" w:hAnsi="arial" w:cs="arial"/>
            <w:i/>
            <w:color w:val="0077CC"/>
            <w:sz w:val="20"/>
            <w:u w:val="single"/>
            <w:shd w:val="clear" w:color="auto" w:fill="FFFFFF"/>
            <w:lang w:val="en-US" w:eastAsia="en-US" w:bidi="ar-SA"/>
          </w:rPr>
          <w:t>228 D.L.R. (4th) 1</w:t>
        </w:r>
      </w:hyperlink>
      <w:r>
        <w:rPr>
          <w:rFonts w:ascii="arial" w:eastAsia="arial" w:hAnsi="arial" w:cs="arial"/>
          <w:color w:val="000000"/>
          <w:sz w:val="20"/>
          <w:lang w:val="en-US" w:eastAsia="en-US" w:bidi="ar-SA"/>
        </w:rPr>
        <w:t xml:space="preserve">. Dr. von Gernet wrote two reports for Canada to assist the Court in this case. The first report is entitled </w:t>
      </w:r>
      <w:r>
        <w:rPr>
          <w:rFonts w:ascii="arial" w:eastAsia="arial" w:hAnsi="arial" w:cs="arial"/>
          <w:i/>
          <w:color w:val="000000"/>
          <w:sz w:val="20"/>
          <w:lang w:val="en-US" w:eastAsia="en-US" w:bidi="ar-SA"/>
        </w:rPr>
        <w:t>Oral History and Oral Tradition Evidence in the Forensic Reconstruction of Aboriginal History and Practices</w:t>
      </w:r>
      <w:r>
        <w:rPr>
          <w:rFonts w:ascii="arial" w:eastAsia="arial" w:hAnsi="arial" w:cs="arial"/>
          <w:color w:val="000000"/>
          <w:sz w:val="20"/>
          <w:lang w:val="en-US" w:eastAsia="en-US" w:bidi="ar-SA"/>
        </w:rPr>
        <w:t xml:space="preserve"> (May 2006). This report advocates assessments on a case by case basis. Dr. von Gernet's evidence was that oral history and oral tradition evidence must be assessed by making three distinct inquiries into:</w:t>
      </w:r>
      <w:r>
        <w:rPr>
          <w:rFonts w:ascii="arial" w:eastAsia="arial" w:hAnsi="arial" w:cs="arial"/>
          <w:sz w:val="20"/>
          <w:lang w:val="en-US" w:eastAsia="en-US" w:bidi="ar-SA"/>
        </w:rPr>
        <w:cr/>
      </w:r>
    </w:p>
    <w:p>
      <w:pPr>
        <w:numPr>
          <w:numId w:val="1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context of the performance in which the oral history is related;</w:t>
      </w:r>
    </w:p>
    <w:p>
      <w:pPr>
        <w:numPr>
          <w:numId w:val="18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internal coherence of the oral history; and,</w:t>
      </w:r>
    </w:p>
    <w:p>
      <w:pPr>
        <w:numPr>
          <w:numId w:val="18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external comparison of the oral history with outside sources.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xml:space="preserve">  The third branch of this approach calls for some independent corroboration of the oral tradition evidence. Rejecting oral tradition evidence because of an absence of corroboration from outside sources would offend the directions of the Supreme Court of Canada. Trial judges are not to impose impossible burdens on Aboriginal claimants. The goal of reconciliation can only be achieved if oral tradition evidence is placed on an equal footing with historical documents. Oral tradition evidence "would be consistently and systemically undervalued" if it were never given any independent weight but only used and relied upon where there was confirmatory evidence: see </w:t>
      </w:r>
      <w:r>
        <w:rPr>
          <w:rFonts w:ascii="arial" w:eastAsia="arial" w:hAnsi="arial" w:cs="arial"/>
          <w:b/>
          <w:i/>
          <w:color w:val="000000"/>
          <w:sz w:val="20"/>
          <w:lang w:val="en-US" w:eastAsia="en-US" w:bidi="ar-SA"/>
        </w:rPr>
        <w:t>Delgamuukw</w:t>
      </w:r>
      <w:r>
        <w:rPr>
          <w:rFonts w:ascii="arial" w:eastAsia="arial" w:hAnsi="arial" w:cs="arial"/>
          <w:color w:val="000000"/>
          <w:sz w:val="20"/>
          <w:lang w:val="en-US" w:eastAsia="en-US" w:bidi="ar-SA"/>
        </w:rPr>
        <w:t xml:space="preserve"> (S.C.C.) at para. 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Canada says it is not their position, nor the position of Dr. von Gernet, that oral tradition evidence can only be given weight when it is corroborated by documentary or archaeological evidence. Corroboration will, of course, increase the ability of the court to assess historical factual accuracy. However, when oral history cannot be corroborated, it may still bear independent weight and the court must do its best to evaluate its strengths and weaknesses. Canada submits that, even where oral tradition is contradicted by documentary evidence, oral tradition evidence may still prevail and assessments must be made to gauge which, on a balance of probabilities, is more plausible. Such an approach is in keeping with the directions set out by the Supreme Court of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Despite what Canada has argued, I was left with the impression that Dr. von Gernet would be inclined to give no weight to oral tradition evidence in the absence of some corroboration. His preferred approach, following Vansina, involves the testing of oral tradition evidence produced in court by reference to external sources such as archaeology and documentary history. In the absence of such testing, he would not be prepared to offer an opinion on the weight to be given any particular oral tradition evidence. If such testing did not reveal some corroborative evidence, it is highly unlikely that he would give any weight to the particular oral tradition evidence. This approach is not legally sound. Trial judges have received specific directions that oral tradition evidence, where appropriate, can be given independent weight. If a court were to follow the path suggested by Dr. von Gernet, it would fall into legal error on the strength of the current jurisprudence.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xml:space="preserve">  Dr. von Gernet also presented a second report entitled </w:t>
      </w:r>
      <w:r>
        <w:rPr>
          <w:rFonts w:ascii="arial" w:eastAsia="arial" w:hAnsi="arial" w:cs="arial"/>
          <w:i/>
          <w:color w:val="000000"/>
          <w:sz w:val="20"/>
          <w:lang w:val="en-US" w:eastAsia="en-US" w:bidi="ar-SA"/>
        </w:rPr>
        <w:t>Analysing Tsilhqot'in Oral Traditions</w:t>
      </w:r>
      <w:r>
        <w:rPr>
          <w:rFonts w:ascii="arial" w:eastAsia="arial" w:hAnsi="arial" w:cs="arial"/>
          <w:color w:val="000000"/>
          <w:sz w:val="20"/>
          <w:lang w:val="en-US" w:eastAsia="en-US" w:bidi="ar-SA"/>
        </w:rPr>
        <w:t>. In this report, Dr. von Gernet assessed the oral tradition evidence submitted in this case. At p. 4, he explains his role in this regard was "to assist the Court in assessing whether, or to what extent, oral tradition evidence is useful and reliable in the forensic reconstruction of an actual past, without in any way usurping the Court's function of assessing the credibility of the witnesses through whom such evidence has been tendered". Dr. Von Gernet arrived at two conclusions at pp. 91-92: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Many, but by no means all, of the Tsilhqot'in personal narratives or oral traditions are rich in detail and internally consistent with each other. Here, as in many other cases, some elements of the traditions may be used either independently or in concert with other evidence to reconstruct the lifeways of people in the past, at least in the short term. The problem is that, while they may be reliable in some respects (such as a record of certain traditional fishing or hunting practices), in this instance, they are not a reasonably reliable historical record of the actual use of particular locations at or prior to 1846.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general, the traditions relating to the "Chilcotin War" are not unlike other Aboriginal traditions about specific nineteenth-century events, in that they likely contain at least some independent information about what actually happened, together with modern inferences about why things happened. Once again the problem is the use to which they are now being put. Having examined the Tsilhqot'in oral traditions about this war, it is my opinion that this corpus does not strongly support a theory that the Tsilhqot'in people of 1864 intended to maintain exclusive use and occupancy of the Claim Area, particularly since the story-tellers (including the Plaintiff himself) cite alternate motivations.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While Dr. von Gernet's second opinion concludes with a touch of argument, it is an opinion that has been expressed by others in the course of this trial. While I accept much of what Dr. von Gernet has said, I conclude he would not give oral tradition evidence any weight without some corroboration from an outside source. As I have noted, this approach is not supported by the jurisprudence. When I consider the oral tradition evidence about the Tsilhqot'in War, I believe it does give some support to a theory that the Tsilhqot'in people of 1864 intended to maintain some control over the use and occupation of Tsilhqot'in territory by others. I am called upon to weigh that evidence along with all the other evidence I heard concerning the causes of that historic conflict.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The plaintiff relies upon the evidence of John Dewhirst, a cultural anthropologist. In my preliminary ruling on the issue of oral tradition evidence, I relied on an opinion of Dewhirst that had been filed in affidavit form.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In his affidavit, Dewhirst expressed the view that Tsilhqot'in oral history is maintained primarily by repetition and that Tsilhqot'in people are generally reluctant to relate oral history unless they are confident they are able to accurately recount an event or piece of knowledge. He also said that Tsilhqot'in people have a "subtle and intricate system of cultural checks related to the transmission of oral history". This system includes: (1) repetition between family members providing opportunities to check consistency; (2) caution in relating oral history only if they are confident and certain; (3) deference to those who are more knowledgeable and/or raised in a "traditional way"; (4) recognition by elders of their role to relate oral history to the young; and (5) relating oral histories when engaged in traditional activities at particular places.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Dewhirst acknowledged his work has been influenced by Vansina's approach to the assessment of oral tradition evidence. Dewhirst was much less critical of oral tradition evidence and, contrary to the Vansina approach, less concerned with providing or disproving such evidence "systematically for each case on its merits". He was, however, prepared to give it independent weight and, to that extent, he was following the directions of the Supreme Court of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Dewhirst was able to check his oral history and oral tradition sources in his geneology work. His efforts to identify the ancestors of the modern Xeni Gwet'in community was of great assistance to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xml:space="preserve">  Tsilhqot'in oral history and oral tradition practices are somewhat less formal than those reported in </w:t>
      </w:r>
      <w:r>
        <w:rPr>
          <w:rFonts w:ascii="arial" w:eastAsia="arial" w:hAnsi="arial" w:cs="arial"/>
          <w:b/>
          <w:i/>
          <w:color w:val="000000"/>
          <w:sz w:val="20"/>
          <w:lang w:val="en-US" w:eastAsia="en-US" w:bidi="ar-SA"/>
        </w:rPr>
        <w:t>Delgamuukw</w:t>
      </w:r>
      <w:r>
        <w:rPr>
          <w:rFonts w:ascii="arial" w:eastAsia="arial" w:hAnsi="arial" w:cs="arial"/>
          <w:color w:val="000000"/>
          <w:sz w:val="20"/>
          <w:lang w:val="en-US" w:eastAsia="en-US" w:bidi="ar-SA"/>
        </w:rPr>
        <w:t xml:space="preserve"> (B.C.S.C.). In that case the trial judge was presented with the </w:t>
      </w:r>
      <w:r>
        <w:rPr>
          <w:rFonts w:ascii="arial" w:eastAsia="arial" w:hAnsi="arial" w:cs="arial"/>
          <w:i/>
          <w:color w:val="000000"/>
          <w:sz w:val="20"/>
          <w:lang w:val="en-US" w:eastAsia="en-US" w:bidi="ar-SA"/>
        </w:rPr>
        <w:t>adaawk</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kungax</w:t>
      </w:r>
      <w:r>
        <w:rPr>
          <w:rFonts w:ascii="arial" w:eastAsia="arial" w:hAnsi="arial" w:cs="arial"/>
          <w:color w:val="000000"/>
          <w:sz w:val="20"/>
          <w:lang w:val="en-US" w:eastAsia="en-US" w:bidi="ar-SA"/>
        </w:rPr>
        <w:t xml:space="preserve"> of the claimant First Nations, which Lamer C.J.C. described, at para. 93,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adaawk and kungax of the Gitksan and Wet'suwet'en nations, respectively, are oral histories of a special kind. They were described by the trial judge, at p. 164, as a "sacred 'official' litany, or history, or recital of the most important laws, history, traditions and traditional territory of a House". The content of these special oral histories includes its physical representation totem poles, crests and blankets. The importance of the adaawk and kungax is underlined by the fact that they are "repeated, performed and authenticated at important feasts" (at p. 164). At those feasts, dissenters have the opportunity to object if they question any detail and, in this way, help ensure the authenticity of the adaawk and kungax.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xml:space="preserve">  The trial judge in </w:t>
      </w:r>
      <w:r>
        <w:rPr>
          <w:rFonts w:ascii="arial" w:eastAsia="arial" w:hAnsi="arial" w:cs="arial"/>
          <w:b/>
          <w:i/>
          <w:color w:val="000000"/>
          <w:sz w:val="20"/>
          <w:lang w:val="en-US" w:eastAsia="en-US" w:bidi="ar-SA"/>
        </w:rPr>
        <w:t>Delgamuukw</w:t>
      </w:r>
      <w:r>
        <w:rPr>
          <w:rFonts w:ascii="arial" w:eastAsia="arial" w:hAnsi="arial" w:cs="arial"/>
          <w:color w:val="000000"/>
          <w:sz w:val="20"/>
          <w:lang w:val="en-US" w:eastAsia="en-US" w:bidi="ar-SA"/>
        </w:rPr>
        <w:t xml:space="preserve"> was also called upon to consider oral history evidence, which he characterized as "recollections of aboriginal life". He also considered the "territorial affidavits", affidavits sworn by claimant group chiefs attesting to the territorial holdings of each Gitksan or Wet'suwet'en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xml:space="preserve">  Tsilhqot'in oral history and oral tradition evidence can loosely be grouped into three categories. The first category, constituting the majority of the oral history evidence, can be generally characterized as "recollections of aboriginal life" as that heading was described in </w:t>
      </w:r>
      <w:r>
        <w:rPr>
          <w:rFonts w:ascii="arial" w:eastAsia="arial" w:hAnsi="arial" w:cs="arial"/>
          <w:b/>
          <w:i/>
          <w:color w:val="000000"/>
          <w:sz w:val="20"/>
          <w:lang w:val="en-US" w:eastAsia="en-US" w:bidi="ar-SA"/>
        </w:rPr>
        <w:t>Delgamuukw</w:t>
      </w:r>
      <w:r>
        <w:rPr>
          <w:rFonts w:ascii="arial" w:eastAsia="arial" w:hAnsi="arial" w:cs="arial"/>
          <w:color w:val="000000"/>
          <w:sz w:val="20"/>
          <w:lang w:val="en-US" w:eastAsia="en-US" w:bidi="ar-SA"/>
        </w:rPr>
        <w:t xml:space="preserve">. Evidence in this category consists of a witness's account of what he or she learned from deceased individuals within the </w:t>
      </w:r>
      <w:r>
        <w:rPr>
          <w:rFonts w:ascii="arial" w:eastAsia="arial" w:hAnsi="arial" w:cs="arial"/>
          <w:b/>
          <w:i/>
          <w:color w:val="000000"/>
          <w:sz w:val="20"/>
          <w:lang w:val="en-US" w:eastAsia="en-US" w:bidi="ar-SA"/>
        </w:rPr>
        <w:t>Tsilhqot'in Nation v. British Columbia Page 51</w:t>
      </w:r>
      <w:r>
        <w:rPr>
          <w:rFonts w:ascii="arial" w:eastAsia="arial" w:hAnsi="arial" w:cs="arial"/>
          <w:color w:val="000000"/>
          <w:sz w:val="20"/>
          <w:lang w:val="en-US" w:eastAsia="en-US" w:bidi="ar-SA"/>
        </w:rPr>
        <w:t xml:space="preserve"> community concerning genealogy or traditional activities and practices, including land 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The second category consists primarily of a witness's version of legends and stories about events from the more distant past-oral traditions said to be shared by the larger community.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The third category relates to specific historical events. I include in this category: the Tsilhqot'in War, an encounter with the "Qaju" or Homalco people on the slopes of Potato Mountain and the forced removal of Edmund Elkins from Lhiz Bay Biny to the Elkin Creek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Oral traditions differ from Aboriginal nation to Aboriginal nation. Even within an Aboriginal group, the oral traditions of the community may be handed down across generations in a variety of ways. Some of these mechanisms of transmission may be highly formalized and structured, others entirely without form or structure.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The Tsilhqot'in method of oral transmission is an expression of their non-hierarchical society and culture. While elders (and in some instances, particular elders) are recognized as having more expertise in the relating of oral history and traditions, there are no formally recognized experts within Tsilhqot'in society. Nor does an individual require community permission or authority to relay oral traditions. Some elders said that story tellers would be corrected if the story were told incorrectly. Others did not accept that proposition. Some elders said that certain oral traditions (myths and legends) could only be told after sunset, others disagreed. Those witnesses who would not tell stories until after the sun had set were accommodated by the Court holding special evening sittings. Other witnesses were comfortable telling the stories during the normal daylight sitting hours. Formalities about story telling varied with the witnesses. These differences of opinion on the formalities of story telling do not detract from the weight to be given to the oral histories and traditions.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I agree with the view expressed by Dr. von Gernet that many of the Tsilhqot'in personal narratives or oral traditions are rich in detail and internally consistent with each other. As Dr. von Gernet concludes, some elements of these oral histories and traditions "may be used either independently or in concert with other evidence to reconstruct the lifeways of people in the past, at least in the short term". They are reliable as a record of certain traditional fishing or hunting practices. Contrary to the view he expressed, I find that some oral tradition evidence of Tsilhqot'in people does assist in the construction of a reasonably reliable historical record of the actual use of some portions of the Claim Area at or prior to 1846.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The myths and legends of Tsilhqot'in people connect them to their land. Can these myths or legends assist in any measure to provide historical evidence for the periods that are relevant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Lhin Desch'osh is a central Tsilhqot'in myth. According to Tsilhqot'in witnesses, it is an account of both their origins as a distinctive Tsilhqot'in people, and of their shared homeland. The version of Lhin Desch'osh (Lendix'tcux) recorded by Farrand in 1897 mentions "Chilcotin country" and provides a rough sketch of some of its most distinctive features, including the Tsilhqox (Chilco River), Tsilhqox Biny (Chilko Lake) and the Dasiqox (Taseko River). The plaintiff invites the court to infer that Tsilhqot'in people were using and occupying these locations for a long time prior to 1897 because the locations were recorded by Farrand in this important and elaborate myth.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xml:space="preserve">  In his report Dr. von Gernet expressed the opinion that "a raconteur's identification of his or her source (e.g. grandparent or respected elder), a faithful reproduction, frequent repetition and an assurance that the story is very old, are insufficient to show that we are dealing with a myth related from remote times by a particular culture": von Gernet Report, p. 49. Furthermore, he says at p. 50 that "most of the Tsilhqot'in myths published by Farrand are, </w:t>
      </w:r>
      <w:r>
        <w:rPr>
          <w:rFonts w:ascii="arial" w:eastAsia="arial" w:hAnsi="arial" w:cs="arial"/>
          <w:i/>
          <w:color w:val="000000"/>
          <w:sz w:val="20"/>
          <w:lang w:val="en-US" w:eastAsia="en-US" w:bidi="ar-SA"/>
        </w:rPr>
        <w:t>for whatever reason</w:t>
      </w:r>
      <w:r>
        <w:rPr>
          <w:rFonts w:ascii="arial" w:eastAsia="arial" w:hAnsi="arial" w:cs="arial"/>
          <w:color w:val="000000"/>
          <w:sz w:val="20"/>
          <w:lang w:val="en-US" w:eastAsia="en-US" w:bidi="ar-SA"/>
        </w:rPr>
        <w:t>, essentially the same as those told by other peoples, are fragments of longer myths told elsewhere, or are local adaptations of a standard repertoire".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The evidence I heard leads to the conclusion that a variation of this story is part of the repertoire of many North American Aboriginal groups. The references to local geography are adapted to suit local conditions. One witness told the court that the Toosey people have different and fewer "stone dogs" - referred to in Lhin Desch'osh - than the Xeni people. Dr. von Gernet noted that the Secwepemc (Shuswap) version of the Lhin Desch'osh myth (told to Farrand eight years before he visited Tsilhqot'in people) contains references to specific locations within Secwepemc territory.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The commonality between the oral traditions of North American Aboriginal groups is not surprising. The Tsilhqot'in people share a common ancestry with other Athapaskan people. There was also an active trade system between neighbouring Aboriginal groups which provided an opportunity to communicate stories and legends. As groups of people migrated and shifted their geographical locations, the details of the stories and legends also shifted to match the groups' current subjective experience. This gradual shift makes it difficult, if not impossible, to place an accurate time depth on a peoples' arrival in any particular area based on the details contained in myth or legend.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The legend of Ts'il?os and ?Eniyud tells of the origin of Ts'il?os (Mount Tatlow), of ?Eniyud Dzelh rising to the west of Talhiqox Biny (Tatlayoko Lake) and of the planting of wild potatoes throughout Tsimol Ch'ed (Potato Mountain) and Xeni (Nemiah Valley). Tsilhqot'in people rely upon this legend to assert that they have occupied these spaces since the origins of the land itself. I do not challenge the sincerity of these beliefs. However, neither this legend nor the legend of Lhin Desch'osh can be taken as evidence that Tsilhqot'in people used or occupied those locations from the beginning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However, given the ages of some witnesses who recounted the legend of Lhin Desch'osh for the court, and understanding that Farrand heard the legend from Tsilhqot'in people in the late nineteenth century, I am satisfied that the legend was developed before first contact with Europeans and well before fur traders of the HBC visited the Claim Area in the second quarter of the nineteenth century. Farrand does not report hearing the legend of Ts'il?os and ?Eniyud. However, I am satisfied that legend shows territorial familiarity of Tsilhqot'in people stretching back several generations into the eighteenth century.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xml:space="preserve">  The most detailed version of the story of Lhin Desch'osh was presented as a written exhibit, as recorded in Livingston Farrand's 1900 publication, </w:t>
      </w:r>
      <w:r>
        <w:rPr>
          <w:rFonts w:ascii="arial" w:eastAsia="arial" w:hAnsi="arial" w:cs="arial"/>
          <w:i/>
          <w:color w:val="000000"/>
          <w:sz w:val="20"/>
          <w:lang w:val="en-US" w:eastAsia="en-US" w:bidi="ar-SA"/>
        </w:rPr>
        <w:t>Traditions of the Chilcotin Indians</w:t>
      </w:r>
      <w:r>
        <w:rPr>
          <w:rFonts w:ascii="arial" w:eastAsia="arial" w:hAnsi="arial" w:cs="arial"/>
          <w:color w:val="000000"/>
          <w:sz w:val="20"/>
          <w:lang w:val="en-US" w:eastAsia="en-US" w:bidi="ar-SA"/>
        </w:rPr>
        <w:t>. I heard many elders relate portions of the legend of Lhin Desch'osh, a legend that is said to be a Tsilhqot'in creation story. The story, as told to me in court, was consistent in theme and lesson but lacked consistency in detail. Herein lays an excellent object lesson.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There is a natural tendency to view Farrand's account and conclude that much has been lost in the ensuing century. But I do not know how Farrand collected and constructed his version of the legend. I do not know how many Tsilhqot'in people he interviewed. I do not have evidence as to whether he accurately recorded or indeed, if he took any literary licence. If all the oral versions of Lhin Desch'osh available today could be recorded and compiled as a single version, how would that document compare with Farrand's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This points to the conclusion that it is not details that need close examination. If the legend is to establish "what in the past, believed to be real [is] relevant to the present", I must be sensitive to the fact that I am listening to "a communal and continuous communication" and it is the underlying theme or lesson that provides consistency to the legend. Thus, as a listener, I must gather up the fragments of this collective story and seek to determine what, if anything, it tells me about the presence and activities of Tsilhqot'in people in the Claim Area pre-contact and at the time of sovereignty assertion.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Anthropologist Robert Lane spent approximately 12 months living with and studying Tsilhqot'in people between 1948 and 1951. His recordings of Tsilhqot'in oral histories during those years are a valuable record against which to consider the oral histories adduced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xml:space="preserve">  A review of Lane's work indicates there may be some loss of Tsilhqot'in oral traditions concerning the presence of other Aboriginal people in the Claim Area. In his article entitled "Chilcotin", included in Volume 6 of the </w:t>
      </w:r>
      <w:r>
        <w:rPr>
          <w:rFonts w:ascii="arial" w:eastAsia="arial" w:hAnsi="arial" w:cs="arial"/>
          <w:i/>
          <w:color w:val="000000"/>
          <w:sz w:val="20"/>
          <w:lang w:val="en-US" w:eastAsia="en-US" w:bidi="ar-SA"/>
        </w:rPr>
        <w:t>Handbook of North American Indians</w:t>
      </w:r>
      <w:r>
        <w:rPr>
          <w:rFonts w:ascii="arial" w:eastAsia="arial" w:hAnsi="arial" w:cs="arial"/>
          <w:color w:val="000000"/>
          <w:sz w:val="20"/>
          <w:lang w:val="en-US" w:eastAsia="en-US" w:bidi="ar-SA"/>
        </w:rPr>
        <w:t>, (Washington: Smithsonian Institution, 1981), Lane recounted the following oral tradition from his Tsilhqot'in informants at p. 402: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Many older Chilcotins believed that other peoples once lived in parts of what is now Chilcotin territory and that the Chilcotin at that time occupied the drainage system of the Chilcotin River above where it joins the Chilko River and perhaps the upper Nazko River. They believed that the Bella Coola once controlled most of the habitable lands along the east front of the Coast Range south of Anahim Lake. Salish people lived around the headwaters of the Homalco River. The main valley of the Chilcotin River was the home of a semi-mythical people, the ?enaycel 'little Salishan(s)' who lived in pit houses and subsisted on salmon. The Chilcotin entered the valley, scared the ?enaycel away, and took over the salmon fishery.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During the course of this trial, some witnesses provided oral tradition evidence about the ?Enaycel (Little Salishans or little Shuswap). However, many of the Tsilhqot'in witnesses did not relate stories regarding the ?Enaycel when asked about past residents of the Claim Area and some denied that others had ever occupied the Claim Area. I did not hear any oral tradition evidence regarding the Nuxalk (Bella Coola) controlling much of the habitable lands along the east front of the Coast Range south of Anahim Lake. I am not able to say if this area referred to by Lane would be inclusive of the Claim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xml:space="preserve">  In his 1953 thesis entitled </w:t>
      </w:r>
      <w:r>
        <w:rPr>
          <w:rFonts w:ascii="arial" w:eastAsia="arial" w:hAnsi="arial" w:cs="arial"/>
          <w:i/>
          <w:color w:val="000000"/>
          <w:sz w:val="20"/>
          <w:lang w:val="en-US" w:eastAsia="en-US" w:bidi="ar-SA"/>
        </w:rPr>
        <w:t>Cultural Relations of the Chilcotin Indians of West Central British Columbia</w:t>
      </w:r>
      <w:r>
        <w:rPr>
          <w:rFonts w:ascii="arial" w:eastAsia="arial" w:hAnsi="arial" w:cs="arial"/>
          <w:color w:val="000000"/>
          <w:sz w:val="20"/>
          <w:lang w:val="en-US" w:eastAsia="en-US" w:bidi="ar-SA"/>
        </w:rPr>
        <w:t xml:space="preserve"> (Ph.D. Thesis, University of Washignton, 1953) [unpublished], Robert Lane also recounted Tsilhqot'in oral tradition. Lane described "Bute Inlet people" coming up to Tsilhqox Biny and building 'salt water' houses and canoes and attempting raids, at p. 91. According to Lane's informants, the Bute Inlet people stayed on the lake for several years and the Tsilhqot'in "simply avoided the lake at this time": thesis, p. 91. I did not hear any oral tradition evidence concerning these "salt water houses". There is nothing in Lane's work that would date the presence of these structures. By the time Alfred Waddington began the construction of his failed overland route to the gold fields, the historical record leads to but one conclusion: the Homalco people living at Bute Inlet feared the Tsilhqot'in and were reluctant to venture into Tsilhqot'in territory. I did hear oral tradition evidence recounting the killing of Tsilhqot'in young women on Tsimol Ch'ed by the Qaju (Homalco) and the subsequent reprisal attack and running off of these invaders by Tsilhqot'in warriors. However, there is certainly no historical evidence before me supporting the presence of Homalco people on Tsilhqox Biny.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Another set of Tsilhqot'in oral histories, described by Lane, that I did not hear at trial are accounts of non-Tsilhqot'in pit houses in and around the Claim Area. In his 1953 thesis, Lane distinguished between two types of pit house sites: "relatively large sites with numerous closely spaced pits ... located along the Chilcotin River or at the lower ends of large lakes in the western part of the country"; and small, widely scattered pit house sites with only a few pits in each site and located far away from the Chezqox (Chilcotin River): at p. 275. He concluded that the large sites were not Tsilhqot'in, based in part on Tsilhqot'in oral history: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Chilcotin deny that they are Chilcotin sites or that the Chilcotin had ever wintered along the river. At least one of the important large sites is in territory which informants claim was never occupied by Chilcotin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Furthermore, informants who deny Chilcotin occupation of the large river sites specifically identify them as Little Shuswap.</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the other hand, the Chilcotin do claim as their own the isolated lake pit house sites. The size of these sites is consistent both with knowledge of Chilcotin patterns of living and with the assumption that pit houses were only recently adopted by the Chilcotin. A few of these sites or pits can be associated with specific families.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Lane mapped the pit house sites that he was told about by Tsilhqot'in informants on Map 2 of his thesis at p. 36. He also indicates whether the pit house sites were said by Tsilhqot'in people to be Tsilhqot'in or non-Tsilhqot'in. In doing so, Lane noted that he visited few of the sites and made no methodical survey of them. It follows that he relied almost entirely on Tsilhqot'in oral history and oral traditions in this regard. Many of the sites identified as non-Tsilhqot'in by Lane (based on Tsilhqot'in oral tradition) are in and around the Claim Area and, more specifically, at the north end of Tsilhqox Biny and along the Tsilhqox.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The Tsilhqot'in oral history and oral tradition evidence attributes pit house sites in the Claim Area to the ?Esiggidam. Many witnesses specifically refuted the notion that other Aboriginal groups may have lived in the area and built or lived in any of the pit houses in and around the Claim Area. For example, Theophile Ubill Lulua stated that he had only heard of Tsilhqot'in people living in pit houses "around here" and that he had never heard that any other people were in "these territories".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Martin Quilt testified that he was told stories about "Little Shuswap" living near Tl'egwated (Kigli Holes) and building big pit houses. However, he still attributed all the pit house sites that he knew about to Tsilhqot'in people.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I acknowledge the archeological record is clear that some of the pit houses in the area are of a non-Tsilhqot'in origin. When I weigh the entirety of the evidence including: Lane's work, the oral traditions I heard at trial, the archeological and anthropological evidence, and the historical evidence; it does not reveal to me the presence of any other Aboriginal group in the Claim Area in the late eighteenth or early nineteenth century. I am not able to conclude that relevant oral traditions were kept from me during the course of this trial. I heard what was available to be heard.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Finally, I heard no oral tradition evidence concerning the migration of Tsilhqot'in people to the Claim Area. The evidence at trial was Tsilhqot'in people had lived in the region and in particular the Claim Area from the beginning of time. Doris Lulua said they had been there "ever since the earth began". Martin Quilt testified the Tsilhqot'in people came from in and around the Claim Area and had not moved there from some other location.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In his 1981 article, Robert Lane wrote, at p. 402, that "Their own recollections carry no hint of such a move. They have no traditions of migration or of the origin of themselves as a people". Similarly, the early ethnographer James Teit was unable to obtain any tradition of a migration of Tsilhqot'in people to the southeast.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In contrast, external sources consistently state that Tsilhqot'in people moved into the area in the not so distant past. Again, in his 1981 article at p. 402, Robert Lane wrote that "[t]he Chilcotin probably moved from a more northerly region onto the Chilcotin plateau in the not too distant past". He was inclined to place their move to their present location to a "very late date" and quite possibly linked to the movements of various Aboriginal groups taking place across Western Canada in the mid-eighteenth and early nineteenth centuries: Lane Thesis, p. 279.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Both James Teit and Livingston Farrand document the centre of the Tsilhqot'in community shifting from the Anahim Lake area down to the Chilcotin River Valley in the 1860's. Tsilhqot'in oral traditions do not record a migration into the Claim Area. As a result, I must look to other evidence to reconstruct this piece of the past.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I have also considered the reliability of Tsilhqot'in oral history evidence in the context of the story told about the death of Chief Sil Canem. This Tsilhqot'in oral history is contradicted by external sources. Chief Roger William testified about a persistent oral history among members of the Xeni Gwet'in that Chief Sil Canem was murdered in 1932 in order to prevent his securing Xeni as an Indian reserve. According to the oral history, Sil Canem had a paper by which the Federal Government set all of Xeni as a reserve but, before he could accomplish this goal, he was murdered by Andy George who had been hired by one of the Purjue brothers.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This oral history account concerning Chief Sil Canem is not confirmed by any external source and, in fact, is contradicted by the results of a coroner's inquest that described Chief Sil Canem as dying by falling in a fire, without mention of Andy George or any other act of murder.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One must always bear in mind that the reports to the Coroner might not be accurate. They are only as reliable as the evidence the Coroner received. Disrespect for Aboriginal people is a consistent theme in the historical documents. At this point in time, there is no way to reinvestigate this death to determine what actually happened. It is noteworthy, in passing, that a "conspiracy theory" about particular important events appears commonplace even within modern nation states.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I also did not hear any oral tradition evidence concerning the arrival of HBC people and the construction of Fort Chilcotin. HBC records lead one to conclude that the HBC was deliberately established in Tsilhqot'in territory to facilitate trade with Tsilhqot'in people. Nothing concerning its arrival or departure was considered significant enough from the Tsilhqot'in perspective to report these events from one generation to another. There are oral traditions concerning the visits of priests but they lacked any detail beyond the fact of the visits. There are also oral traditions that related to the events of the Tsilhqot'in War of which I will have more to say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I am satisfied that all of the witnesses who related oral tradition and oral history evidence at trial did so to the best of their abilities. The central theme and lessons of the legends remained consistent. I propose to take this entire body of evidence into account and to the extent that I am able, consider it from the Aboriginal perspective. If the oral history or oral tradition evidence is sufficient standing on its own to reach a conclusion of fact, I will not hesitate to make that finding. If it cannot be made in that manner, I will seek corroboration from the anthropological, archeological and historical records. I understand my task is to be fair and to try to avoid an ethnocentric view of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 Historical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A comprehensive record of historical documents has been tendered in these proceedings. The records span the period from the eighteenth to the twenty-first centuries. It is surprisingly comprehensive, providing rich and informative details and insight on particular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The historical record includes the journals of early explorers of what was to become the Province of British Columbia. For example, there are extracts from the journals of Captain George Vancouver, Alexander Mackenzie and Simon Fraser.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Western Canada is the repository of the most complete records of first contact between Europeans and Aboriginal peoples anywhere in the world. This record is contained in the detailed journals kept by the Officers and Gentlemen of the HBC. Copies of the relevant journals, where available, form a valuable part of the record of this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The fur traders were followed by Christian missionaries. Once again, where relevant and available, copies of the journals of missionary priests are part of the trial record. The arrival of missionaries had a profound and lasting impact on Tsilhqot'in people, many of whom embraced a new form of spirituality. The records of these early Christian missionaries make an important contribution to our understanding of this time in the history of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Some years later, railroad surveyors met and interacted with Tsilhqot'in people. The surveyors recorded their observations and opinions in journals that also form part of this trial's extensive record.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There are also copies of reports, correspondence and newspaper articles spanning a 250 year period. The written work of scholars who studied and reported on this record has also been of great assistance.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There is always a Eurocentric tendency to look for and rely on the written word. Try as one might, it is difficult to read these words and not see in them events as they really were. To follow this path in a trial of this nature would relegate oral history and oral tradition evidence to some lesser level of importance, contrary to the directions of the Supreme Court of Canada. Important as the historical documents are, I have attempted at all times to give equal weight to the oral history and oral tradition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 HISTORICAL NARRATIVE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What follows is not a comprehensive history of the Chilcotin Region of British Colombia. It is a sketch of the important events that have occurred in this area. It is intended to place the events of this trial and this judgment in an historical context.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As one might expect, the historical and pre-historic record of this part of British Columbia was not written by the Tsilhqot'in, but by Europeans and, subsequently, Euro-Canadians. Accordingly, it is important to consider Tsilhqot'in oral history to balance and complete the picture.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 Pre-Historic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i. Dene/Athapaskan Migrations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There is some disagreement over the exact pathway and timing of early migrations into North America. Many archaeologists agree that the Nadene people arrived in North America approximately 10,600 radiocarbon years Before Present (BP). During the thousands of years following this migration the Nadene people diversified into many different cultures. Their subsequent migrations into different parts of North America led to the development of technologies and lifestyles suited to particular geographic locations.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Members of the Athapaskan language group are descendants of the Nadene people. Between 500 and 800 years ago, Tsilhqot'in people began to diverge (linguistically) from other Northern Athapaskan people.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Prior to the arrival of Athapaskan speaking people, the Chilcotin Region was populated by members of the Plateau Pithouse Tradition (PPT). Archaeologist Dr. Richard Matson was called as a witness for the plaintiff. He was qualified to express opinions concerning the length of time Tsilhqot'in people have been in the Claim Area. Dr. Matson conducted field research on several different locations in the Chilcotin Region. One of those locations was within Tachelach'ed (Brittany Triangle). The other two locations were within the Trapline Territory. He determined that the PPT people commenced living on the Chilcotin Plateau approximately 2,000 years Before Present. The PPT people ceased occupation in that area sometime after 1400 AD but before 1500 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The PPT is characterized in part by the pit house winter dwelling. The pit house is an elaborate structure. Most of the dwelling is below ground. A roof is built over the structure and is then covered with earth. These dwellings were usually assembled together in large groups close to a water source such as a river or lake.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The PPT people who lived in the Chilcotin Region may have spoken a variation of the Salish language.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What caused the PPT people to leave the Chilcotin Region is a mystery. Dr. Matson was unable to say where the PPT people went, or if people in neighbouring areas are descendants of these PPT people.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Pit house remains are located by the Chezqox (Chilcotin River) on the Chilcotin Plateau in Tachelach'ed and elsewhere in the Claim Area. Tsilhqot'in people associate some of these sites with a people known as the ?Ena Tsel (Little Shuswap).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As previously noted, Robert Lane, in his unpublished 1953 Ph.D. dissertation, noted that Tsilhqot'in elders recognized that a number of the areas more recently occupied by Tsilhqot'in people were previously inhabited by other groups.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The chasing of the ?Ena Tsel from the Tsilhqox (Chilko River) corridor, particularly in the area of Tl'egwated (Kigli Holes), was raised by more than one Tsilhqot'in witness in the course of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Tsilhqot'in oral traditions describe the ?Ena Tsel as a group of people with a short stature (3 or 4 feet tall), who spoke a language Tsilhqot'in people did not understand. According to these traditions the ?Ena Tsel lived in pit houses along the Tsilhqox. Some of the oral tradition evidence suggests that Tsilhqot'in people killed the ?Ena Tsel. Other oral tradition evidence suggests Tsilhqot'in people drove them away. The oral traditions do not explain where the ?Ena Tsel went and deny that the Stl'atl'imx (Lillooet), Nuxalk (Bella Coola), Secwepemc (Shuswap) are descendants of the ?Ena Tsel.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At around the disappearance of the PPT people, Athapaskan speaking people migrated into the region. Dr. Matson was unable to say with certainty whether these Athapaskan speaking people were Tsilhqot'in people or whether they were another Athapaskan people such as the Dakelh (Carrier). However, Dr. Matson assumed these people were Tsilhqot'in people based on Tsilhqot'in present occupation.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Athapaskan people traditionally built rectangular winter lodges consisting of a single ridgepole and combined roofs and walls to form an "A" shaped cross section. Athapaskan people also traditionally used a distinctive boat shaped hearth. They are also known to have built isolated pit house dwellings, smaller than those built by people of the PPT.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Athapaskan speaking people have populated the Chilcotin Region for hundreds of years. Dr. Matson concluded that Tsilhqot'in people have been in the region since at least 1645-1660 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 Proto-Historic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i. Early European Exploration to 1808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xml:space="preserve">  Over 500 years ago and before the migration of Tsilhqot'in people to the Claim Area, colonization of North America began with the migration of Europeans to this continent. In the sixteenth century Spanish people explored the continent's western shores. Shrouded in secrecy, Sir Francis Drake departed from Plymouth, England on December 13, 1577. His voyage consumed almost three years and is said to have reached to the shores of what is now British Columbia which he named New Albion: Samuel R. Bawlf, </w:t>
      </w:r>
      <w:r>
        <w:rPr>
          <w:rFonts w:ascii="arial" w:eastAsia="arial" w:hAnsi="arial" w:cs="arial"/>
          <w:i/>
          <w:color w:val="000000"/>
          <w:sz w:val="20"/>
          <w:lang w:val="en-US" w:eastAsia="en-US" w:bidi="ar-SA"/>
        </w:rPr>
        <w:t>The Secret Voyage of Sir Francis Drake</w:t>
      </w:r>
      <w:r>
        <w:rPr>
          <w:rFonts w:ascii="arial" w:eastAsia="arial" w:hAnsi="arial" w:cs="arial"/>
          <w:color w:val="000000"/>
          <w:sz w:val="20"/>
          <w:lang w:val="en-US" w:eastAsia="en-US" w:bidi="ar-SA"/>
        </w:rPr>
        <w:t xml:space="preserve"> (Vancouver: Douglas and McIntyre,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xml:space="preserve">  In 1606 The First Charter of Virginia was signed. In </w:t>
      </w:r>
      <w:r>
        <w:rPr>
          <w:rFonts w:ascii="arial" w:eastAsia="arial" w:hAnsi="arial" w:cs="arial"/>
          <w:b/>
          <w:i/>
          <w:color w:val="000000"/>
          <w:sz w:val="20"/>
          <w:lang w:val="en-US" w:eastAsia="en-US" w:bidi="ar-SA"/>
        </w:rPr>
        <w:t>R. v. White and Bob</w:t>
      </w:r>
      <w:r>
        <w:rPr>
          <w:rFonts w:ascii="arial" w:eastAsia="arial" w:hAnsi="arial" w:cs="arial"/>
          <w:color w:val="000000"/>
          <w:sz w:val="20"/>
          <w:lang w:val="en-US" w:eastAsia="en-US" w:bidi="ar-SA"/>
        </w:rPr>
        <w:t xml:space="preserve"> (1964), 52 W.W.R. 193, </w:t>
      </w:r>
      <w:hyperlink r:id="rId667" w:history="1">
        <w:r>
          <w:rPr>
            <w:rFonts w:ascii="arial" w:eastAsia="arial" w:hAnsi="arial" w:cs="arial"/>
            <w:i/>
            <w:color w:val="0077CC"/>
            <w:sz w:val="20"/>
            <w:u w:val="single"/>
            <w:shd w:val="clear" w:color="auto" w:fill="FFFFFF"/>
            <w:lang w:val="en-US" w:eastAsia="en-US" w:bidi="ar-SA"/>
          </w:rPr>
          <w:t>50 D.L.R. (2d) 613</w:t>
        </w:r>
      </w:hyperlink>
      <w:r>
        <w:rPr>
          <w:rFonts w:ascii="arial" w:eastAsia="arial" w:hAnsi="arial" w:cs="arial"/>
          <w:color w:val="000000"/>
          <w:sz w:val="20"/>
          <w:lang w:val="en-US" w:eastAsia="en-US" w:bidi="ar-SA"/>
        </w:rPr>
        <w:t xml:space="preserve"> (B.C.C.A.), Norris J.A. said at p. 641: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1763 the full extent of the continent was not known, but the territories comprising it had been claimed by the British at least from the time of the Charter of Virginia in 1606 (C.M. Andrews, </w:t>
      </w:r>
      <w:r>
        <w:rPr>
          <w:rFonts w:ascii="arial" w:eastAsia="arial" w:hAnsi="arial" w:cs="arial"/>
          <w:i/>
          <w:color w:val="000000"/>
          <w:sz w:val="20"/>
          <w:lang w:val="en-US" w:eastAsia="en-US" w:bidi="ar-SA"/>
        </w:rPr>
        <w:t>Colonial Period of American History</w:t>
      </w:r>
      <w:r>
        <w:rPr>
          <w:rFonts w:ascii="arial" w:eastAsia="arial" w:hAnsi="arial" w:cs="arial"/>
          <w:color w:val="000000"/>
          <w:sz w:val="20"/>
          <w:lang w:val="en-US" w:eastAsia="en-US" w:bidi="ar-SA"/>
        </w:rPr>
        <w:t>, 1943, pp. 82-8).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In approximately 1745 a Tsilhqot'in war party destroyed the Dakelh village of Chinlac located at the confluence of the Stuart and Nechako Rivers, north of the Claim Area. The massacre was in retaliation for the death of a Tsilhqot'in leader. Three years later, in approximately 1748, a large number of Tsilhqot'in people were killed by Dakelh warriors in revenge for the Chinlac massacre.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In the eighteenth century, exploration of the coastal regions of the Province had begun, led by the Spanish traders Juan Perez and Juan Bodega y Quadra in 1774 and 1775 respectively. They were followed by British Captain James Cook in 1778. The East India Company sent two trade expeditions to the West Coast in search of furs: the first in 1785, the "Sea Otter" under the command of Captain James Hanna; and the second in 1786, the "Experiment" under the command of Captain James Strange.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In that same year, Captain John Meares made his first of several voyages to the West Coast to trade with coastal Aboriginal people for sea otter pelts. At the same time, he formally annexed the Strait of Juan de Fuca in the name of the King of Britain, not unlike other navigators who had preceded him in this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In 1785 an expedition was sent by the King George's Sound Company to develop trade with the inhabitants of the American northwest coast. The leaders of the voyage, Captains Nathaniel Portlock and George Dixon commanding the "King George" and the "Queen Charlotte", had previously accompanied James Cook between 1776 and 1780. They left England in 1785 and explored and traded along the Pacific coast of Canada between Cook's River and Nootka Sound in 1786. After selling their furs in China in 1787, they arrived back in England in 1788.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On June 4, 1792 Captain George Vancouver stepped ashore and claimed all of the land of what was later to become British Columbia on behalf of the British Crown.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In 1793 Sir Alexander Mackenzie recorded the fact that he had reached the Pacific by inscribing his achievement on a rock face near Bella Coola. That same year Captain George Vancouver sailed by that rock face on his historic voyage. He demonstrated that Vancouver Island was separated from the mainland, and provided future generations of mariners with accurate maps of the northwest coast.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These Spanish and English explorers made contact with coastal Aboriginal people during their voyages. The interior of what is now British Columbia was known as New Caledonia to the European fur traders. Trade between Aboriginal people on the West Coast and their neighbours to the east resulted in European goods arriving into this interior region before the first European visitor.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The British reconnaissance of part of New Caledonia was led by Sir Alexander Mackenzie. On July 15, 1793 Mackenzie met with a small party of Aboriginal people in North Bentinck Arm, northwest of the Claim Area. These people were taking hides to the coast for trade. There is divided opinion on whether any of the Aboriginal persons at that meeting were Tsilhqot'in people. When describing the people he met, Mackenzie sometimes made use of designations that have not continued in the historical record beyond his account, and it is possible that one of these groups could have included Tsilhqot'in people.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In that same year, the Treaty of Paris was signed. Under the terms of that document, France ceded of its North American possessions to Great Britain.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xml:space="preserve">  Writing in 1900, James Teit noted that "about a hundred years ago a war-party supposed to be Chilcotin penetrated into the territory of the Shuswap, and went as far south as the north side of the Thompson River near Spences Bridge". He says that in their retreat, they were "almost exterminated": </w:t>
      </w:r>
      <w:r>
        <w:rPr>
          <w:rFonts w:ascii="arial" w:eastAsia="arial" w:hAnsi="arial" w:cs="arial"/>
          <w:i/>
          <w:color w:val="000000"/>
          <w:sz w:val="20"/>
          <w:lang w:val="en-US" w:eastAsia="en-US" w:bidi="ar-SA"/>
        </w:rPr>
        <w:t>The Jesup North Pacific Expedition</w:t>
      </w:r>
      <w:r>
        <w:rPr>
          <w:rFonts w:ascii="arial" w:eastAsia="arial" w:hAnsi="arial" w:cs="arial"/>
          <w:color w:val="000000"/>
          <w:sz w:val="20"/>
          <w:lang w:val="en-US" w:eastAsia="en-US" w:bidi="ar-SA"/>
        </w:rPr>
        <w:t>, Part IV, ed. by Franz Boas (New York: G.E. Stechert, 1909), at p. 269.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On June 1, 1808 Simon Fraser met "a tribe of Carriers who inhabit the banks of a large river which flows to the right; they call themselves Chilk-hodins". Fraser described the Tsilhqot'in people as being on horseback. On his return trip the following month, Simon Fraser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we found the Old Chief with a large assembly of Atnahs and Chilkoetins [Chikotins]. The latter are from the westward and came on purpose to have a sight of us, having never seen white people before. They had the information of our return from the lower parts of the river by messages across the Country. The Chilkoetins ... are from the head of a river [the Chilkotin] ... they speak of their Country as plentifully stocked with all kind of animals ... (</w:t>
      </w:r>
      <w:r>
        <w:rPr>
          <w:rFonts w:ascii="arial" w:eastAsia="arial" w:hAnsi="arial" w:cs="arial"/>
          <w:i/>
          <w:color w:val="000000"/>
          <w:sz w:val="20"/>
          <w:lang w:val="en-US" w:eastAsia="en-US" w:bidi="ar-SA"/>
        </w:rPr>
        <w:t>The Letters and Journals of Simon Fraser</w:t>
      </w:r>
      <w:r>
        <w:rPr>
          <w:rFonts w:ascii="arial" w:eastAsia="arial" w:hAnsi="arial" w:cs="arial"/>
          <w:color w:val="000000"/>
          <w:sz w:val="20"/>
          <w:lang w:val="en-US" w:eastAsia="en-US" w:bidi="ar-SA"/>
        </w:rPr>
        <w:t>, ed. by W. Kaye Lamb (Toronto Pioneer Books), pp. 124-125).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 Historic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The North West Company opened Fort Alexandria in 1814. The fort was named after Sir Alexander Mackenzie. Fort Alexandria was located in Dakelh country and was a central trading post in the region. Originally, the fort was located on the Fraser River about 30 km north of Soda Creek. After the merger of the North West Company with the Hudson's Bay Company in 1821, the fort was moved north, up the river to a Dakelh fishing site. Records and correspondence show the fort was moved across to the west side of the river in the hopes of attracting Tsilhqot'in people to trade.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In a letter dated November 28, 1821 John Stuart, the new Chief Factor of the amalgamated Hudson's Bay Company wrote to HBC clerk George McDougall who was stationed at Fort Alexandria suggesting a trading excursion to the "Chilkoutins".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In January of 1822 McDougall travelled into Tsilhqot'in territory to trade and to explore opportunities for further trade. In a letter to Stuart dated January 18, 1822 McDougall described his trip "to the Chilkotins". He reported meetings with various "Chilkotin" Indians and his efforts to trade with them. McDougall wrote that they crossed the river and "got to a Lodge where we saw 3 Indians and their Families". He wanted to trade with them but "they had no Beaver, having worked it all into 3 or 4 New Beaver Robes we seen on their backs". The next day he traveled "8 or 9 more miles, which brought us to two ground Lodges containing 9 or 10 Families who had a few Furs" but were unwilling to trade because they had made them into "7 or 8 fine New Robes, that must have been made within a month". McDougall described the "Chilkotins" and their country in the following terms: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 fine, brave looking set of Indians, whose lands are far from being poor either, as to beaver or Large Animals, if we can judge from what was told us and that part of their lands which fell under our immediate Eye corroborated a part, which their Dress was still a farther proof of what they told us, the Men being generally well and warmly clad, with good Chevreux, Elk, as well as some Carriboux Skins as Blankets, with good Leggings of excellent Leather, their women ... as well the Children are in general covered with good Beaver Robes ... from those we seen and who appeared to have some authority among them, we got much information respecting their Country in general ... the West side of the River abounds with Lakes and Small Rivers where there is a quantity of Beaver and of almost all kinds of Fish ... the East Side ... is their favourite hunting grounds for Large Animals, we who saw some moose skins ... but it appears that the Carriboux are the most numerous at certain seasons ... a Large Lake which they say is about a half a mile broad and takes them two days En Canot [by canoe] to go from the entrance to its extremity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In his letter, McDougall reported he asked the "Chilkotins" for an estimate of their population and was told that "there are 6 Large Ground Lodges, about the Lake, containing 53 Families ... in all along the River 29 Lodges containing 131 Families ...". He concluded that they have "one great Chief and 4 others somewhat respected ...". McDougall also took note that one of the Chilkotins he met: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had a Gun, it was one of Barnetts 1808, he says he and several others have had Guns from Indians who came from the Sea, at the extremity of this Lake of theirs, they cross over a Mountain, which portage takes them from 5 to 6 days light, where they fall upon a River running in a Southerly direction and said to empty itself into the Sea.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In 1823 the HBC resolved that a "new establishment ensuing summer be made among the Chilcotin Tribes": Minutes of Council Northern Development of Pupert Land, 1821-31, ed. by R.H. Fleming (Toronto: Champlain Society, 1940), 5 July 1823, p. 45. For various reasons, several years pass before this establishment was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In December of 1825 the new HBC Chief Factor for New Caledonia, William Connolly, wrote in his "Journal of Occurrences New Caledonia District 1825/26" that he made an expedition into Tsilhqot'in territory to determine the feasibility of the proposed Chilcotin Post.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238</w:t>
      </w:r>
      <w:r>
        <w:rPr>
          <w:rFonts w:ascii="arial" w:eastAsia="arial" w:hAnsi="arial" w:cs="arial"/>
          <w:color w:val="000000"/>
          <w:sz w:val="20"/>
          <w:lang w:val="en-US" w:eastAsia="en-US" w:bidi="ar-SA"/>
        </w:rPr>
        <w:t>  In the winter of 1826 four Talkotin hunters made an excursion into Tsilhqot'in territory and three of the Talkotin were killed by Tsilhqot'in people. This killing was followed by what has been described as a war between the Tsilhqot'in and Talkotin. The Talkotin sent a raiding party from Alexandria on April 19, 1827. They returned with twelve Tsilhqot'in scalps. In response, the Tsilhqot'in sent two groups of warriors to kill the Talkotin. The first group of 27 Tsilhqot'in warriors arrived near Fort Alexandria in June of 1827. They killed at least one Talkotin traveling from the Fort. A second group of 80 Tsilhqot'in warriors arrived at Fort Alexandria on September 24th. They launched a bloody battle against the Talkotins who were lodged in a fortified house near the fort. In the "Fort Alexandria District Report, 1827", the following was written: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bloody contest would have lasted much longer and probably to the annihilation of the Talkotins had we not given them [the Talkotins] assistance in Arms and Ammunition - which intelligence being conveyed by a Woman - they [the Tsilhqot'in warriors] immediately retreated - some crossing in Canoes (which they had the foresight of seizing) whilst others pursued the route a foot - previous to their departure, they did not refrain from expressing their opinion of our proceedings - breathing vengeance - and threatening to cut off any Whites that might hereafter fall in their way. </w:t>
      </w:r>
      <w:r>
        <w:rPr>
          <w:rFonts w:ascii="arial" w:eastAsia="arial" w:hAnsi="arial" w:cs="arial"/>
          <w:i/>
          <w:color w:val="000000"/>
          <w:sz w:val="20"/>
          <w:lang w:val="en-US" w:eastAsia="en-US" w:bidi="ar-SA"/>
        </w:rPr>
        <w:t>Part of Dispatch from George Simpson, Esq. ... to the Hudson's Bay Company</w:t>
      </w:r>
      <w:r>
        <w:rPr>
          <w:rFonts w:ascii="arial" w:eastAsia="arial" w:hAnsi="arial" w:cs="arial"/>
          <w:color w:val="000000"/>
          <w:sz w:val="20"/>
          <w:lang w:val="en-US" w:eastAsia="en-US" w:bidi="ar-SA"/>
        </w:rPr>
        <w:t xml:space="preserve"> (London: Champlain Society, 1947), p. 214.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239</w:t>
      </w:r>
      <w:r>
        <w:rPr>
          <w:rFonts w:ascii="arial" w:eastAsia="arial" w:hAnsi="arial" w:cs="arial"/>
          <w:color w:val="000000"/>
          <w:sz w:val="20"/>
          <w:lang w:val="en-US" w:eastAsia="en-US" w:bidi="ar-SA"/>
        </w:rPr>
        <w:t>  In approximately 1826 Louis Setah was born in Xeni (Nemiah Valley). In approximately 1827 Old Nemiah was born in Xeni.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240</w:t>
      </w:r>
      <w:r>
        <w:rPr>
          <w:rFonts w:ascii="arial" w:eastAsia="arial" w:hAnsi="arial" w:cs="arial"/>
          <w:color w:val="000000"/>
          <w:sz w:val="20"/>
          <w:lang w:val="en-US" w:eastAsia="en-US" w:bidi="ar-SA"/>
        </w:rPr>
        <w:t>  In 1829 the HBC opened the Chilcotin Post. The location of Fort Chilcotin was described as being west of Tsulyu Ts'ilhed (Bull Canyon) between the junctions of Tish Gulhdzinqox (Alexis Creek) and the Chezqox with the Tsilhqox. This site is approximately 15 km east of the northern boundary of the Claim Area at the apex of Tachelach'ed. It is in close proximity to the site of three present-day Tsilhqot'in Reserves: about 8 km from the Tletinqox-t'in (Anahim) Reserve on the north shore of the Tsilhqox; approximately 12 km from the Yunesit'in (Stone) Reserve on the south shore of the Tsilhqox; and, approximately 8 km from the Tsi Del Del (Redstone) Reserve.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241</w:t>
      </w:r>
      <w:r>
        <w:rPr>
          <w:rFonts w:ascii="arial" w:eastAsia="arial" w:hAnsi="arial" w:cs="arial"/>
          <w:color w:val="000000"/>
          <w:sz w:val="20"/>
          <w:lang w:val="en-US" w:eastAsia="en-US" w:bidi="ar-SA"/>
        </w:rPr>
        <w:t>  HBC faced many challenges in the establishment and operation of their Chilcotin Post. In a letter to George McDougall, dated January 28, 1830, Chief Factor Connolly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no advantage Can accrue from the Chilcotin Establishment during the winter, and Not deeming it safe to continue it for the summer No manner of injury can therefore arise from withdrawing it as soon as 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On March 4, 1830 Connolly wrote to "The Govenor In Chief and Council Northern Development". 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 would consider it very unsafe to leave a small establishment amongst a people with whom we are not yet much acquainted, and of whose audacity we have sufficient proofs, I in consequence ordered its abandonment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242</w:t>
      </w:r>
      <w:r>
        <w:rPr>
          <w:rFonts w:ascii="arial" w:eastAsia="arial" w:hAnsi="arial" w:cs="arial"/>
          <w:color w:val="000000"/>
          <w:sz w:val="20"/>
          <w:lang w:val="en-US" w:eastAsia="en-US" w:bidi="ar-SA"/>
        </w:rPr>
        <w:t>  The post reopened in 1831. In September of that year, several men who were sent to Tsilhqot'in territory "met with a very rough reception. That tribe behaved with much violence and used some menaces towards them, which prevented them from going so far as was intended": 9 October 1831, Fort St. James Post Journal 1831-2. The HBC's ability to respond to the violence was limited. The October 9, 1831 entry in the Fort St. James Post Journal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these untoward Events happen when we have neither Gentlemen, men or Provisions to take any Steps to put a Stop to these insults.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243</w:t>
      </w:r>
      <w:r>
        <w:rPr>
          <w:rFonts w:ascii="arial" w:eastAsia="arial" w:hAnsi="arial" w:cs="arial"/>
          <w:color w:val="000000"/>
          <w:sz w:val="20"/>
          <w:lang w:val="en-US" w:eastAsia="en-US" w:bidi="ar-SA"/>
        </w:rPr>
        <w:t>  In 1838 Chief Allaw ordered the fur traders off his lands. The event is reported in the HBC Chilcotin Post Journal entry (1837-39) for December 23, 1838: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set off quit [sic] displeased and, this day, an Indian was sent to me by his order to apprise me that he had forbidden all the Indians to hunt and that he expected we would be off from his Lands immediately, so that they might have the pleasure of burning the Fort, stating that the whites did them no good, Could not smoke when they wished, that the Ft. at this time was always destitute of Trading goods, that we rejected their bad Furs and sold at a high Tariff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244</w:t>
      </w:r>
      <w:r>
        <w:rPr>
          <w:rFonts w:ascii="arial" w:eastAsia="arial" w:hAnsi="arial" w:cs="arial"/>
          <w:color w:val="000000"/>
          <w:sz w:val="20"/>
          <w:lang w:val="en-US" w:eastAsia="en-US" w:bidi="ar-SA"/>
        </w:rPr>
        <w:t>  The dispute between McBean and Allaw was not long in being resolved. It appearing from the journals that both men felt the need to exert some authority.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245</w:t>
      </w:r>
      <w:r>
        <w:rPr>
          <w:rFonts w:ascii="arial" w:eastAsia="arial" w:hAnsi="arial" w:cs="arial"/>
          <w:color w:val="000000"/>
          <w:sz w:val="20"/>
          <w:lang w:val="en-US" w:eastAsia="en-US" w:bidi="ar-SA"/>
        </w:rPr>
        <w:t>  In 1839 Tsilhqot'in people "completely barred the River" downstream from the fort, preventing Fort Chilcotin employees from catching fish: Chilcotin Post Journal 1839-40.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246</w:t>
      </w:r>
      <w:r>
        <w:rPr>
          <w:rFonts w:ascii="arial" w:eastAsia="arial" w:hAnsi="arial" w:cs="arial"/>
          <w:color w:val="000000"/>
          <w:sz w:val="20"/>
          <w:lang w:val="en-US" w:eastAsia="en-US" w:bidi="ar-SA"/>
        </w:rPr>
        <w:t>  The entry in the Chilcotin Post Journal for May 9, 1839 reports that a raiding party of Ah-Skut (Stl'atl'imx) Indians attacked the Long Lake village. In response to the attack, Tsilhqot'in people gathered together in collective action to repel the Stl'atl'imx people. The Chilcotin Post Journal from May 10, 1839 recorded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All the Indians at Ponts-een have that day started to join the Long Lake Indians to assist these to make a general attack upon the [Ah-Skut]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On August 2 and 3, the following was recorded: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All the Indians are assembled at Allaw's Lodge and notice has been sent to the above Villages, and a great number more are expected in the course of the night when, tomorrow, they will all give them a chase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Last night and About day-light, several Bands of armed Indians from Stelah and Tloquotock stopped here on their way to Allaw's Lodge, the place of rendezvous, and today are to give chase upon the enemy.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247</w:t>
      </w:r>
      <w:r>
        <w:rPr>
          <w:rFonts w:ascii="arial" w:eastAsia="arial" w:hAnsi="arial" w:cs="arial"/>
          <w:color w:val="000000"/>
          <w:sz w:val="20"/>
          <w:lang w:val="en-US" w:eastAsia="en-US" w:bidi="ar-SA"/>
        </w:rPr>
        <w:t>  In June of 1840 Fort Chilcotin clerk William McBean complained that the Tsilhqot'in people preferred to continue their traditional trade with other Aboriginal people, rather than trading with the HBC. In his letter to John Tod, recorded in the Chilcotin Post Journal, he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 wish next to secure the sundry Furs which the Chilcotins have abt. them, and which, from the scarcity of Goods, I have not been able to trade previous to their disposing them shortly to the Atnahyews [Bella Coolans], a Tribe whom they are in the habit of visiting and trading annually ... You will bear in mind also that the Estabt. is without defence (destitute of powder and Balls) which, if possible, should be otherwise, owing to the evil disposition of these Inds.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Chilcotins take advantage we are depending on them for provisions and ask an enormous price for them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248</w:t>
      </w:r>
      <w:r>
        <w:rPr>
          <w:rFonts w:ascii="arial" w:eastAsia="arial" w:hAnsi="arial" w:cs="arial"/>
          <w:color w:val="000000"/>
          <w:sz w:val="20"/>
          <w:lang w:val="en-US" w:eastAsia="en-US" w:bidi="ar-SA"/>
        </w:rPr>
        <w:t>  In 1840 the Hudson's Bay Company sent a trader from the Chilcotin Post to Long Lake. Upon his return, the Chilcotin Post Journal entry for February 1, 1840 reported an accusation was made that the trader and his associates were responsible for the death of two wives of a Tsilhqot'in person. After chasing his accuser away, the trader's camp was surrounded by "at least a hundred Indians, who seemed disposed to take the Yg. man's part, and approved his conduct". The matter was ultimately resolved with the assistance of Chief Quill Quall Yaw.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249</w:t>
      </w:r>
      <w:r>
        <w:rPr>
          <w:rFonts w:ascii="arial" w:eastAsia="arial" w:hAnsi="arial" w:cs="arial"/>
          <w:color w:val="000000"/>
          <w:sz w:val="20"/>
          <w:lang w:val="en-US" w:eastAsia="en-US" w:bidi="ar-SA"/>
        </w:rPr>
        <w:t>  On June 29, 1841 Father Demers set out from Fort Vancouver, Washington, to accompany Peter Skene Ogden, Chief Factor of the HBC for New Caledonia, to Fort Alexandria. Father Demers was the first Catholic missionary to travel to the Cariboo/Chilcotin region.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250</w:t>
      </w:r>
      <w:r>
        <w:rPr>
          <w:rFonts w:ascii="arial" w:eastAsia="arial" w:hAnsi="arial" w:cs="arial"/>
          <w:color w:val="000000"/>
          <w:sz w:val="20"/>
          <w:lang w:val="en-US" w:eastAsia="en-US" w:bidi="ar-SA"/>
        </w:rPr>
        <w:t>  In 1843 the HBC closed the Chilcotin Post, substituting Tluz-Cus in Dakelh territory. In an entry in the Fort Alexandria Journal for October 4, 1842, the following complaint is recorded: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Keeping up such a paltry Establishment is, in my humble opinion, a dead loss to the H.H.B.Co. and risking the lives of People placed at it, who are little better than slaves to the Indians, being unable to keep them in check.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251</w:t>
      </w:r>
      <w:r>
        <w:rPr>
          <w:rFonts w:ascii="arial" w:eastAsia="arial" w:hAnsi="arial" w:cs="arial"/>
          <w:color w:val="000000"/>
          <w:sz w:val="20"/>
          <w:lang w:val="en-US" w:eastAsia="en-US" w:bidi="ar-SA"/>
        </w:rPr>
        <w:t>  I conclude that Fort Chilcotin was closed by the HBC for sound business reasons; in particular, the insufficient trade with Tsilhqot'in people. The decision was also made easier because of the reported friction from time to time between HBC personnel and Tsilhqot'in people. This was in contrast with the welcoming, friendly disposition of the Tluz-cus people.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252</w:t>
      </w:r>
      <w:r>
        <w:rPr>
          <w:rFonts w:ascii="arial" w:eastAsia="arial" w:hAnsi="arial" w:cs="arial"/>
          <w:color w:val="000000"/>
          <w:sz w:val="20"/>
          <w:lang w:val="en-US" w:eastAsia="en-US" w:bidi="ar-SA"/>
        </w:rPr>
        <w:t>  In advocating for the Tluz-cus location to the HBC Governor Alexander Anderson, the clerk in charge at Fort Alexandria (who was later appointed a Chief Trader) reported in January 1843 that "[t]o maintain the post, owing to the evil disposition of the Chilcotin Indians, and the threatening aspect which their actions frequently assume, an officer and at least two men are necessary": Letter from Anderson to Simpson, 21 January 1843.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253</w:t>
      </w:r>
      <w:r>
        <w:rPr>
          <w:rFonts w:ascii="arial" w:eastAsia="arial" w:hAnsi="arial" w:cs="arial"/>
          <w:color w:val="000000"/>
          <w:sz w:val="20"/>
          <w:lang w:val="en-US" w:eastAsia="en-US" w:bidi="ar-SA"/>
        </w:rPr>
        <w:t>  In his 1953 Ph.D dissertation, at p. 91, Robert Lane reports: "a few generations ago" there was a raid by Bute Inlet people who killed a number of Chilcotins, but "the intruders were ambushed en route home and wiped out". As well, in the 1840's, the Tsilhqot'in people "killed a group of Homalco fishermen": Lane Thesis, p. 89.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254</w:t>
      </w:r>
      <w:r>
        <w:rPr>
          <w:rFonts w:ascii="arial" w:eastAsia="arial" w:hAnsi="arial" w:cs="arial"/>
          <w:color w:val="000000"/>
          <w:sz w:val="20"/>
          <w:lang w:val="en-US" w:eastAsia="en-US" w:bidi="ar-SA"/>
        </w:rPr>
        <w:t>  There is oral tradition evidence of an attack by Qaju (Homalco/Kwakiatl) people on a group of young girls on Tsimol Ch'ed that brought decisive retaliatory action by Tsilhqot'in warriors. This may be the same event as was described by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255</w:t>
      </w:r>
      <w:r>
        <w:rPr>
          <w:rFonts w:ascii="arial" w:eastAsia="arial" w:hAnsi="arial" w:cs="arial"/>
          <w:color w:val="000000"/>
          <w:sz w:val="20"/>
          <w:lang w:val="en-US" w:eastAsia="en-US" w:bidi="ar-SA"/>
        </w:rPr>
        <w:t>  In 1845 Father Giovanni Nobili, an Italian Jesuit priest, departed Fort Alexandria and journeyed into Tsilhqot'in territory. His detailed letters, dated November 30 and December 27, 1845, indicate that his route took him through part of the Claim Area. Father Nobili's letters confirm the presence of Tsilhqot'in people, the role of chiefs, hunting, trapping and fishing activities, the use of furs, and the presence of Tsilhqot'in structures including lodges and bridges.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256</w:t>
      </w:r>
      <w:r>
        <w:rPr>
          <w:rFonts w:ascii="arial" w:eastAsia="arial" w:hAnsi="arial" w:cs="arial"/>
          <w:color w:val="000000"/>
          <w:sz w:val="20"/>
          <w:lang w:val="en-US" w:eastAsia="en-US" w:bidi="ar-SA"/>
        </w:rPr>
        <w:t>  On June 1, 1846, Father Nobili wrote a letter reporting on his trip, which is now found in the Jesuit Oregon Province Archives. He wrote, in part,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24th of October, I visited the village of the </w:t>
      </w:r>
      <w:r>
        <w:rPr>
          <w:rFonts w:ascii="arial" w:eastAsia="arial" w:hAnsi="arial" w:cs="arial"/>
          <w:i/>
          <w:color w:val="000000"/>
          <w:sz w:val="20"/>
          <w:lang w:val="en-US" w:eastAsia="en-US" w:bidi="ar-SA"/>
        </w:rPr>
        <w:t>Chilcotins</w:t>
      </w:r>
      <w:r>
        <w:rPr>
          <w:rFonts w:ascii="arial" w:eastAsia="arial" w:hAnsi="arial" w:cs="arial"/>
          <w:color w:val="000000"/>
          <w:sz w:val="20"/>
          <w:lang w:val="en-US" w:eastAsia="en-US" w:bidi="ar-SA"/>
        </w:rPr>
        <w:t xml:space="preserve"> - this mission lasted twelve days during which time I baptized 18 children and twenty-four adults, and blessed eight marriages. I blessed here the first cemetery, and I buried, with all the ceremonies of the ritual, an Indian woman, the first converted to Christianity. I visited next two other villages of the same tribe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257</w:t>
      </w:r>
      <w:r>
        <w:rPr>
          <w:rFonts w:ascii="arial" w:eastAsia="arial" w:hAnsi="arial" w:cs="arial"/>
          <w:color w:val="000000"/>
          <w:sz w:val="20"/>
          <w:lang w:val="en-US" w:eastAsia="en-US" w:bidi="ar-SA"/>
        </w:rPr>
        <w:t>  In 1845 Nancy Setah was born in Xeni.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258</w:t>
      </w:r>
      <w:r>
        <w:rPr>
          <w:rFonts w:ascii="arial" w:eastAsia="arial" w:hAnsi="arial" w:cs="arial"/>
          <w:color w:val="000000"/>
          <w:sz w:val="20"/>
          <w:lang w:val="en-US" w:eastAsia="en-US" w:bidi="ar-SA"/>
        </w:rPr>
        <w:t>  On June 15, 1846 the Oregon Treaty was signed. This treaty, also referred to as the Treaty of Washington, settled the boundary with the United States at the 49th parallel.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259</w:t>
      </w:r>
      <w:r>
        <w:rPr>
          <w:rFonts w:ascii="arial" w:eastAsia="arial" w:hAnsi="arial" w:cs="arial"/>
          <w:color w:val="000000"/>
          <w:sz w:val="20"/>
          <w:lang w:val="en-US" w:eastAsia="en-US" w:bidi="ar-SA"/>
        </w:rPr>
        <w:t>  In 1858 the Fraser River Gold Rush commenced.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260</w:t>
      </w:r>
      <w:r>
        <w:rPr>
          <w:rFonts w:ascii="arial" w:eastAsia="arial" w:hAnsi="arial" w:cs="arial"/>
          <w:color w:val="000000"/>
          <w:sz w:val="20"/>
          <w:lang w:val="en-US" w:eastAsia="en-US" w:bidi="ar-SA"/>
        </w:rPr>
        <w:t>  In 1858 the Colony of British Columbia was created. It consisted of what is now considered mainland British Columbia and did not include Vancouver Island.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261</w:t>
      </w:r>
      <w:r>
        <w:rPr>
          <w:rFonts w:ascii="arial" w:eastAsia="arial" w:hAnsi="arial" w:cs="arial"/>
          <w:color w:val="000000"/>
          <w:sz w:val="20"/>
          <w:lang w:val="en-US" w:eastAsia="en-US" w:bidi="ar-SA"/>
        </w:rPr>
        <w:t xml:space="preserve">  In 1859 Chief Dehtus of Anahim attended an inter-tribal meeting near Lac La Hache. Present were a number of European men. The Tsilhqot'in people were led by Chief Dehtus; the Yubatan Dené were led by Chief LoLo; and the Secwepemc people were led by Chief Williams (Willyums) of Williams Lake. The following account was reported by Peter Dunleavy to Alex McInnes, published by Edith Beeson in </w:t>
      </w:r>
      <w:r>
        <w:rPr>
          <w:rFonts w:ascii="arial" w:eastAsia="arial" w:hAnsi="arial" w:cs="arial"/>
          <w:i/>
          <w:color w:val="000000"/>
          <w:sz w:val="20"/>
          <w:lang w:val="en-US" w:eastAsia="en-US" w:bidi="ar-SA"/>
        </w:rPr>
        <w:t>Dunlevy From the Diaries of Alex P. McInnes</w:t>
      </w:r>
      <w:r>
        <w:rPr>
          <w:rFonts w:ascii="arial" w:eastAsia="arial" w:hAnsi="arial" w:cs="arial"/>
          <w:color w:val="000000"/>
          <w:sz w:val="20"/>
          <w:lang w:val="en-US" w:eastAsia="en-US" w:bidi="ar-SA"/>
        </w:rPr>
        <w:t xml:space="preserve"> (Lillooet: Lillooet Publishers, 1971), pp. 634-65. Chief Dehtus is quoted as making the following speech in 1859: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makes warm the heart of the Chilcotin ... to come to this old time meeting place of the Shuswaps to visit with our brothers the Denés and the Yabatans and our cousins the Shuswaps ... These games are the chief attraction, for they keep us strong and brave, eager and fleet, not only for the hunt but to scare away our enemies. It is mainly for this last point that Anahiem of the Chilcotins has come to make talk and consult with his brother chiefs at this meeting ... For some time, our scouts have been bringing us news of white men who are coming up our rivers ... We have tolerated these men ... thinking them to be weak-minded and therefore entitled to the reverent regard which all Indians have for these weak ones as dictated by the Great Spirit. However, we have found out that these men are really not crazy and are washing out little pieces of yellow stone which they call gold and which they use for what we call sunia (money), to use as we use skins to trade for other goods. The Indians of Lillooet have already been corrupted ... this sunia really belongs to us and the white men are taking it without asking us for it. The priests tell us this is stealing. If we steal they tell us that their God will punish us. But these whitemen are stealing from us. Will their God punish them for this bad act or have they made a convenient arrangement with this God? Has He one law for the Indian and another law for the whiteman? ... We must keep these white men out! ... We tribes must act together. If we do not act immediately we will only have to drive them out later. This will result in much bloodshed, for them and also for our own people. We must act now or we are lost!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262</w:t>
      </w:r>
      <w:r>
        <w:rPr>
          <w:rFonts w:ascii="arial" w:eastAsia="arial" w:hAnsi="arial" w:cs="arial"/>
          <w:color w:val="000000"/>
          <w:sz w:val="20"/>
          <w:lang w:val="en-US" w:eastAsia="en-US" w:bidi="ar-SA"/>
        </w:rPr>
        <w:t>  In 1860 the Cariboo Gold Rush commenced.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263</w:t>
      </w:r>
      <w:r>
        <w:rPr>
          <w:rFonts w:ascii="arial" w:eastAsia="arial" w:hAnsi="arial" w:cs="arial"/>
          <w:color w:val="000000"/>
          <w:sz w:val="20"/>
          <w:lang w:val="en-US" w:eastAsia="en-US" w:bidi="ar-SA"/>
        </w:rPr>
        <w:t>  In 1861 R.C. Lundin-Brown, an Anglican priest, wrote that "the agent told me of a tribe of Indians who were camping in the neighbourhood [Fort Alexandria] ... They were the Nicootlem Indians, a branch of the Chilcoatens, a powerful tribe ... whose fishing-grounds extended over the vast tract of country which lies between the northern part of the Fraser River and the Gulf of Georgia": quoted in David Dinwoodie, Expert Report, p. 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264</w:t>
      </w:r>
      <w:r>
        <w:rPr>
          <w:rFonts w:ascii="arial" w:eastAsia="arial" w:hAnsi="arial" w:cs="arial"/>
          <w:color w:val="000000"/>
          <w:sz w:val="20"/>
          <w:lang w:val="en-US" w:eastAsia="en-US" w:bidi="ar-SA"/>
        </w:rPr>
        <w:t>  On January 15, 1861 Jnos. Saunders wrote from Fort Alexandria to P. Ogden, Esquire C.T., the Officer in Charge of New Caledonia District, noting: Perhaps it would not be too much trouble to add in the requisition a few more guns and axes, as they are in great demand here and the Chilcotans rather than go without them, trade their furs with the Atnayuhs who procure these goods from the Coast. This I learnt when on my trading trip, and indeed I found the Chilcotans quite independent and threatening that if they did not get goods more to their liking they would trade altogether with the Atnayuhs with whom they are now at peace having formerly been on unfriendly terms towards each other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(Fort Alexandria Correspondence Book, 31 Aug. 1860 to 12 Aug. 1865)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265</w:t>
      </w:r>
      <w:r>
        <w:rPr>
          <w:rFonts w:ascii="arial" w:eastAsia="arial" w:hAnsi="arial" w:cs="arial"/>
          <w:color w:val="000000"/>
          <w:sz w:val="20"/>
          <w:lang w:val="en-US" w:eastAsia="en-US" w:bidi="ar-SA"/>
        </w:rPr>
        <w:t xml:space="preserve">  In 1861 Alfred Waddington sent Robert Homfray to survey a road from Bute Inlet to Fort Alexandria. Homfray failed to get beyond the Homathko Canyon, where he and his party were rescued and taken into underground pit houses by Tsilhqot'in people who proved unfamiliar with white men. On December 22, 1894, Homfray wrote an article in </w:t>
      </w:r>
      <w:r>
        <w:rPr>
          <w:rFonts w:ascii="arial" w:eastAsia="arial" w:hAnsi="arial" w:cs="arial"/>
          <w:i/>
          <w:color w:val="000000"/>
          <w:sz w:val="20"/>
          <w:lang w:val="en-US" w:eastAsia="en-US" w:bidi="ar-SA"/>
        </w:rPr>
        <w:t>The Province</w:t>
      </w:r>
      <w:r>
        <w:rPr>
          <w:rFonts w:ascii="arial" w:eastAsia="arial" w:hAnsi="arial" w:cs="arial"/>
          <w:color w:val="000000"/>
          <w:sz w:val="20"/>
          <w:lang w:val="en-US" w:eastAsia="en-US" w:bidi="ar-SA"/>
        </w:rPr>
        <w:t xml:space="preserve"> entitled "A Winter Journey in 1861". Here he reported on his meeting: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Indian then slackened his hold, lifted up my arms, looked into my mouth, examined my ears, to see if I were made like himself, as he had evidently never seen a white man before.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266</w:t>
      </w:r>
      <w:r>
        <w:rPr>
          <w:rFonts w:ascii="arial" w:eastAsia="arial" w:hAnsi="arial" w:cs="arial"/>
          <w:color w:val="000000"/>
          <w:sz w:val="20"/>
          <w:lang w:val="en-US" w:eastAsia="en-US" w:bidi="ar-SA"/>
        </w:rPr>
        <w:t>  By the summer of 1862 a smallpox epidemic had struck several Tsilhqot'in sites. Nagwentl'un (Anahim Lake, Nacoontloon) the Tsilhqot'in headquarters of Chief Anaham and his tribe, suffered significant casualties. Smallpox also claimed many victims at Tatl'ah Biny (Tatla Lake) and the areas south and east through to Tsilhqox Biny in the years 1862-3. This epidemic also struck the Secwepemc people. The significant loss of life caused by smallpox resulted in an eastward migration of both Aboriginal populations. Chief Anaham eventually relocated to the present day site of Tsi Del Del.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267</w:t>
      </w:r>
      <w:r>
        <w:rPr>
          <w:rFonts w:ascii="arial" w:eastAsia="arial" w:hAnsi="arial" w:cs="arial"/>
          <w:color w:val="000000"/>
          <w:sz w:val="20"/>
          <w:lang w:val="en-US" w:eastAsia="en-US" w:bidi="ar-SA"/>
        </w:rPr>
        <w:t xml:space="preserve">  There was a second significant event in the spring of 1862 when representatives of Alfred Waddington arrived at Bute Inlet. They brought with them plans to make an exploratory expedition inland through Tsilhqot'in territory to Fort Alexandria and the Cariboo region. The </w:t>
      </w:r>
      <w:r>
        <w:rPr>
          <w:rFonts w:ascii="arial" w:eastAsia="arial" w:hAnsi="arial" w:cs="arial"/>
          <w:i/>
          <w:color w:val="000000"/>
          <w:sz w:val="20"/>
          <w:lang w:val="en-US" w:eastAsia="en-US" w:bidi="ar-SA"/>
        </w:rPr>
        <w:t>British Colonist</w:t>
      </w:r>
      <w:r>
        <w:rPr>
          <w:rFonts w:ascii="arial" w:eastAsia="arial" w:hAnsi="arial" w:cs="arial"/>
          <w:color w:val="000000"/>
          <w:sz w:val="20"/>
          <w:lang w:val="en-US" w:eastAsia="en-US" w:bidi="ar-SA"/>
        </w:rPr>
        <w:t xml:space="preserve"> newspaper reported on May 7, 1862 that upon hearing of the presence of Waddington's party at the head of the inlet, several Tsilhqot'in people descended through the Coast Mountains to trade furs.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268</w:t>
      </w:r>
      <w:r>
        <w:rPr>
          <w:rFonts w:ascii="arial" w:eastAsia="arial" w:hAnsi="arial" w:cs="arial"/>
          <w:color w:val="000000"/>
          <w:sz w:val="20"/>
          <w:lang w:val="en-US" w:eastAsia="en-US" w:bidi="ar-SA"/>
        </w:rPr>
        <w:t xml:space="preserve">  In 1862 Lt. H. Spencer Palmer of the Royal Engineers surveyed the route from Bentinck Arm to the gold fields on the Fraser River. His reference to Tsilhqot'in people is found at p. 24 of his </w:t>
      </w:r>
      <w:r>
        <w:rPr>
          <w:rFonts w:ascii="arial" w:eastAsia="arial" w:hAnsi="arial" w:cs="arial"/>
          <w:i/>
          <w:color w:val="000000"/>
          <w:sz w:val="20"/>
          <w:lang w:val="en-US" w:eastAsia="en-US" w:bidi="ar-SA"/>
        </w:rPr>
        <w:t>Report of a Journey of Survey from Victoria to Fort Alexandria</w:t>
      </w:r>
      <w:r>
        <w:rPr>
          <w:rFonts w:ascii="arial" w:eastAsia="arial" w:hAnsi="arial" w:cs="arial"/>
          <w:color w:val="000000"/>
          <w:sz w:val="20"/>
          <w:lang w:val="en-US" w:eastAsia="en-US" w:bidi="ar-SA"/>
        </w:rPr>
        <w:t xml:space="preserve"> (New Westminster: Royal Engineer Press, 1863).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others who dwell in the mountains, such as the Chilcotins who occupy the country traversed by the fifth and sixth sections of our journey, are seen in a purely savage state of existence, clothed in furs, armed with bows and arrows, in the use of which they are singularly expert, and devoid of all resources but those which the lakes, rivers, prairies and woods supply.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269</w:t>
      </w:r>
      <w:r>
        <w:rPr>
          <w:rFonts w:ascii="arial" w:eastAsia="arial" w:hAnsi="arial" w:cs="arial"/>
          <w:color w:val="000000"/>
          <w:sz w:val="20"/>
          <w:lang w:val="en-US" w:eastAsia="en-US" w:bidi="ar-SA"/>
        </w:rPr>
        <w:t>  In 1862 Alfred Waddington and the Commissioner of Lands and Works for British Columbia reached an agreement permitting Waddington to build a road to the Cariboo through Tsilhqot'in territory, in exchange for the ability to charge tolls. On May 16, 1862, H.O. Tiedemann departed Victoria for Bute Inlet in a canoe "with the ultimate view to make a Wagonroad, from a Point on the Homathco River ...": H.O. Tiedemann, Journal of the Exploration for a Trail from the Head of Bute Inlet to Fort Alexandria in the year 1862. His objective on this trip was to perform an exploratory survey on behalf of Waddington. He arrived in Fort Alexandria on June 25, 1862.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270</w:t>
      </w:r>
      <w:r>
        <w:rPr>
          <w:rFonts w:ascii="arial" w:eastAsia="arial" w:hAnsi="arial" w:cs="arial"/>
          <w:color w:val="000000"/>
          <w:sz w:val="20"/>
          <w:lang w:val="en-US" w:eastAsia="en-US" w:bidi="ar-SA"/>
        </w:rPr>
        <w:t>  Waddington's exploratory expedition returned from Fort Alexandria to Victoria on July 29, 1862. It appears that Waddington was encouraged by this exploratory work because he had crews begin construction of a road inland from Bute Inlet in September through November of 1862. They resumed their work, proceeding up the Homathko River watershed during April to December 1863. Waddington's road-builders returned to Bute Inlet on March 22, 1864 to continue construction, only to meet their fate as they encroached on Tsilhqot'in territory.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271</w:t>
      </w:r>
      <w:r>
        <w:rPr>
          <w:rFonts w:ascii="arial" w:eastAsia="arial" w:hAnsi="arial" w:cs="arial"/>
          <w:color w:val="000000"/>
          <w:sz w:val="20"/>
          <w:lang w:val="en-US" w:eastAsia="en-US" w:bidi="ar-SA"/>
        </w:rPr>
        <w:t>  In 1864, after Waddington's men advanced the road several miles into Tsilhqot'in territory, the road crew was killed. This was the first event in what has been characterized as the Chilcotin War. At dawn on April 30, 1864 a group of Tsilhqot'in warriors, led by Lha Ts'as?in (Klattessine), attacked and killed most of the men comprising Waddington's main and advance camps on the Homathko River. This area, just above Bute Inlet, is southwest of Tsilhqox Biny and not far from the Claim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272</w:t>
      </w:r>
      <w:r>
        <w:rPr>
          <w:rFonts w:ascii="arial" w:eastAsia="arial" w:hAnsi="arial" w:cs="arial"/>
          <w:color w:val="000000"/>
          <w:sz w:val="20"/>
          <w:lang w:val="en-US" w:eastAsia="en-US" w:bidi="ar-SA"/>
        </w:rPr>
        <w:t>  Several days later Tsilhqot'in warriors attacked members of Macdonald's pack train on its approach to Tsilhqot'in territory from North Bentinck Arm. Macdonald and two of his men were killed, and five escaped. The Tsilhqot'in warriors also attacked and killed a settler named William Manning.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273</w:t>
      </w:r>
      <w:r>
        <w:rPr>
          <w:rFonts w:ascii="arial" w:eastAsia="arial" w:hAnsi="arial" w:cs="arial"/>
          <w:color w:val="000000"/>
          <w:sz w:val="20"/>
          <w:lang w:val="en-US" w:eastAsia="en-US" w:bidi="ar-SA"/>
        </w:rPr>
        <w:t>  William Manning had settled on property formerly occupied by Tsilhqot'in people. The fact that Manning's wife was a Tsilhqot'in woman did not spare him. In his bench book, Begbie noted "Land quarrel" alongside the verdict against Tahpitt, the Tsilhqot'in person convicted of Manning's murder: Foster Report, "Tsilhqot'in Law", p. 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274</w:t>
      </w:r>
      <w:r>
        <w:rPr>
          <w:rFonts w:ascii="arial" w:eastAsia="arial" w:hAnsi="arial" w:cs="arial"/>
          <w:color w:val="000000"/>
          <w:sz w:val="20"/>
          <w:lang w:val="en-US" w:eastAsia="en-US" w:bidi="ar-SA"/>
        </w:rPr>
        <w:t xml:space="preserve">  Reverend Lundin-Brown later reported in </w:t>
      </w:r>
      <w:r>
        <w:rPr>
          <w:rFonts w:ascii="arial" w:eastAsia="arial" w:hAnsi="arial" w:cs="arial"/>
          <w:i/>
          <w:color w:val="000000"/>
          <w:sz w:val="20"/>
          <w:lang w:val="en-US" w:eastAsia="en-US" w:bidi="ar-SA"/>
        </w:rPr>
        <w:t>Klatassan and other Reminiscences of Missionary Life</w:t>
      </w:r>
      <w:r>
        <w:rPr>
          <w:rFonts w:ascii="arial" w:eastAsia="arial" w:hAnsi="arial" w:cs="arial"/>
          <w:color w:val="000000"/>
          <w:sz w:val="20"/>
          <w:lang w:val="en-US" w:eastAsia="en-US" w:bidi="ar-SA"/>
        </w:rPr>
        <w:t xml:space="preserve"> (London: Gilbert and Rivington, 1873) that a Tsilhqot'in person had spoken to someone in the Bute Inlet work party prior to the mass killing. Apparently someone in Waddington's work party accused the Tsilhqot'in people of theft. In response a Tsilhqot'in person is reported by Lundin Brown in </w:t>
      </w:r>
      <w:r>
        <w:rPr>
          <w:rFonts w:ascii="arial" w:eastAsia="arial" w:hAnsi="arial" w:cs="arial"/>
          <w:i/>
          <w:color w:val="000000"/>
          <w:sz w:val="20"/>
          <w:lang w:val="en-US" w:eastAsia="en-US" w:bidi="ar-SA"/>
        </w:rPr>
        <w:t>Klatsassan</w:t>
      </w:r>
      <w:r>
        <w:rPr>
          <w:rFonts w:ascii="arial" w:eastAsia="arial" w:hAnsi="arial" w:cs="arial"/>
          <w:color w:val="000000"/>
          <w:sz w:val="20"/>
          <w:lang w:val="en-US" w:eastAsia="en-US" w:bidi="ar-SA"/>
        </w:rPr>
        <w:t xml:space="preserve"> at p. 9 to have said: "You are in our country; you owe us bread".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275</w:t>
      </w:r>
      <w:r>
        <w:rPr>
          <w:rFonts w:ascii="arial" w:eastAsia="arial" w:hAnsi="arial" w:cs="arial"/>
          <w:color w:val="000000"/>
          <w:sz w:val="20"/>
          <w:lang w:val="en-US" w:eastAsia="en-US" w:bidi="ar-SA"/>
        </w:rPr>
        <w:t>  A search ensued for the Tsilhqot'in chiefs and warriors who took part in the Bute Inlet uprising. Commissioner William G. Cox, a Cariboo Police Magistrate from Fort Alexandria, led a party down the west side of Tsilhqox Biny and through part of what is now the Western Trapline Territory. Cox and his search party found trails and a village along Tsilhqox Biny. It is reported: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pushed 25 miles south of Tatla Lake into Klatassine's favourite hunting and fishing territory, the mountainous range covering 30 miles east-west between Mosely Creek, a branch of the Homathco, and Chilko Lake ... Dozens of Indian trails criss-crossed the area ... They discovered a village of deserted Indian lodges ... (Dinwoodie Report, p. 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276</w:t>
      </w:r>
      <w:r>
        <w:rPr>
          <w:rFonts w:ascii="arial" w:eastAsia="arial" w:hAnsi="arial" w:cs="arial"/>
          <w:color w:val="000000"/>
          <w:sz w:val="20"/>
          <w:lang w:val="en-US" w:eastAsia="en-US" w:bidi="ar-SA"/>
        </w:rPr>
        <w:t>  In Dispatch No. 7 to the British Colonial Office, dated May 20th, 1864, Governor Frederick Seymour wrote a lengthy report concerning the killing of Waddington's road party. In part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witnesses declare there was no provocation given no tampering with the women or abuse of the men. The incentive to the slaughter remains unknown, and the deponents fall back in their conjecture, on cupidity. But this seems an insufficient motive. The property of small values the rough clothes and poor provisions of the road makers would offer but small temptation to the Commission of so terrible an outrage. Some people say that Mr. Waddington's party may have given offence by carrying the road into the Territory of the Chilcoaten Indians without asking for permission. But this again breaks down inasmuch as the perpetrators of the massacre are it is believed the very men, Chilcoaten Indians, who assisted the road makers in their labours. Others throw out the proceedings previous to Sir James Douglas' departure, have led the Indians to imagine that the white men are left without a head. Possibly so. We know that the more civilized tribes on the Fraser have been allowed to believe that they are now without a protector or a friend.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most plausible supposition was made to me verbally by Mosely. There may have been he thinks a quarrel between Smith the ferry man and some Indians. Smith was a man of violent character and irregular habits. The quarrel might have led to blows - the blows to death. A dread of punishment may have arisen. Hence perhaps the throwing of the body into the river, and cutting adrift of the scow. To conceal the murder the general massacre may have taken place. This last hypothesis would assume a greater fear of the white man than I can suppose to exist in the breast of an Indian. All remains mere guess work respecting the motives which caused this melancholy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277</w:t>
      </w:r>
      <w:r>
        <w:rPr>
          <w:rFonts w:ascii="arial" w:eastAsia="arial" w:hAnsi="arial" w:cs="arial"/>
          <w:color w:val="000000"/>
          <w:sz w:val="20"/>
          <w:lang w:val="en-US" w:eastAsia="en-US" w:bidi="ar-SA"/>
        </w:rPr>
        <w:t>  On August 30, 1864 Governor Seymour sent Dispatch No. 25 to the British Colonial Office that said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Chilcotens who massacred Mr. Waddington's road party at Bute Inlet, as mentioned in my Despatch No. 7 20th May, marched into the Interior where joined by other members of the tribe, and succeeding in murdering or expelling every white person from the sea to the upper Fraser.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country in the hands of the insurgents might be described as about 300 miles from East to West by 150 North and South. It was inevitable that steps should be taken for the assertion of our authority, then parties of volunteers were started for the interior. The one under Mr. Cox, a police Magistrate of Cariboo, from Alexandria, the other under Mr. Brew, police Magistrate of New Westminster from Bella Coola at the head of Bentinck Arm. This latter force I accompanied.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These two small bodies had to make their way to Benshee Lake in the heart of the country. Mr. Cox's party of 60 men would then be 112 miles from Alexandria, the base of his operations, and Mr. Brew's band of 40, 250 miles from Bella Coola, whence only he could draw his supplies.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hardly necessary for me to say that our communication with the civilized parts of the Colony were closed to these parties as soon as they were in the hostile Country, or at least could only be kept up by detaching a large portion of either force. Thus isolated in the bush our fate became a matter of speculation throughout the Colony, and the most fanciful rumours circulated.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two forces met at Benshee in the 6th July and on the following day Mr. Cox's party was sent by me down towards the Bute Inlet mountains. They travelled over a country presenting every natural difficulty, for a fortnight pursuing the trails of the Indians and occasionally exchanging shots with them. Mr. McLean the second in command, fell a victim to his excess of zeal.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meantime the headquarters of Mr. Brew's party, with which I remained, occupied the important post at Benshee Lake, where all the Indian trails converge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Alexis, one of the principle Chiefs, of the Chilcoten Indians, who had refrained from joining the hostile movements of the tribe, was induced to present himself to me and after many days negotiation promised to accompany the attack, in full force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278</w:t>
      </w:r>
      <w:r>
        <w:rPr>
          <w:rFonts w:ascii="arial" w:eastAsia="arial" w:hAnsi="arial" w:cs="arial"/>
          <w:color w:val="000000"/>
          <w:sz w:val="20"/>
          <w:lang w:val="en-US" w:eastAsia="en-US" w:bidi="ar-SA"/>
        </w:rPr>
        <w:t xml:space="preserve">  In August 1864 Lha Ts'as?in and some of the other Tsilhqot'in warriors surrendered under circumstances that remain to this day the subject of disagreement and debate. They were tried for murder by Chief Justice Begbie and were convicted. They were subsequently hanged at Quesnellemouth. Lha Ts'as?in's final words are reported to be "We meant war, not murder!": William Turkel, </w:t>
      </w:r>
      <w:r>
        <w:rPr>
          <w:rFonts w:ascii="arial" w:eastAsia="arial" w:hAnsi="arial" w:cs="arial"/>
          <w:i/>
          <w:color w:val="000000"/>
          <w:sz w:val="20"/>
          <w:lang w:val="en-US" w:eastAsia="en-US" w:bidi="ar-SA"/>
        </w:rPr>
        <w:t>The Archive of Place: Environment and the Contested Past of a North American Plateau</w:t>
      </w:r>
      <w:r>
        <w:rPr>
          <w:rFonts w:ascii="arial" w:eastAsia="arial" w:hAnsi="arial" w:cs="arial"/>
          <w:color w:val="000000"/>
          <w:sz w:val="20"/>
          <w:lang w:val="en-US" w:eastAsia="en-US" w:bidi="ar-SA"/>
        </w:rPr>
        <w:t xml:space="preserve"> (Ph.D., Thesis, M.I.T., 2004) [unpublished], p. 295.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279</w:t>
      </w:r>
      <w:r>
        <w:rPr>
          <w:rFonts w:ascii="arial" w:eastAsia="arial" w:hAnsi="arial" w:cs="arial"/>
          <w:color w:val="000000"/>
          <w:sz w:val="20"/>
          <w:lang w:val="en-US" w:eastAsia="en-US" w:bidi="ar-SA"/>
        </w:rPr>
        <w:t>  Governor Seymour later wrote to the Colonial Office to report on the events and said,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suited our purpose to treat officially these successive acts of violence as isolated massacres, but there is no objection to our now avowing, an Indian insurrection existed, extremely formidable from the inaccessible nature of the country over which it raged. It seemed that the whole Chilicoten Tribe was involved in it, as Benshee where Manning was murdered is under the jurisdiction of Alexis, Sutleth where McDonald and his two men fell, under that of Anaheim. They must have had the sympathy of at least of the Bella Coola's also for Anaheim descended to their lands to finish the extermination of the whites, and it was only by mere chance that Mr. Hamilton his wife and daughter, escaped with their lives just as the Chilcotens arrived. ... with the departure of the Hamiltons, the white occupation ceased from the sea to the Fraser.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280</w:t>
      </w:r>
      <w:r>
        <w:rPr>
          <w:rFonts w:ascii="arial" w:eastAsia="arial" w:hAnsi="arial" w:cs="arial"/>
          <w:color w:val="000000"/>
          <w:sz w:val="20"/>
          <w:lang w:val="en-US" w:eastAsia="en-US" w:bidi="ar-SA"/>
        </w:rPr>
        <w:t>  In 1865 two further Tsilhqot'in participants in the Chilcotin War, Ahan and Lutas, were tried. Ahan was executed at New Westminster.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281</w:t>
      </w:r>
      <w:r>
        <w:rPr>
          <w:rFonts w:ascii="arial" w:eastAsia="arial" w:hAnsi="arial" w:cs="arial"/>
          <w:color w:val="000000"/>
          <w:sz w:val="20"/>
          <w:lang w:val="en-US" w:eastAsia="en-US" w:bidi="ar-SA"/>
        </w:rPr>
        <w:t xml:space="preserve">  The causes of these events have been variously described by many people in the ensuing years. Tsilhqot'in witnesses gave oral tradition evidence on those causes: A memorandum written by Chief Justice Begbie is reproduced in the report of H.L. Langevin, printed in the </w:t>
      </w:r>
      <w:r>
        <w:rPr>
          <w:rFonts w:ascii="arial" w:eastAsia="arial" w:hAnsi="arial" w:cs="arial"/>
          <w:i/>
          <w:color w:val="000000"/>
          <w:sz w:val="20"/>
          <w:lang w:val="en-US" w:eastAsia="en-US" w:bidi="ar-SA"/>
        </w:rPr>
        <w:t>Sessional Papers</w:t>
      </w:r>
      <w:r>
        <w:rPr>
          <w:rFonts w:ascii="arial" w:eastAsia="arial" w:hAnsi="arial" w:cs="arial"/>
          <w:color w:val="000000"/>
          <w:sz w:val="20"/>
          <w:lang w:val="en-US" w:eastAsia="en-US" w:bidi="ar-SA"/>
        </w:rPr>
        <w:t xml:space="preserve"> (No. 10) (Ottawa: Taylor, 1872). At p. 27, the following is reported: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There has never, since 1858, been any trouble with Indians except once, in 1864, known as the year of the Chilcotin Expedition. In that case, some white men had, under color of the pre-emption act, taken possession of some Indian lands (not, I believe, reserved as such, - the whole matter arose on the west of the Fraser River, where no magistrate or white population had ever been - but </w:t>
      </w:r>
      <w:r>
        <w:rPr>
          <w:rFonts w:ascii="arial" w:eastAsia="arial" w:hAnsi="arial" w:cs="arial"/>
          <w:i/>
          <w:color w:val="000000"/>
          <w:sz w:val="20"/>
          <w:lang w:val="en-US" w:eastAsia="en-US" w:bidi="ar-SA"/>
        </w:rPr>
        <w:t>de facto</w:t>
      </w:r>
      <w:r>
        <w:rPr>
          <w:rFonts w:ascii="arial" w:eastAsia="arial" w:hAnsi="arial" w:cs="arial"/>
          <w:color w:val="000000"/>
          <w:sz w:val="20"/>
          <w:lang w:val="en-US" w:eastAsia="en-US" w:bidi="ar-SA"/>
        </w:rPr>
        <w:t xml:space="preserve"> Indian lands, their old accustomed camping place, and including a much-valued spring of water), and even after this, continued to treat the natives with great contumely, and breach of faith. The natives were few in number, but very warlike and great hunters. They had no idea of the numbers of the whites, whom they had not seen.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282</w:t>
      </w:r>
      <w:r>
        <w:rPr>
          <w:rFonts w:ascii="arial" w:eastAsia="arial" w:hAnsi="arial" w:cs="arial"/>
          <w:color w:val="000000"/>
          <w:sz w:val="20"/>
          <w:lang w:val="en-US" w:eastAsia="en-US" w:bidi="ar-SA"/>
        </w:rPr>
        <w:t>  One triggering event of the Chilcotin War was the theft of some flour by a Tsilhqot'in person, followed by a threat to use smallpox by way of punishment. "You are in our country and you owe us bread" can be seen as a threat of extortion. Professor Hamar Foster, a legal historian, was called by the plaintiff. He was qualified to express opinions on historical relations between Aboriginal and non-Aboriginal people and legal systems in what is now British Columbia. Professor Foster, at p. 30 of his January 2005 report entitled "Chilcotin Law", explained: it 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"much more likely that they [the words] represent the straightforward application of a legal principle", namely, an expectation that one would be paid for the use of one's land by another, particularly where such use included the extraction of resources. The work party had paid nothing for the privilege of using Tsilqot'in trails, cutting timber, catching fish and killing game. The work party failed to understand that payment was required not just for work, but also for use and occupation of property. The missing flour prompted Mr. Brewster to write down the names of the Tsilhqot'in workers and make a threat about the use of smallpox as a punishment. In the language of modern times, one elder described this as a threat of "germ warfare". Given the events of 1862, this would undoubtedly be viewed by Tsilhqot'in people as a direct threat against their security and well being.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283</w:t>
      </w:r>
      <w:r>
        <w:rPr>
          <w:rFonts w:ascii="arial" w:eastAsia="arial" w:hAnsi="arial" w:cs="arial"/>
          <w:color w:val="000000"/>
          <w:sz w:val="20"/>
          <w:lang w:val="en-US" w:eastAsia="en-US" w:bidi="ar-SA"/>
        </w:rPr>
        <w:t>  Abuse of Tsilhqot'in women, lack of food, and plunder have all been advanced as contributing causes of the Chilcotin War. Almost 250 years later, it is not possible to ascribe the cause to any single event. Undoubtedly, Governor Seymour's observation that the road was being developed without Tsilhqot'in permission was a factor but, as he noted, up to that point the Tsilhqot'in people were assisting the work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284</w:t>
      </w:r>
      <w:r>
        <w:rPr>
          <w:rFonts w:ascii="arial" w:eastAsia="arial" w:hAnsi="arial" w:cs="arial"/>
          <w:color w:val="000000"/>
          <w:sz w:val="20"/>
          <w:lang w:val="en-US" w:eastAsia="en-US" w:bidi="ar-SA"/>
        </w:rPr>
        <w:t>  The entire body of historical evidence reveals a statement by the Tsilhqot'in people that the road would go no farther and that there would be no further European presence in their territory. The use of their land was clearly an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285</w:t>
      </w:r>
      <w:r>
        <w:rPr>
          <w:rFonts w:ascii="arial" w:eastAsia="arial" w:hAnsi="arial" w:cs="arial"/>
          <w:color w:val="000000"/>
          <w:sz w:val="20"/>
          <w:lang w:val="en-US" w:eastAsia="en-US" w:bidi="ar-SA"/>
        </w:rPr>
        <w:t>  It is not at all clear from the evidence available whether the entire nation of Tsilhqot'in people were involved in the events. If there ever was a united front, this unity was not sustained, as Chief Alexis joined forces with Governor Seymour to track down the Tsilhqot'in individuals who were involved.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286</w:t>
      </w:r>
      <w:r>
        <w:rPr>
          <w:rFonts w:ascii="arial" w:eastAsia="arial" w:hAnsi="arial" w:cs="arial"/>
          <w:color w:val="000000"/>
          <w:sz w:val="20"/>
          <w:lang w:val="en-US" w:eastAsia="en-US" w:bidi="ar-SA"/>
        </w:rPr>
        <w:t>  In his report to the Court, Professor Foster said at pp. 35-36: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immediate cause of the Chilcotin War was the ill-advised threat of smallpox. But the Tsilhqot'in had always been concerned about incursions into their territory and Waddington's wagon road, constructed without permission and without compensation, represented the greatest incursion to date. Even elements of the colonial press acknowledged that land was a key issue in the conflict, and so did Judge Begbie.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287</w:t>
      </w:r>
      <w:r>
        <w:rPr>
          <w:rFonts w:ascii="arial" w:eastAsia="arial" w:hAnsi="arial" w:cs="arial"/>
          <w:color w:val="000000"/>
          <w:sz w:val="20"/>
          <w:lang w:val="en-US" w:eastAsia="en-US" w:bidi="ar-SA"/>
        </w:rPr>
        <w:t>  In 1866 Father James Maria McGuckin, O.M.I., established St. Joseph's Mission in the San Jose Valley just south of Williams Lake. The site is located approximately twelve miles southwest of the present town of Williams Lake. Later it became the Williams Lake Indian Residential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288</w:t>
      </w:r>
      <w:r>
        <w:rPr>
          <w:rFonts w:ascii="arial" w:eastAsia="arial" w:hAnsi="arial" w:cs="arial"/>
          <w:color w:val="000000"/>
          <w:sz w:val="20"/>
          <w:lang w:val="en-US" w:eastAsia="en-US" w:bidi="ar-SA"/>
        </w:rPr>
        <w:t>  In 1867 Fort Alexandria was closed by the HBC.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289</w:t>
      </w:r>
      <w:r>
        <w:rPr>
          <w:rFonts w:ascii="arial" w:eastAsia="arial" w:hAnsi="arial" w:cs="arial"/>
          <w:color w:val="000000"/>
          <w:sz w:val="20"/>
          <w:lang w:val="en-US" w:eastAsia="en-US" w:bidi="ar-SA"/>
        </w:rPr>
        <w:t>  In 1872 in the face of increasing settlement, Tsilhqot'in people began to stake off land they claimed for themselves and their livestock. In that same year, British Columbia removed the Chilcotin Valley from the operation of the pre-emption Land Ordinance, preventing pre-emption.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290</w:t>
      </w:r>
      <w:r>
        <w:rPr>
          <w:rFonts w:ascii="arial" w:eastAsia="arial" w:hAnsi="arial" w:cs="arial"/>
          <w:color w:val="000000"/>
          <w:sz w:val="20"/>
          <w:lang w:val="en-US" w:eastAsia="en-US" w:bidi="ar-SA"/>
        </w:rPr>
        <w:t>  On June 6, 1872, settlers L.M. Riske and McIntyre complained to Lt. Governor Joseph Trutch about Tsilhqot'in people and their treatment of John Salmon. They stated that Tsilhqot'in "have always however considered the land theirs, and that we are beholden to them for it, and occupy it on sufferance".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291</w:t>
      </w:r>
      <w:r>
        <w:rPr>
          <w:rFonts w:ascii="arial" w:eastAsia="arial" w:hAnsi="arial" w:cs="arial"/>
          <w:color w:val="000000"/>
          <w:sz w:val="20"/>
          <w:lang w:val="en-US" w:eastAsia="en-US" w:bidi="ar-SA"/>
        </w:rPr>
        <w:t>  On June 13, 1872 Father McGuckin (McGuggan) made a statement to Chief Justice Begbie describing the ill treatment of Tsilhqot'in people by John Salmon: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Indians complain that Salmon has moved both his own stakes and theirs on the meadow. Salmon changed his pre-emption claim again this spring (three times in all) and occupies a favourite hunting ground and water. The Indians seeing the white man putting stakes to mark their claims have followed their example, and have also staked off more land on the meadows which they claim for themselves and their cattle.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292</w:t>
      </w:r>
      <w:r>
        <w:rPr>
          <w:rFonts w:ascii="arial" w:eastAsia="arial" w:hAnsi="arial" w:cs="arial"/>
          <w:color w:val="000000"/>
          <w:sz w:val="20"/>
          <w:lang w:val="en-US" w:eastAsia="en-US" w:bidi="ar-SA"/>
        </w:rPr>
        <w:t>  On August 20, 1872 Peter O'Reilly wrote to the Provincial Secretary regarding his trip to the "Chilcotin country". The purpose of his trip was to make "enquiry into the cause of the alleged disturbance between them [Tsilhqot'in people] and the settlers in the Chilcotin valley". He described his meeting with "three of the principal Chiefs; Alexis, Annahaim, and Enella":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They received with evident satisfaction the intelligence that they will not be disturbed in the possession of their hunting, and fishing grounds; and that the whites are desirous of maintaining friendly relations with them; and that it is the intention of the Government to provide for them the means of education, and assist them in their agricultural pursuits.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explained to the Chiefs ... they need not be apprehensive of any loss resulting from it [the road survey]. ... they did not evince the least disposition to engage in any occupation of any kind [relating to the survey or road building]; which was probably due to the fact that they do not understand the value of money, and that they are at present fully occupied in fishing, and gathering berries for the support of their families during the Winter.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it would be highly advisable that the Indian Reserves in this portion of the country should be defined with as little delay as possible; and, that it would be well to instruct the Assistant Commissioner of Lands and Works not to entertain any further applications for pre-emptions in the Chilcotin Country, until the reserves are laid out, in order to prevent the possibility of collision between the Indians and intending settlers.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population of the Chilcoten tribes amounts to five hundred ... of these about one hundred and fifty are adult males. They expressed themselves desirous of cultivating the land; and any assistance to educate them in this direction would be thankfully received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enquired carefully into the complaint of John Salmon, wherein he accuses the Indians of threatening him, and thereby causing him to abandon his farm, and with burning his premises; these charges they emphatically deny, and appear to be uneasy lest untruthful reports of this River should involve them in trouble similar to that of 1864.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Tsilhqot'in] complain of the treatment they received at the hands of Salmon, who appears to be a man of uneven, and rough temper ... They further complain, that he more than once moved the stakes on his pre-emption claim, and that he had lately enclosed a portion of land used by them as a meadow.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subsequently ascertained ... [that the threats to Salmon had come from a different source and that he voluntarily] packed his traps, set fire to his house, stable and hay stack and drove his cattle away.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Salmon, finding that I was in possession of these facts, afterwards admitted to me that they were substantially correct.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293</w:t>
      </w:r>
      <w:r>
        <w:rPr>
          <w:rFonts w:ascii="arial" w:eastAsia="arial" w:hAnsi="arial" w:cs="arial"/>
          <w:color w:val="000000"/>
          <w:sz w:val="20"/>
          <w:lang w:val="en-US" w:eastAsia="en-US" w:bidi="ar-SA"/>
        </w:rPr>
        <w:t xml:space="preserve">  In 1872 C.P. Railways Engineer and surveyor Marcus Smith conducted surveys for the CPR from Bute Inlet inland into Tsilhqot'in territory. In his report to CPR Chief Engineer, Sanford Fleming dated May 1, 1873, Smith noted his arrival at the site where Waddington's work party was killed. His notes, published in Fleming's </w:t>
      </w:r>
      <w:r>
        <w:rPr>
          <w:rFonts w:ascii="arial" w:eastAsia="arial" w:hAnsi="arial" w:cs="arial"/>
          <w:i/>
          <w:color w:val="000000"/>
          <w:sz w:val="20"/>
          <w:lang w:val="en-US" w:eastAsia="en-US" w:bidi="ar-SA"/>
        </w:rPr>
        <w:t>Report of Progress of the Explorations and Surveys up to January, 1874</w:t>
      </w:r>
      <w:r>
        <w:rPr>
          <w:rFonts w:ascii="arial" w:eastAsia="arial" w:hAnsi="arial" w:cs="arial"/>
          <w:color w:val="000000"/>
          <w:sz w:val="20"/>
          <w:lang w:val="en-US" w:eastAsia="en-US" w:bidi="ar-SA"/>
        </w:rPr>
        <w:t xml:space="preserve"> (Ottawa: MacLean, Roger &amp; Co., 1874) records at p. 113,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Clahoose Indians were getting tired of the work and would not in any case go beyond the foot of the Canyon, as they were afraid of the Chilcotin Indians; so that all the assistance the party had at present to depend on was from two families of Chilcotin Indians whom we found hunting there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294</w:t>
      </w:r>
      <w:r>
        <w:rPr>
          <w:rFonts w:ascii="arial" w:eastAsia="arial" w:hAnsi="arial" w:cs="arial"/>
          <w:color w:val="000000"/>
          <w:sz w:val="20"/>
          <w:lang w:val="en-US" w:eastAsia="en-US" w:bidi="ar-SA"/>
        </w:rPr>
        <w:t>  Upon returning to Bute Inlet on July 10, 1872 Smith met a boat containing County Court Judge P. O'Reilly "with a constable and an Indian servant". In his Journal entry of July 10, Smith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O'Reilly was on a mission at the instance of the Dominion Govt. to arrange with the Chief Alexis some difficulty that had occurred with a squatter named "Salmon" and also to explain the object of our work and pave the way for a good understand between us and his people (the Chilcotins)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295</w:t>
      </w:r>
      <w:r>
        <w:rPr>
          <w:rFonts w:ascii="arial" w:eastAsia="arial" w:hAnsi="arial" w:cs="arial"/>
          <w:color w:val="000000"/>
          <w:sz w:val="20"/>
          <w:lang w:val="en-US" w:eastAsia="en-US" w:bidi="ar-SA"/>
        </w:rPr>
        <w:t>  Smith subsequently traveled by ship to Victoria and then journeyed up the Fraser River and beyond, to resume his travel to Bute Inlet from the east. Once again his packers were reluctant to enter Tsilhqot'in territory. In his report to Sanford Fleming, Smith records that his Mexican packers and English cook "were with difficulty persuaded to go as rumours were rife of the warlike attitude of the Chilcotin Indians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296</w:t>
      </w:r>
      <w:r>
        <w:rPr>
          <w:rFonts w:ascii="arial" w:eastAsia="arial" w:hAnsi="arial" w:cs="arial"/>
          <w:color w:val="000000"/>
          <w:sz w:val="20"/>
          <w:lang w:val="en-US" w:eastAsia="en-US" w:bidi="ar-SA"/>
        </w:rPr>
        <w:t>  Smith eventually met with Chief Alexis, one of the Tsilhqot'in Chiefs and persuaded him to accompany the party to meet O'Reilly who was traveling up the Homathko River from Bute Inlet. O'Reilly was late in arriving because: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Eucletah Indians, whom I [Smith] had engaged before I left Bute Inlet, had gone up the Homathco river with supplies as far as the ferry, but there the two Indians whom we had left in charge told them that a band of Chilcotin Indians - (with whom the Eucletahs have a feud) - were coming down the valley, upon which they threw down their loads, ran to their canoes and made for their homes with all possible speed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297</w:t>
      </w:r>
      <w:r>
        <w:rPr>
          <w:rFonts w:ascii="arial" w:eastAsia="arial" w:hAnsi="arial" w:cs="arial"/>
          <w:color w:val="000000"/>
          <w:sz w:val="20"/>
          <w:lang w:val="en-US" w:eastAsia="en-US" w:bidi="ar-SA"/>
        </w:rPr>
        <w:t>  In his description of this journey, Smith reported camping on August 7, 1872: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by the margin of Tatla lake not far from the camp of Keogh, the chief of a small band of Indians who subsist by fishing on the lakes and hunting on the slopes of the Cascade mountains, from which they have the local name of 'Stone Indians', - they had a number of horses pastured round the camp.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298</w:t>
      </w:r>
      <w:r>
        <w:rPr>
          <w:rFonts w:ascii="arial" w:eastAsia="arial" w:hAnsi="arial" w:cs="arial"/>
          <w:color w:val="000000"/>
          <w:sz w:val="20"/>
          <w:lang w:val="en-US" w:eastAsia="en-US" w:bidi="ar-SA"/>
        </w:rPr>
        <w:t>  The next day he reported reaching Tatla Lake and later that day, "camping by a small stream near an Indian burying 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299</w:t>
      </w:r>
      <w:r>
        <w:rPr>
          <w:rFonts w:ascii="arial" w:eastAsia="arial" w:hAnsi="arial" w:cs="arial"/>
          <w:color w:val="000000"/>
          <w:sz w:val="20"/>
          <w:lang w:val="en-US" w:eastAsia="en-US" w:bidi="ar-SA"/>
        </w:rPr>
        <w:t>  On November 29, 1872 Marcus Smith wrote to the Hon. Geo. A. Walkem, Chief Commissioner of Land and Works responding to his request for "information respecting the Indians settled in the country between Bute Inlet and the Fraser River". Smith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the time I passed through that district there were very few of the Indians at their head quarters - most of them being engaged in Salmon fishing and picking berries on the Fraser and Homatcho rivers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difficult to estimate their numbers ... variously estimated at 200 to 300 and I do not think they can much exceed the latter, all told.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two chiefs - the larger proportion being under the Chief Alexis, whose winter quarters are generally at Alexis Lake or at Puntzee Lake.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fresh water fishing and shooting-stations most used in the Autumn by the tribes under Alexis are on a string of lakes and swamps, along the margin of which runs the old trail from Fort Alexandria to Bella Coola and Bentinck arm.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on the northwest shore of Puntzee lake is an important fishing station and a favourite camp of the tribes under Alexis - here they are visited by their neighbours the Stone Indians from the borders of the Cascade range-and those to the westward of them under the Chief Annahime.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the northwest side of Tatla lake - and near midway of its length - which is about 20 miles - are the headquarters of Keogh, the Chief of the Stone Indians residing on the margin of the string of lakes and swamps from Tatla to Bluff and Middle lakes and down the Homatcho river - They have also stations by the lakes in the mountains from Tatla to the headwaters of the Chilco river-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Keogh's people keep quite a number of horses.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 am informed by the Surveyors since I passed through the</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Indians have staked out grounds which they wish reserved-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Above the mouth of the Chilco river if any white settler were sanguine enough to endeavour to make a living at so great a distance from any road - I do not think it would be safe for him to do so until the Indians are consulted and some lands reserve for them - for the good lands above this point are so mixed up with Indian hunting grounds that it would scarcely be possible to avoid a collision.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number of Indians estimated above does not include any of those living farther to the north and west under the Chief Annahime ... they are said to be numerous and on friendly terms with those under Alexis and Keogh - and ready to help them in case of any difficulty with the whites.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300</w:t>
      </w:r>
      <w:r>
        <w:rPr>
          <w:rFonts w:ascii="arial" w:eastAsia="arial" w:hAnsi="arial" w:cs="arial"/>
          <w:color w:val="000000"/>
          <w:sz w:val="20"/>
          <w:lang w:val="en-US" w:eastAsia="en-US" w:bidi="ar-SA"/>
        </w:rPr>
        <w:t>  On August 21, 1875, Marcus Smith provided further information about his journeys through Tsilhqot'in territory in 1872. His letter addressed to I. Powell, Supt. of Indians, includes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 picked up a good deal of information respecting the Indians inhabiting that region which I shall put in form as soon as I have time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found the blind Chief Eulas and his tribe encamped near Risky's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saw the Chief Alexis at his camp in the Chilcotin valley about 40 miles above Risky's - he was apparently in a dying state. There were only his wife, and a few old women and children round him. The rest of the tribe were away hunting or had gone to a grand Cultus potlatch given by the Chief Annaheim near the Blackwater.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Chief and his tribe lately had their headquarters at Lake Nacoontloon, situated between the heads of the Dean and Belta Coola rivers, but they are coming down to the Chilcotin valley and it is probable that if Alexis dies, Annaheim will be chosen Chief of the two tribes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passed within 5 miles of the Camp of Keogh the Chief of the Indians about Tatla Lake. He was away at the Potlache, but his tribe had received presents of clothing etc. from the survey stores of last year. Keogh gave all away to his people, kept nothing for himself, so I sent him the other suit of uniform, for which his wife sent her son out to thank us.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another tribe of Stone Indians to the Northeast of Tatlah Lake which I did not see. But we saw some of them in 1872. Altogether there are between 500 and 600 people (men, women and children) speaking the Chilcotin language ... These are divided into six tribes, each with a chief and several petty chiefs.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met Father Marshall, one of the priests from Williams Lake Mission.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these priests are going to create a great deal of trouble by interfering with the secular affairs of the Indians.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priest has been marking off claims covering the best agricultural land in the Chilcotin Valley, indeed taking the whole of the valley for 15 miles in length. These he has apportioned among the different tribes even including the Stone Indians who are now living 150 miles farther west ... This is sheer madness. The Indians cannot live by agriculture alone. They are far more profitably employed both for themselves and the country in hunting and fishing. All that is wanted is a block of arable land subdivided for each family to cultivate a patch of potatoes and other vegetables and some wheat or grain if they desire, but the women and children alone cultivate the land.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Alexis creek where the tribe have had undisputed possession of the land from time immemorial, there is a patch of less than an acre cultivated by 14 families. It will be a long time before we see an average of one acre to a family under cultivation. But give them say 5 acres of arable land to a family. This would be 500 acres to each tribe of the Chilcotins, but this should be surrounded by a large block of hill ground for pasturing horses and cattle. These are my views, but however that may be, the Priests have no right to interfere. I find also that they undertake to depose and appoint Chiefs not according to their fitness to govern, but as they will best subserve Church interests.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They also order or at least encourage the brutality of whipping women for various offences.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301</w:t>
      </w:r>
      <w:r>
        <w:rPr>
          <w:rFonts w:ascii="arial" w:eastAsia="arial" w:hAnsi="arial" w:cs="arial"/>
          <w:color w:val="000000"/>
          <w:sz w:val="20"/>
          <w:lang w:val="en-US" w:eastAsia="en-US" w:bidi="ar-SA"/>
        </w:rPr>
        <w:t>  By an Order in Council dated January 1873 the Provincial Government partially removed the withdrawal from pre-emption. This opened up a portion of traditional Tsilhqot'in territory to pre-emption.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302</w:t>
      </w:r>
      <w:r>
        <w:rPr>
          <w:rFonts w:ascii="arial" w:eastAsia="arial" w:hAnsi="arial" w:cs="arial"/>
          <w:color w:val="000000"/>
          <w:sz w:val="20"/>
          <w:lang w:val="en-US" w:eastAsia="en-US" w:bidi="ar-SA"/>
        </w:rPr>
        <w:t xml:space="preserve">  In 1875 George Dawson journeyed into Tsilhqot'in territory to conduct a survey. His surveys include portions of the Claim Area, and he makes references to "Eagle Lake", "Tallyoco Lake" and "Cochin Lake": </w:t>
      </w:r>
      <w:r>
        <w:rPr>
          <w:rFonts w:ascii="arial" w:eastAsia="arial" w:hAnsi="arial" w:cs="arial"/>
          <w:i/>
          <w:color w:val="000000"/>
          <w:sz w:val="20"/>
          <w:lang w:val="en-US" w:eastAsia="en-US" w:bidi="ar-SA"/>
        </w:rPr>
        <w:t>Journals of George M. Dawson: British Columbia, 1875-1878</w:t>
      </w:r>
      <w:r>
        <w:rPr>
          <w:rFonts w:ascii="arial" w:eastAsia="arial" w:hAnsi="arial" w:cs="arial"/>
          <w:color w:val="000000"/>
          <w:sz w:val="20"/>
          <w:lang w:val="en-US" w:eastAsia="en-US" w:bidi="ar-SA"/>
        </w:rPr>
        <w:t>, Vol. 1, ed. by Douglas Cole and Bradley Lockner (Vancouver: UBC Press, 1989).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303</w:t>
      </w:r>
      <w:r>
        <w:rPr>
          <w:rFonts w:ascii="arial" w:eastAsia="arial" w:hAnsi="arial" w:cs="arial"/>
          <w:color w:val="000000"/>
          <w:sz w:val="20"/>
          <w:lang w:val="en-US" w:eastAsia="en-US" w:bidi="ar-SA"/>
        </w:rPr>
        <w:t xml:space="preserve">  In a letter dated September 5, 1883 by Father Adrian Morice, published in </w:t>
      </w:r>
      <w:r>
        <w:rPr>
          <w:rFonts w:ascii="arial" w:eastAsia="arial" w:hAnsi="arial" w:cs="arial"/>
          <w:i/>
          <w:color w:val="000000"/>
          <w:sz w:val="20"/>
          <w:lang w:val="en-US" w:eastAsia="en-US" w:bidi="ar-SA"/>
        </w:rPr>
        <w:t>Missions de la Congregation des Missionaires Oblats</w:t>
      </w:r>
      <w:r>
        <w:rPr>
          <w:rFonts w:ascii="arial" w:eastAsia="arial" w:hAnsi="arial" w:cs="arial"/>
          <w:color w:val="000000"/>
          <w:sz w:val="20"/>
          <w:lang w:val="en-US" w:eastAsia="en-US" w:bidi="ar-SA"/>
        </w:rPr>
        <w:t xml:space="preserve"> (Paris, 1883), there is a reference to the "Tchilkotines". He called them the "Tchilkotines des Rochers" or "Stone Chilcotin".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304</w:t>
      </w:r>
      <w:r>
        <w:rPr>
          <w:rFonts w:ascii="arial" w:eastAsia="arial" w:hAnsi="arial" w:cs="arial"/>
          <w:color w:val="000000"/>
          <w:sz w:val="20"/>
          <w:lang w:val="en-US" w:eastAsia="en-US" w:bidi="ar-SA"/>
        </w:rPr>
        <w:t>  In Minutes of Decision Nos. One and Two regarding the "Anahim Indians" dated July 8, 1887, two reserves for the Anahim Indians ("Anaham Flat and Anaham Meadow) were recorded. In Minutes of Decision Nos. One and Two, dated July 11, 1887, two reserves for the Stone Indians were recorded.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305</w:t>
      </w:r>
      <w:r>
        <w:rPr>
          <w:rFonts w:ascii="arial" w:eastAsia="arial" w:hAnsi="arial" w:cs="arial"/>
          <w:color w:val="000000"/>
          <w:sz w:val="20"/>
          <w:lang w:val="en-US" w:eastAsia="en-US" w:bidi="ar-SA"/>
        </w:rPr>
        <w:t>  In 1893 Father Morice presented his "Notes on the Western Dénés" to the Canadian Institute. He stated at p. 23: "All of these TsilKoh'tin have abandoned their original semi-subterranean huts to dwell in log houses covered with mud according to the fashion prevailing among the neighbouring whites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306</w:t>
      </w:r>
      <w:r>
        <w:rPr>
          <w:rFonts w:ascii="arial" w:eastAsia="arial" w:hAnsi="arial" w:cs="arial"/>
          <w:color w:val="000000"/>
          <w:sz w:val="20"/>
          <w:lang w:val="en-US" w:eastAsia="en-US" w:bidi="ar-SA"/>
        </w:rPr>
        <w:t>  In 1894 Tsilhqot'in people claimed land at Tish Gulhdzinqox on which they had a number of improvements. The Tsilhqot'in claimed a white settler was attempting to survey. In a letter to the Indian Reserve Commissioner, P.O. Reilly dated August 31, 1894, E.M. Skinner said,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They seem very anxious to have their land defined with some hay meadows allotted which they are in the habit of cutting, and express fear lest an attempt to acquire their land should lead to violence.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307</w:t>
      </w:r>
      <w:r>
        <w:rPr>
          <w:rFonts w:ascii="arial" w:eastAsia="arial" w:hAnsi="arial" w:cs="arial"/>
          <w:color w:val="000000"/>
          <w:sz w:val="20"/>
          <w:lang w:val="en-US" w:eastAsia="en-US" w:bidi="ar-SA"/>
        </w:rPr>
        <w:t>  In 1897 James Teit guided anthropologists Franz Boas and Livingston Farrand through Tsilhqot'in territory on horseback.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308</w:t>
      </w:r>
      <w:r>
        <w:rPr>
          <w:rFonts w:ascii="arial" w:eastAsia="arial" w:hAnsi="arial" w:cs="arial"/>
          <w:color w:val="000000"/>
          <w:sz w:val="20"/>
          <w:lang w:val="en-US" w:eastAsia="en-US" w:bidi="ar-SA"/>
        </w:rPr>
        <w:t>  In 1897 Edmund Elkins became the first white settler to attempt to settle in Xeni. Chief ?Achig ordered Elkins to move out of the valley. Elkins did not follow the order and as a result, a physical altercation between the Chief and Elkins took place. After this struggle, Elkins moved to the end of the valley to a place that is now known as Elkin Creek.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309</w:t>
      </w:r>
      <w:r>
        <w:rPr>
          <w:rFonts w:ascii="arial" w:eastAsia="arial" w:hAnsi="arial" w:cs="arial"/>
          <w:color w:val="000000"/>
          <w:sz w:val="20"/>
          <w:lang w:val="en-US" w:eastAsia="en-US" w:bidi="ar-SA"/>
        </w:rPr>
        <w:t>  By letter addressed to James A. Smart, Deputy Minister of the Interior Department, dated July 27, 1899, Hewitt Bostock, M.P. for the region, requested that "what is known as Nemaiah Valley in the western end of the Chilcoten country" be made a reserve.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310</w:t>
      </w:r>
      <w:r>
        <w:rPr>
          <w:rFonts w:ascii="arial" w:eastAsia="arial" w:hAnsi="arial" w:cs="arial"/>
          <w:color w:val="000000"/>
          <w:sz w:val="20"/>
          <w:lang w:val="en-US" w:eastAsia="en-US" w:bidi="ar-SA"/>
        </w:rPr>
        <w:t>  In 1899 Indian Reserve Commissioner A.W. Vowell traveled to Xeni and laid out four reserves: Chilco Lake Reserve, Garden Reserve, Fishery Reserve and Meadow Reserve, all in or near Xeni. The reserves were not formally created due to delays in completing a survey. In a letter dated October 18, 1899 to the Secretary, Department of Indian Affairs, Ottawa, Vowell discussed his trip to Xeni. He noted,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learned that the greater number of the Indians were absent in the mountains hunting and fishing and putting up their winter supply of dried meat, etc. I also learned that they are generally absent in the Spring and Fall, engaged in trapping, and that the only time when they are all at home is in the dead of winter. Upon close inquiry I learned that some 59 Indians, men, women and children, have for a long time lived in the valley as far as I could learn having been there located before the laying off of other reserves in the Chilcotin country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311</w:t>
      </w:r>
      <w:r>
        <w:rPr>
          <w:rFonts w:ascii="arial" w:eastAsia="arial" w:hAnsi="arial" w:cs="arial"/>
          <w:color w:val="000000"/>
          <w:sz w:val="20"/>
          <w:lang w:val="en-US" w:eastAsia="en-US" w:bidi="ar-SA"/>
        </w:rPr>
        <w:t>  In Minutes of Decision dated September 20, 1904 the Redstone Flat Reserve for the Alexis Creek Indians was recorded.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312</w:t>
      </w:r>
      <w:r>
        <w:rPr>
          <w:rFonts w:ascii="arial" w:eastAsia="arial" w:hAnsi="arial" w:cs="arial"/>
          <w:color w:val="000000"/>
          <w:sz w:val="20"/>
          <w:lang w:val="en-US" w:eastAsia="en-US" w:bidi="ar-SA"/>
        </w:rPr>
        <w:t>  In September 1909, the proposed Xeni reserves were finally surveyed.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313</w:t>
      </w:r>
      <w:r>
        <w:rPr>
          <w:rFonts w:ascii="arial" w:eastAsia="arial" w:hAnsi="arial" w:cs="arial"/>
          <w:color w:val="000000"/>
          <w:sz w:val="20"/>
          <w:lang w:val="en-US" w:eastAsia="en-US" w:bidi="ar-SA"/>
        </w:rPr>
        <w:t>  The Annual Report of the Department of Indian Affairs for the year ending March 31, 1912 (Ottawa: Parmelee, 1912) recognized the Nemiah Valley Indian Band and their reserve and noted the population to be 57 persons.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314</w:t>
      </w:r>
      <w:r>
        <w:rPr>
          <w:rFonts w:ascii="arial" w:eastAsia="arial" w:hAnsi="arial" w:cs="arial"/>
          <w:color w:val="000000"/>
          <w:sz w:val="20"/>
          <w:lang w:val="en-US" w:eastAsia="en-US" w:bidi="ar-SA"/>
        </w:rPr>
        <w:t>  In 1914 Xeni Chief Seal Canim testified before the Royal Commission on Indian Affairs for the Province of British Columbia (Williams Lake Agency) on the need for more land. On July 22, 1914, he testified that there were then 67 persons in the band of whom 14 were married men. At pp. 117-118 from his testimony before Commissioner MacDowall, Chief Canim is reported to have said: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 want to get the land near No. 2 Reserve on which your houses are built and on which there is a meadow?</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wish to get from No. 1 Reserve to No. 2 Reserve.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How much land do you want to get?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want 3 miles along the creek, and 2 miles across it.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How much land do you want on each side of the creek?</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want a piece that will join No. 1 and No. 2, going on both sides of the creek, and about 2 miles wide. About 5 square miles in all.</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Does any white man own any land there? I understand Mr. Robertson owns some land there?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they cut all the meadow between them.</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Has any white man got any land near No. 1 or No. 2?</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there are two places belonging to white men.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Note: Indian Agent Ogden to find out what is free.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 would be unfair to you if we were to tell you that we would get you land that white men already own, because we cannot take land away from anyone. If the land is free, we will be glad to get you some more, because the Indians here seem to need more. We will ask Mr. Ogden to look at this land with you, and if no arrangement can be made about that, perhaps you will be able to show Mr. Ogden another piece which possibly we may be able to get for you.</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understand you want some pasture land north of No. 2. Is that 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 you want some timber lands south of No. 2?</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 you want 2 miles square of land for cultivation, east of No. 4 ... Is that land good for cultivation?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315</w:t>
      </w:r>
      <w:r>
        <w:rPr>
          <w:rFonts w:ascii="arial" w:eastAsia="arial" w:hAnsi="arial" w:cs="arial"/>
          <w:color w:val="000000"/>
          <w:sz w:val="20"/>
          <w:lang w:val="en-US" w:eastAsia="en-US" w:bidi="ar-SA"/>
        </w:rPr>
        <w:t>  Chief Canim went on to say (at p. 119) that the band had 45 cattle and 325 horses. He requested land for a fishing reserve on the creek "adjoining Tsunniah Lake on the Chilco Lake, and directly north of No. 1 Reserve". He also asked for the right to hunt for food when hungry and was told by the Commissioner (p. 119) that "[i]n this district, you can kill a male deer over one year old, out of season - at any time of the year, for your own use; but it must be for your own use and not for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316</w:t>
      </w:r>
      <w:r>
        <w:rPr>
          <w:rFonts w:ascii="arial" w:eastAsia="arial" w:hAnsi="arial" w:cs="arial"/>
          <w:color w:val="000000"/>
          <w:sz w:val="20"/>
          <w:lang w:val="en-US" w:eastAsia="en-US" w:bidi="ar-SA"/>
        </w:rPr>
        <w:t>  In 1916, three new reserves were created in Xeni.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317</w:t>
      </w:r>
      <w:r>
        <w:rPr>
          <w:rFonts w:ascii="arial" w:eastAsia="arial" w:hAnsi="arial" w:cs="arial"/>
          <w:color w:val="000000"/>
          <w:sz w:val="20"/>
          <w:lang w:val="en-US" w:eastAsia="en-US" w:bidi="ar-SA"/>
        </w:rPr>
        <w:t>  In a letter dated December 31, 1922, to J.E. Umbach, the Surveyor General, R.P. Bishop wrote of the Xeni Gwet'in Indians: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Ten families of Indians have their headquarters in the valley but lead a semi-nomadic existence during the greater part of the year. Like all the Chilcotens, they are born horsemen and do not like going where they cannot ride;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After a few years residence in one place they have a tendency to move on, possibly being influenced by the condition of the range and of the hay meadows. At present the main village of the band is near the south boundary of lot 305, but there are several old village sites in the valley.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Nemaias go in largely for horses, and two members are said to own between them several hundred of these beasts ... At present the extent of the Indians' holding is not clearly defined and a good deal of uncertainty exists on the subject. The settlement of this question, which has been pending for some years and is now on the verge of completion, will make things much more satisfactory both for the white men and the Indians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early summer the village is generally deserted, as nearly everybody takes to the hills to gather wild potato or hunt meat for consumption during the haying season ... After the hay season a good many take to the hills to hunt the marmot, which is used both for "ground-hog robes" and for meat. In the winter comes the trapping season.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318</w:t>
      </w:r>
      <w:r>
        <w:rPr>
          <w:rFonts w:ascii="arial" w:eastAsia="arial" w:hAnsi="arial" w:cs="arial"/>
          <w:color w:val="000000"/>
          <w:sz w:val="20"/>
          <w:lang w:val="en-US" w:eastAsia="en-US" w:bidi="ar-SA"/>
        </w:rPr>
        <w:t>  On July 4, 1927 ten chiefs, including six Tsilhqot'in chiefs, one of whom was Chief Seal Canim of Xeni, wrote a letter to Prime Minister McKenzie King asking for the return of their "Old Law":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Undersign Beg of you to [see?] in [Regard?] to our trapping and fishing Rights in first place we Have no show to trapp as White Men Chases us away and Police we Have no show to trapp as white man Has trappers Licence so we Ask Government of Ottawa to try Help us and get our Old Law Back ... we also ask you to Help out fishing Law in Regard to Indian Agent, we also ask you to Help us; he goes around with Priest Makes very Severe Laws on Indians ... We were also trubbled with trappers we were Chased all over we couldint trapp as White men Has trappers Licence and some Had 30, Miles trapp Line and sent Police Officer all over after us, they also wen so far as to thretten us with guns so we urge if you please try to get our old [Law?] Back again so we can trapp [Hunt?] as we did before, we also Ask you to [try] get our Water Right as white men got Water Recorded and we cant get any they wont let use water ... Let it go as Olden day no trappers Licence, and Game Laws we cant Kill any Game and Deer some times we are very hungry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319</w:t>
      </w:r>
      <w:r>
        <w:rPr>
          <w:rFonts w:ascii="arial" w:eastAsia="arial" w:hAnsi="arial" w:cs="arial"/>
          <w:color w:val="000000"/>
          <w:sz w:val="20"/>
          <w:lang w:val="en-US" w:eastAsia="en-US" w:bidi="ar-SA"/>
        </w:rPr>
        <w:t>  In 1929 the first of the existing traplines in the Claim Area was registered in the name of members of the Nemiah Valley Indian Band. Over the next decades, most of the traplines in the Claim Area were registered to Nemiah Band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320</w:t>
      </w:r>
      <w:r>
        <w:rPr>
          <w:rFonts w:ascii="arial" w:eastAsia="arial" w:hAnsi="arial" w:cs="arial"/>
          <w:color w:val="000000"/>
          <w:sz w:val="20"/>
          <w:lang w:val="en-US" w:eastAsia="en-US" w:bidi="ar-SA"/>
        </w:rPr>
        <w:t>  From 1950 to 1956, Canada attempted unsuccessfully to purchase additional lands for reserves for the Xeni Gwetin.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321</w:t>
      </w:r>
      <w:r>
        <w:rPr>
          <w:rFonts w:ascii="arial" w:eastAsia="arial" w:hAnsi="arial" w:cs="arial"/>
          <w:color w:val="000000"/>
          <w:sz w:val="20"/>
          <w:lang w:val="en-US" w:eastAsia="en-US" w:bidi="ar-SA"/>
        </w:rPr>
        <w:t xml:space="preserve">  In 1964 the federal government assumed responsibility for the St. Joseph's Mission Residential School attended by many of the witnesses in this trial. The school had operated for many years under the Oblate Brothers of St. Joseph, prior to this assumption of responsibility. Margaret Whitehead's 1979 thesis about the St. Joseph's Mission explains the work of the Oblate Fathers: </w:t>
      </w:r>
      <w:r>
        <w:rPr>
          <w:rFonts w:ascii="arial" w:eastAsia="arial" w:hAnsi="arial" w:cs="arial"/>
          <w:i/>
          <w:color w:val="000000"/>
          <w:sz w:val="20"/>
          <w:lang w:val="en-US" w:eastAsia="en-US" w:bidi="ar-SA"/>
        </w:rPr>
        <w:t>Missionaries and Indians in Cariboo: A History of St. Joseph's Mission, Williams Lake, British Columbia</w:t>
      </w:r>
      <w:r>
        <w:rPr>
          <w:rFonts w:ascii="arial" w:eastAsia="arial" w:hAnsi="arial" w:cs="arial"/>
          <w:color w:val="000000"/>
          <w:sz w:val="20"/>
          <w:lang w:val="en-US" w:eastAsia="en-US" w:bidi="ar-SA"/>
        </w:rPr>
        <w:t>. (M.A. Thesis, University of Victoria, 1979) [unpublished]. Father Paul Durieu, later Bishop Durieu, established the Durieu system in willing Aboriginal villages. At pp. 21-22 of her thesis, Whitehead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 letter to Father Jean Marie LeJacq, dated November 17, 1883, Durieu included a detailed description of the working of his system.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bring the Indians to lead a Christian life" he stated "the missionary must exercise upon them a twofold action. A destructive action, in destroying sin wherever it flourishes and a formative action, in moulding the inner man by instruction, preaching and the reception of the sacraments." He went on to say that sin had to be destroyed "by repressing and punishing it relentlessly as an evil, horrible and degrading thing." The missionary had to "inculcate horror, fear and flight from sin" and the repression of evil was to be accomplished through the help of the chief and the watchman. The Indians played an active part in the imposition of the Durieu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322</w:t>
      </w:r>
      <w:r>
        <w:rPr>
          <w:rFonts w:ascii="arial" w:eastAsia="arial" w:hAnsi="arial" w:cs="arial"/>
          <w:color w:val="000000"/>
          <w:sz w:val="20"/>
          <w:lang w:val="en-US" w:eastAsia="en-US" w:bidi="ar-SA"/>
        </w:rPr>
        <w:t>  The Durieu System is likely what led to some Tsilhqot'in members being named "Captain". Whitehead, at p. 52, noted that "Father McGuckin appointed the 'usual officers' of the Durieu system" for the "Indians" under Chief Alexis, and promised to do the same for the other two chiefs, Anaham and Ke-ogh, the following year. At p. 21 of her thesis, Whitehead noted that Durieu borrowed from the "Instructions on Foreign Missions" which set out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Every means should therefore be taken to bring the nomad tribes to abandon their wandering life and to build houses, cultivate fields and practise the elementary crafts of civilized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323</w:t>
      </w:r>
      <w:r>
        <w:rPr>
          <w:rFonts w:ascii="arial" w:eastAsia="arial" w:hAnsi="arial" w:cs="arial"/>
          <w:color w:val="000000"/>
          <w:sz w:val="20"/>
          <w:lang w:val="en-US" w:eastAsia="en-US" w:bidi="ar-SA"/>
        </w:rPr>
        <w:t>  In 1977 the Nemiah Valley Indian Band Council passed a resolution to amalgamate twelve traplines into a Band 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324</w:t>
      </w:r>
      <w:r>
        <w:rPr>
          <w:rFonts w:ascii="arial" w:eastAsia="arial" w:hAnsi="arial" w:cs="arial"/>
          <w:color w:val="000000"/>
          <w:sz w:val="20"/>
          <w:lang w:val="en-US" w:eastAsia="en-US" w:bidi="ar-SA"/>
        </w:rPr>
        <w:t>  In 1980 most family traplines were cancelled and replaced by two large traplines in the name of the Nemiah Valley Indian Band.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325</w:t>
      </w:r>
      <w:r>
        <w:rPr>
          <w:rFonts w:ascii="arial" w:eastAsia="arial" w:hAnsi="arial" w:cs="arial"/>
          <w:color w:val="000000"/>
          <w:sz w:val="20"/>
          <w:lang w:val="en-US" w:eastAsia="en-US" w:bidi="ar-SA"/>
        </w:rPr>
        <w:t>  On August 23, 1989 the Xeni Gwet'in issued the Nemiah Declaration (see Sec. 2f: "Description of the Claim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326</w:t>
      </w:r>
      <w:r>
        <w:rPr>
          <w:rFonts w:ascii="arial" w:eastAsia="arial" w:hAnsi="arial" w:cs="arial"/>
          <w:color w:val="000000"/>
          <w:sz w:val="20"/>
          <w:lang w:val="en-US" w:eastAsia="en-US" w:bidi="ar-SA"/>
        </w:rPr>
        <w:t>  In October 1992 The Honourable Anthony Sarich P.C.J. was appointed by Order in Council to conduct the Cariboo-Chilcotin Justice Inquiry "to inquire into and report on the relationship between the Cariboo-Chilcotin aboriginal community and the police, Crown prosecutors, courts, probation and family court counselors in the administration of justice in the Cariboo-Chilcotin Region": O.I.C. No. 1508 (1 Oct. 1992); O.I.C. No. 0967 (23 July 1993).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327</w:t>
      </w:r>
      <w:r>
        <w:rPr>
          <w:rFonts w:ascii="arial" w:eastAsia="arial" w:hAnsi="arial" w:cs="arial"/>
          <w:color w:val="000000"/>
          <w:sz w:val="20"/>
          <w:lang w:val="en-US" w:eastAsia="en-US" w:bidi="ar-SA"/>
        </w:rPr>
        <w:t>  In 1992 Tsilhqot'in people passed the Tsilhqot'in Declaration of Sovereignty 1992.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328</w:t>
      </w:r>
      <w:r>
        <w:rPr>
          <w:rFonts w:ascii="arial" w:eastAsia="arial" w:hAnsi="arial" w:cs="arial"/>
          <w:color w:val="000000"/>
          <w:sz w:val="20"/>
          <w:lang w:val="en-US" w:eastAsia="en-US" w:bidi="ar-SA"/>
        </w:rPr>
        <w:t>  As already noted, in 1992 Premier Michael Harcourt promised the Xeni Gwet'in people there would be no harvesting of timber in their traditional territory without their consent.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329</w:t>
      </w:r>
      <w:r>
        <w:rPr>
          <w:rFonts w:ascii="arial" w:eastAsia="arial" w:hAnsi="arial" w:cs="arial"/>
          <w:color w:val="000000"/>
          <w:sz w:val="20"/>
          <w:lang w:val="en-US" w:eastAsia="en-US" w:bidi="ar-SA"/>
        </w:rPr>
        <w:t>  In 1993 Judge Sarich's Report on the Cariboo-Chilcotin Justice Inquiry was released. One of the report's recommendations was that a posthumous pardon be granted to the Tsilhqot'in chiefs sentenced to their deaths as a consequence of the Tsilhqot'in War. In the course of his comments concerning the Sarich Report, The Honourable Colin Gabelmann, Attorney General for British Columbia, extended an apology to the Tsilhqot'in people for wrongs done to them during and after the War.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330</w:t>
      </w:r>
      <w:r>
        <w:rPr>
          <w:rFonts w:ascii="arial" w:eastAsia="arial" w:hAnsi="arial" w:cs="arial"/>
          <w:color w:val="000000"/>
          <w:sz w:val="20"/>
          <w:lang w:val="en-US" w:eastAsia="en-US" w:bidi="ar-SA"/>
        </w:rPr>
        <w:t>  In 1994 the Province designated Ts'il?os Provincial Park, and erected a sign which states,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Tsilhqot'in have steadfastly protected their remote territory through the centuries and because of their sustained presence the land has remained relatively unaltered.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331</w:t>
      </w:r>
      <w:r>
        <w:rPr>
          <w:rFonts w:ascii="arial" w:eastAsia="arial" w:hAnsi="arial" w:cs="arial"/>
          <w:color w:val="000000"/>
          <w:sz w:val="20"/>
          <w:lang w:val="en-US" w:eastAsia="en-US" w:bidi="ar-SA"/>
        </w:rPr>
        <w:t>  In 1999 the Province unveiled a memorial plaque marking the gravesite of five Tsilhqot'in chiefs who were executed in the aftermath of the Tsilhqot'in War. In part the plaque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commemorative plaque has been raised to honour those who lost their lives in defence of the territory and the traditional way of life of the Tsilhqot'in and to express the inconsolable grief that has been collectively experienced at the injustice the Tsilhqot'in perceive was done to their chiefs.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 ETHNOGRAPHIC NARRATIVE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 Ethnography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332</w:t>
      </w:r>
      <w:r>
        <w:rPr>
          <w:rFonts w:ascii="arial" w:eastAsia="arial" w:hAnsi="arial" w:cs="arial"/>
          <w:color w:val="000000"/>
          <w:sz w:val="20"/>
          <w:lang w:val="en-US" w:eastAsia="en-US" w:bidi="ar-SA"/>
        </w:rPr>
        <w:t>  The Tsilhqot'in are a group of Aboriginal people who speak a variant of the Athapaskan language. They inhabit an area in the west central portion of British Columbia. The Tsilhqot'in are considered to be the southern most group of Athapaskan speaking people in Canada. Today there are six bands of Tsilhqot'in people, five of whom form the Tsilhqot'in National Government (TNG). There is also a seventh group who reside with Ulkatcho Dakelh (Carrier) people on the Ulkatcho reserves located around Anahim Lake. This group of Tsilhqot'in/Ulkatcho people are not a part of the TNG.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333</w:t>
      </w:r>
      <w:r>
        <w:rPr>
          <w:rFonts w:ascii="arial" w:eastAsia="arial" w:hAnsi="arial" w:cs="arial"/>
          <w:color w:val="000000"/>
          <w:sz w:val="20"/>
          <w:lang w:val="en-US" w:eastAsia="en-US" w:bidi="ar-SA"/>
        </w:rPr>
        <w:t xml:space="preserve">  The Tsilhqot'in people have not received a lot of attention from anthropologists and ethnographers. A few ethnographers, professional and amateur, wrote on Tsilhqot'in social organization and culture at the very end of the nineteenth century and the beginning of the twentieth century, including Father Adrien Gabriel Morice, James Teit, Livingston Farrand, Diamond Jenness and Verne Ray. In the mid-twentieth century, Robert Lane undertook the first major, and still the most detailed, study of most aspects of Tsilhqot'in ethnography in his 1953 dissertation, </w:t>
      </w:r>
      <w:r>
        <w:rPr>
          <w:rFonts w:ascii="arial" w:eastAsia="arial" w:hAnsi="arial" w:cs="arial"/>
          <w:i/>
          <w:color w:val="000000"/>
          <w:sz w:val="20"/>
          <w:lang w:val="en-US" w:eastAsia="en-US" w:bidi="ar-SA"/>
        </w:rPr>
        <w:t>Cultural Relations of the Chilcotin Indians</w:t>
      </w:r>
      <w:r>
        <w:rPr>
          <w:rFonts w:ascii="arial" w:eastAsia="arial" w:hAnsi="arial" w:cs="arial"/>
          <w:color w:val="000000"/>
          <w:sz w:val="20"/>
          <w:lang w:val="en-US" w:eastAsia="en-US" w:bidi="ar-SA"/>
        </w:rPr>
        <w:t xml:space="preserve">. Parts of that dissertation were refined and condensed in Lane's 1981 article on the Tsilhqot'in people in the </w:t>
      </w:r>
      <w:r>
        <w:rPr>
          <w:rFonts w:ascii="arial" w:eastAsia="arial" w:hAnsi="arial" w:cs="arial"/>
          <w:i/>
          <w:color w:val="000000"/>
          <w:sz w:val="20"/>
          <w:lang w:val="en-US" w:eastAsia="en-US" w:bidi="ar-SA"/>
        </w:rPr>
        <w:t>Handbook of North American Indians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334</w:t>
      </w:r>
      <w:r>
        <w:rPr>
          <w:rFonts w:ascii="arial" w:eastAsia="arial" w:hAnsi="arial" w:cs="arial"/>
          <w:color w:val="000000"/>
          <w:sz w:val="20"/>
          <w:lang w:val="en-US" w:eastAsia="en-US" w:bidi="ar-SA"/>
        </w:rPr>
        <w:t>  Lane was the first anthropologist to place primary emphasis on the Tsilhqot'in. In preparing his dissertation in the early 1950's, Lane reviewed the studies of ethnographers writing before him. Lane also undertook his own careful fieldwork among Tsilhqot'in speaking communities over a period of four years. His dissertation is an important contribution to the understanding of Tsilhqot'in people and his work continues to be relied upon by contemporary scholars. At pp. 4-6 of his 1953 dissertation,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Thus the Chilcotin have been assigned, with some question, to the Plateau culture area or to a Northern Athapaskan area. On their boundaries, we find Plateau groups, Northwest Coast groups (if we consider the Gulf of Georgia area separately, one group from that area), and possibly groups within a Northern Athapaskan area or at least having linguistic and cultural relationships with the Northern Athapaskans. This is a fairly unique situation in that, in almost every direction, there are peoples certainly with different types of culture; and, in most cases, lying within different culture areas.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situation made the Chilcotin very much of a border group. They lay on the southwest frontier of the Northern Athapaskans, sharing a language which, in many dialects, was spoken in northern North America from the coast of Alaska eastward to Hudson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By virtue of their position on the northern boundary or in the northern part of the Plateau, the Chilcotin shared cultural elements with and were influenced by people, primarily Salish speaking, who occupied the interior valleys and plateaus east of the Coast Range.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West of the Chilcotin, the Coast Range is particularly rugged and forms a barrier between the coast and the interior. However, there are valleys through the mountains, and by these routes, the Chilcotin were able to communicate with the central Northwest Coast and, at least in recent times, draw upon the cultural resources of the Northwest Coast and incorporate coast elements into their culture. This was particularly true at the northern point of contact where the Chilcotin met the Bella Coola. Here, however, coastal influences came to the Chilcotin from a people who were themselves somewhat atypical to the central Northwest Coast in that they had a riverine rather than strictly coastal culture.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cultural position of the Chilcotin is, as has been pointed out, unique. They occupy an area where three (or four) different areas of culture met: the Yukon-Mackenzie or Northern Athapaskan; the Plateau; the Gulf of Georgia Salish; and the Northwest Coast. It is logical to expect that the content of Chilcotin culture would reflect this frontier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335</w:t>
      </w:r>
      <w:r>
        <w:rPr>
          <w:rFonts w:ascii="arial" w:eastAsia="arial" w:hAnsi="arial" w:cs="arial"/>
          <w:color w:val="000000"/>
          <w:sz w:val="20"/>
          <w:lang w:val="en-US" w:eastAsia="en-US" w:bidi="ar-SA"/>
        </w:rPr>
        <w:t>  Dr. David Dinwoodie, anthropologist, was called as a witness for the plaintiff. He was qualified to express opinions in the field of anthropology. In his report, there is a short reference to some of the "Evidence in Anthropological Accounts". Dr. Dinwoodie notes, at p. 23, that in 1898 Livingston Farrand wrote the following about the Tsilhqot'in people: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Intercourse with the coast Indians, and particularly with the Bella Coola, was formerly much more frequent than now, for the reason that the early seat of the Chilcotin was considerably farther west than at present, while the Bella Coola extended higher up the river of that name into the interior. The results of this early intercourse is seen very clearly in certain of their customs, and particularly in details of their traditions. In former times and down to within about thirty years the center of territory and population of the Chilcotin was Anahem Lake, and from here they covered a considerable extent of country, the principle points of gathering beside the one mentioned being Tatlah, Puntze, and Chezaikut Lakes. They extended as far south as Chilco Lake, and at the time of the salmon fishing were accustomed to move in large numbers down to the Chilcotin River to a point near the present Anahem Reservation, always returning to their homes as soon as the fishing was over. More recently they have been brought to the eastward, and today the chief centres of the tribe are four reservations- Anahem, Stone, Risky Creek, and Alexandria - the first three in the valley of the Chilcotin, and the last named, consisting of but a few families, somewhat removed from the others, on the Fraser. Besides these there are a considerable number of families leading a semi- nomadic life on the old tribal territory in the woods and mountains to the westward. These latter, considerably less influenced by civilization than their reservation relatives, are known by the whites as Stone Chilcotin or Stonies.</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1899 "The Chilcotin". The North-Western Tribes of Canada-Twelfth and Final Report of the Committee, 68th Annual Report of the British Association for the Advancement of Science for 1898</w:t>
      </w:r>
      <w:r>
        <w:rPr>
          <w:rFonts w:ascii="arial" w:eastAsia="arial" w:hAnsi="arial" w:cs="arial"/>
          <w:color w:val="000000"/>
          <w:sz w:val="20"/>
          <w:lang w:val="en-US" w:eastAsia="en-US" w:bidi="ar-SA"/>
        </w:rPr>
        <w:t xml:space="preserve">. pp. 645-8. London. (Reprinted in: 8(1-2): 338-349. 1974.) </w:t>
      </w:r>
      <w:r>
        <w:rPr>
          <w:rFonts w:ascii="arial" w:eastAsia="arial" w:hAnsi="arial" w:cs="arial"/>
          <w:i/>
          <w:color w:val="000000"/>
          <w:sz w:val="20"/>
          <w:lang w:val="en-US" w:eastAsia="en-US" w:bidi="ar-SA"/>
        </w:rPr>
        <w:t>Northwest Anthropological Research Notes.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336</w:t>
      </w:r>
      <w:r>
        <w:rPr>
          <w:rFonts w:ascii="arial" w:eastAsia="arial" w:hAnsi="arial" w:cs="arial"/>
          <w:color w:val="000000"/>
          <w:sz w:val="20"/>
          <w:lang w:val="en-US" w:eastAsia="en-US" w:bidi="ar-SA"/>
        </w:rPr>
        <w:t>  Dinwoodie's report at pp. 24-25 also quotes James Teit's observations made in 1900: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the present day the whites generally divide the tribe into three divisions, named according to their habitat - first, the Lower Chilcotin; second, the Stone Chilcotin, or Stonies; and third, the Stick or Upper Chilcotin. The first-named consist of three bands, originally emigrants from Nacoontloon Lake and neighbourhood. One of these, called the Anahem, live in a village on the north side of the Chilcotin Valley; about eight miles west of Hanceville, where they have reserves; the second band, called the Toozeys, live really within the Shuswap territory, on Riskie Creek, not far from Frazer River; and the remaining band have located at Alexandria, within the Carrier territory. The Stone Chilcotin make their winter headquarters on a reserve on the south side of the Chilcotin Valley, about four miles west of Hanceville. The Stick Chilcotin live in small scattered communities around Chezikut Lake, Puntzee Lake, Anahem or Nacoontloon Lake, Tatla Lake, Chilco Lake, etc. Both they and the Stonies are much more nomadic than the Anahem and other bands, and roam during the greater part of the year over their hunting grounds to the west and south.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Until about thirty-five or forty years ago, nearly two-thirds of the whole tribe lived in the valley which skirts the eastern flanks of the Coast Range from Chilco Lake north to near the bend of Salmon River. Most of them were located in the northern part of the valley, at Anahem or Nacoontloon Lake, just east of the territory of the Bella Coola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Smaller bands had headquarters around Chilco and Tatla Lakes and some families wintered along Chilco and Chilanco Rivers ...</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1909 Notes on the Chilcotin Indians; Memoirs of the American Museum of Natural History</w:t>
      </w:r>
      <w:r>
        <w:rPr>
          <w:rFonts w:ascii="arial" w:eastAsia="arial" w:hAnsi="arial" w:cs="arial"/>
          <w:color w:val="000000"/>
          <w:sz w:val="20"/>
          <w:lang w:val="en-US" w:eastAsia="en-US" w:bidi="ar-SA"/>
        </w:rPr>
        <w:t xml:space="preserve"> 4(7); 759-789. New York.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337</w:t>
      </w:r>
      <w:r>
        <w:rPr>
          <w:rFonts w:ascii="arial" w:eastAsia="arial" w:hAnsi="arial" w:cs="arial"/>
          <w:color w:val="000000"/>
          <w:sz w:val="20"/>
          <w:lang w:val="en-US" w:eastAsia="en-US" w:bidi="ar-SA"/>
        </w:rPr>
        <w:t>  Both the Farrand and Teit accounts note the presence of Stone Chilcotin or Stick Chilcotin living in scattered communities around various lakes, including Tsilhqox Biny. These are without a doubt the ancestors of the Xeni Gwet'in, who pursued a semi-nomadic life in the "old tribal territory". The historical record confirms the presence of Tsilhqot'in people down the length of the Tsilhqox corridor up to and including Tsilhqox Biny. At the time of sovereignty assertion, the Stone Chilcotin made their winter headquarters along that river corridor on both sides and extending to the lakes, rivers and streams to the south, east and west.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338</w:t>
      </w:r>
      <w:r>
        <w:rPr>
          <w:rFonts w:ascii="arial" w:eastAsia="arial" w:hAnsi="arial" w:cs="arial"/>
          <w:color w:val="000000"/>
          <w:sz w:val="20"/>
          <w:lang w:val="en-US" w:eastAsia="en-US" w:bidi="ar-SA"/>
        </w:rPr>
        <w:t>  At the time of Farrand and Teit's writings reserves had not been established in Xeni. These reserves were set much later than the other Tsilhqot'in reserves due to their remote location and the lack of an adequate transportation network. The "considerable number of families leading a semi-nomadic life on the old tribal territory in the woods and mountains to the westward" resulted in the reserve commissioners and surveyors experiencing a difficult time locating these groups of Tsilhqot'in people.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339</w:t>
      </w:r>
      <w:r>
        <w:rPr>
          <w:rFonts w:ascii="arial" w:eastAsia="arial" w:hAnsi="arial" w:cs="arial"/>
          <w:color w:val="000000"/>
          <w:sz w:val="20"/>
          <w:lang w:val="en-US" w:eastAsia="en-US" w:bidi="ar-SA"/>
        </w:rPr>
        <w:t>  Even today the community of Xeni Gwet'in may be characterized as remote. At the time of the Court's sitting, electricity had not arrived in the valley and an entire community of people relied upon generated power. The long winter drive over a road from Hanceville covered with ice and snow made this community seem all the more remote.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 Language and Culture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340</w:t>
      </w:r>
      <w:r>
        <w:rPr>
          <w:rFonts w:ascii="arial" w:eastAsia="arial" w:hAnsi="arial" w:cs="arial"/>
          <w:color w:val="000000"/>
          <w:sz w:val="20"/>
          <w:lang w:val="en-US" w:eastAsia="en-US" w:bidi="ar-SA"/>
        </w:rPr>
        <w:t>  The most important bond shared by Tsilhqot'in people is language. The capacity to speak and understand Tsilhqot'in appears to have been the most significant identifying trait of members of that community. The number of proficient Tsilhqot'in speakers, at least in some communities (such as the Xeni Gwet'in community) remains today very high.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341</w:t>
      </w:r>
      <w:r>
        <w:rPr>
          <w:rFonts w:ascii="arial" w:eastAsia="arial" w:hAnsi="arial" w:cs="arial"/>
          <w:color w:val="000000"/>
          <w:sz w:val="20"/>
          <w:lang w:val="en-US" w:eastAsia="en-US" w:bidi="ar-SA"/>
        </w:rPr>
        <w:t>  Lane said the following about the Tsilhqot'in language in his 1953 thesis, at p. 164: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Chilcotin were distinguished from their neighbors by their exclusive sharing of a common dialect, a common territory, a common culture, and a feeling of basic unity. Probably the deepest tie was language. I know of or can conceive of cases in which the importance of any of the other criteria might be diminished or lacking; but as long as the linguistic bond was there, the person would be recognized as a Chilcotin. Once the linguistic bond was broken, as it is in the case of a few individuals today, the person's status as a Chilcotin was immeasurably endangered.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common territory as a criterion of unity is, of course, interrelated with the other criteria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get the impression that the common culture was a relatively less important criterion. The Chilcotin were tolerant of cultural and individual differences.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342</w:t>
      </w:r>
      <w:r>
        <w:rPr>
          <w:rFonts w:ascii="arial" w:eastAsia="arial" w:hAnsi="arial" w:cs="arial"/>
          <w:color w:val="000000"/>
          <w:sz w:val="20"/>
          <w:lang w:val="en-US" w:eastAsia="en-US" w:bidi="ar-SA"/>
        </w:rPr>
        <w:t>  I had the same impression at the conclusion of this trial. For example, differences in the telling of legends and in the details of legends can vary from band to band, indicating an ability to tolerate differences within their own culture.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343</w:t>
      </w:r>
      <w:r>
        <w:rPr>
          <w:rFonts w:ascii="arial" w:eastAsia="arial" w:hAnsi="arial" w:cs="arial"/>
          <w:color w:val="000000"/>
          <w:sz w:val="20"/>
          <w:lang w:val="en-US" w:eastAsia="en-US" w:bidi="ar-SA"/>
        </w:rPr>
        <w:t>  The Tsilhqot'in language is derived from an original proto-Athapaskan root. If Lane meant that the current Tsilhqot'in language is a dialect of this common root, I agree with his observation. However, today Tsilhqot'in is not characterized as a dialect of the Athapaskan language, rather it is considered a truly distinct language.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344</w:t>
      </w:r>
      <w:r>
        <w:rPr>
          <w:rFonts w:ascii="arial" w:eastAsia="arial" w:hAnsi="arial" w:cs="arial"/>
          <w:color w:val="000000"/>
          <w:sz w:val="20"/>
          <w:lang w:val="en-US" w:eastAsia="en-US" w:bidi="ar-SA"/>
        </w:rPr>
        <w:t>  The Tsilhqot'in language was one area that did not provoke controversy in this case. The only expert evidence on the subject comes from the report of Eung-Do Cook, Ph. D. (Linguistics), Professor Emeritus, University of Calgary, "Chilcotin/Tsilhqotin: An Athabaskan Language of Canada", September 2002, filed by the plaintiff. Professor Cook's report was accepted by the defendants and he was not required for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345</w:t>
      </w:r>
      <w:r>
        <w:rPr>
          <w:rFonts w:ascii="arial" w:eastAsia="arial" w:hAnsi="arial" w:cs="arial"/>
          <w:color w:val="000000"/>
          <w:sz w:val="20"/>
          <w:lang w:val="en-US" w:eastAsia="en-US" w:bidi="ar-SA"/>
        </w:rPr>
        <w:t>  With the assistance of Dr. Cook's report, I understand that "[t]here is no simple and straightforward method of defining distinct languages and dialects". Tsilhqot'in is the term consistently used by those who identify and classify the Athapaskan languages to identify a distinct language. As advised by Dr. Cook, "no one has ever suggested that Chilcotin is a dialect of any other language" and "there is no controversy on the identification of Chilcotin as a distinct language".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346</w:t>
      </w:r>
      <w:r>
        <w:rPr>
          <w:rFonts w:ascii="arial" w:eastAsia="arial" w:hAnsi="arial" w:cs="arial"/>
          <w:color w:val="000000"/>
          <w:sz w:val="20"/>
          <w:lang w:val="en-US" w:eastAsia="en-US" w:bidi="ar-SA"/>
        </w:rPr>
        <w:t>  Tsilhqot'in is a word used exclusively by the Tsilhqot'in communities in British Columbia to identify themselves. The literal translation of the word Tsilhqot'in is the people of the Tsilhqox (Chilko 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347</w:t>
      </w:r>
      <w:r>
        <w:rPr>
          <w:rFonts w:ascii="arial" w:eastAsia="arial" w:hAnsi="arial" w:cs="arial"/>
          <w:color w:val="000000"/>
          <w:sz w:val="20"/>
          <w:lang w:val="en-US" w:eastAsia="en-US" w:bidi="ar-SA"/>
        </w:rPr>
        <w:t>  I accept Dr. Cook's opinion that "there is hardly any mutual intelligibility between Chilcotin and other Athabaskan languages" and "there is no mutual intelligibility whatsoever between Athabaskan (e.g., Chilcotin, Carrier) and any neighbouring Salish languages, including Lillooet, Shuswap, and Thompson".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348</w:t>
      </w:r>
      <w:r>
        <w:rPr>
          <w:rFonts w:ascii="arial" w:eastAsia="arial" w:hAnsi="arial" w:cs="arial"/>
          <w:color w:val="000000"/>
          <w:sz w:val="20"/>
          <w:lang w:val="en-US" w:eastAsia="en-US" w:bidi="ar-SA"/>
        </w:rPr>
        <w:t>  Changes in phonology (sound system) and grammar (morphology and syntax) are not generally conspicuous and abrupt. It is not possible to say precisely how long Tsilhqot'in or any Aboriginal language has existed as a distinct language. Dr. Cook's evidence is that Tsilhqot'in is "one of many dialects of a parent language (Proto-Athabaskan)" and "has been a distinct speech community for far more than five hundred years or even more than a thousand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349</w:t>
      </w:r>
      <w:r>
        <w:rPr>
          <w:rFonts w:ascii="arial" w:eastAsia="arial" w:hAnsi="arial" w:cs="arial"/>
          <w:color w:val="000000"/>
          <w:sz w:val="20"/>
          <w:lang w:val="en-US" w:eastAsia="en-US" w:bidi="ar-SA"/>
        </w:rPr>
        <w:t>  I accept the evidence of Dr. Cook and conclude that Tsilhqot'in has been a distinct language for more than 500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 Time Periods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350</w:t>
      </w:r>
      <w:r>
        <w:rPr>
          <w:rFonts w:ascii="arial" w:eastAsia="arial" w:hAnsi="arial" w:cs="arial"/>
          <w:color w:val="000000"/>
          <w:sz w:val="20"/>
          <w:lang w:val="en-US" w:eastAsia="en-US" w:bidi="ar-SA"/>
        </w:rPr>
        <w:t>  It may be helpful to explain some common Tsilhqot'in words and concepts that are used in the evidence I am about to describe. Tsilhqot'in people traditionally used a lunar calendar, identifying months by the phase of the moon. The Tsilhqot'in calendar also identifies the seasons: xi (winter), ?eghulhts'en (spring), dan (summer) and dan ch'iz (fall). Tsilhqot'in history is not known in terms of calendar years. The depth of Tsilhqot'in oral history and oral traditions is measured in terms of generations and historical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351</w:t>
      </w:r>
      <w:r>
        <w:rPr>
          <w:rFonts w:ascii="arial" w:eastAsia="arial" w:hAnsi="arial" w:cs="arial"/>
          <w:color w:val="000000"/>
          <w:sz w:val="20"/>
          <w:lang w:val="en-US" w:eastAsia="en-US" w:bidi="ar-SA"/>
        </w:rPr>
        <w:t>  Tsilhqot'in people identify sadanx as a legendary period of time which took place long ago. This was a time when legends began and when the ancestors, land and animals were transforming according to supernatural powers.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352</w:t>
      </w:r>
      <w:r>
        <w:rPr>
          <w:rFonts w:ascii="arial" w:eastAsia="arial" w:hAnsi="arial" w:cs="arial"/>
          <w:color w:val="000000"/>
          <w:sz w:val="20"/>
          <w:lang w:val="en-US" w:eastAsia="en-US" w:bidi="ar-SA"/>
        </w:rPr>
        <w:t>  Yedanx denilin is a long time ago and includes the period of time prior to contact and the time period that is pre- and post-sovereignty. Witnesses described their grandparents and great grandparents as living in yedanx. Theophile Ubill Lulua testified that the Tsilhqot'in War occurred in the yedanx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353</w:t>
      </w:r>
      <w:r>
        <w:rPr>
          <w:rFonts w:ascii="arial" w:eastAsia="arial" w:hAnsi="arial" w:cs="arial"/>
          <w:color w:val="000000"/>
          <w:sz w:val="20"/>
          <w:lang w:val="en-US" w:eastAsia="en-US" w:bidi="ar-SA"/>
        </w:rPr>
        <w:t>  ?Undidanx is a period of time that one might characterize as recent history. People who lived in the first half of the twentieth century lived in a period described by Theophile Ubill Lulua as the ?undidanx.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354</w:t>
      </w:r>
      <w:r>
        <w:rPr>
          <w:rFonts w:ascii="arial" w:eastAsia="arial" w:hAnsi="arial" w:cs="arial"/>
          <w:color w:val="000000"/>
          <w:sz w:val="20"/>
          <w:lang w:val="en-US" w:eastAsia="en-US" w:bidi="ar-SA"/>
        </w:rPr>
        <w:t>  The time periods progress from sadanx to yedanx to ?unidanx.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355</w:t>
      </w:r>
      <w:r>
        <w:rPr>
          <w:rFonts w:ascii="arial" w:eastAsia="arial" w:hAnsi="arial" w:cs="arial"/>
          <w:color w:val="000000"/>
          <w:sz w:val="20"/>
          <w:lang w:val="en-US" w:eastAsia="en-US" w:bidi="ar-SA"/>
        </w:rPr>
        <w:t>  As I understood the evidence, Tsilhqot'in people, whether living in sadanx or yedanx, are all ?Esggidam (ancestors). A person living in ?unidanx, or the recent historical period is not an ?Esggidam. Witnesses described the seasonal rounds and the activities undertaken on those rounds as activities carried out by the ?Esggidam in yedanx and as far back as sadanx.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 Socio-Political Structure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356</w:t>
      </w:r>
      <w:r>
        <w:rPr>
          <w:rFonts w:ascii="arial" w:eastAsia="arial" w:hAnsi="arial" w:cs="arial"/>
          <w:color w:val="000000"/>
          <w:sz w:val="20"/>
          <w:lang w:val="en-US" w:eastAsia="en-US" w:bidi="ar-SA"/>
        </w:rPr>
        <w:t>  Tsilhqot'in groups are less stratified and more egalitarian than many neighbouring First Nations. This may have been partly a result of the mobility of Tsilhqot'in groups, which made both accumulation of wealth and rigid organizational structures unwieldy.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357</w:t>
      </w:r>
      <w:r>
        <w:rPr>
          <w:rFonts w:ascii="arial" w:eastAsia="arial" w:hAnsi="arial" w:cs="arial"/>
          <w:color w:val="000000"/>
          <w:sz w:val="20"/>
          <w:lang w:val="en-US" w:eastAsia="en-US" w:bidi="ar-SA"/>
        </w:rPr>
        <w:t xml:space="preserve">  Traditionally, no one leader of all Tsilhqot'in speakers was recognized. The enforcement of conformity to behavioural norms - to the extent that it occurred at all - occurred at the family or encampment level rather than at the level of band or nation. Prior to contact, as Lane wrote in his 1981 article in the </w:t>
      </w:r>
      <w:r>
        <w:rPr>
          <w:rFonts w:ascii="arial" w:eastAsia="arial" w:hAnsi="arial" w:cs="arial"/>
          <w:i/>
          <w:color w:val="000000"/>
          <w:sz w:val="20"/>
          <w:lang w:val="en-US" w:eastAsia="en-US" w:bidi="ar-SA"/>
        </w:rPr>
        <w:t>Handbook of North American Indians</w:t>
      </w:r>
      <w:r>
        <w:rPr>
          <w:rFonts w:ascii="arial" w:eastAsia="arial" w:hAnsi="arial" w:cs="arial"/>
          <w:color w:val="000000"/>
          <w:sz w:val="20"/>
          <w:lang w:val="en-US" w:eastAsia="en-US" w:bidi="ar-SA"/>
        </w:rPr>
        <w:t>, at p. 408: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Individuals had a high degree of autonomy. In theory, beyond the confines of the family, no one could force anyone else to do anything.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358</w:t>
      </w:r>
      <w:r>
        <w:rPr>
          <w:rFonts w:ascii="arial" w:eastAsia="arial" w:hAnsi="arial" w:cs="arial"/>
          <w:color w:val="000000"/>
          <w:sz w:val="20"/>
          <w:lang w:val="en-US" w:eastAsia="en-US" w:bidi="ar-SA"/>
        </w:rPr>
        <w:t>  Lane also discussed the social political structure of Tsilhqot'in people in his 1953 thesis at p. 166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Chilcotin had various subdivisions. The band was a loosely associated group of families who wintered in the vicinity of a certain lake or group of lakes. The band was usually named for the lake with which it was most intimately associated.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was a degree of mobility between neighbouring bands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359</w:t>
      </w:r>
      <w:r>
        <w:rPr>
          <w:rFonts w:ascii="arial" w:eastAsia="arial" w:hAnsi="arial" w:cs="arial"/>
          <w:color w:val="000000"/>
          <w:sz w:val="20"/>
          <w:lang w:val="en-US" w:eastAsia="en-US" w:bidi="ar-SA"/>
        </w:rPr>
        <w:t>  He continued at pp. 170-171,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Within the band there were unnamed local groups, which can be called encampments. Each consisted of several families who usually, particularly in the winter time, camped together; and who often acted as the main cooperating group. Such groups were united by kinship, friendship or by economic dependence.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Several brothers and their families might form such a group; or parents and their families, and their children and their families. Several friends might form such a group and through intermarriage between the friends' families, the unity of the group would be perpetuated.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these encampments there was a great deal of mobility. A family might remain in such an association for a season or a lifetime. Probably most families had constituted parts of several different local groups in the course of their existence.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Such a group had no definitely outlined territorial rights. However, it was recognized that the families in such a group had rights to certain winter camping sites, providing that they occupied them every season. However, when the usual occupants of such a site failed to use it for one or more winters, someone else could move in and claim 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much the same way, fish trap sites were regarded as belonging to the person who habitually used them. When the habitual user neglected to use them, someone else was free to do so. Band members tended to utilize for hunting and fishing purposes the suitable territories nearest to their wintering sites. However, there were no explicitly defined band territories. In theory and to a lesser degree in fact, any family utilized any part of Chilcotin territory.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360</w:t>
      </w:r>
      <w:r>
        <w:rPr>
          <w:rFonts w:ascii="arial" w:eastAsia="arial" w:hAnsi="arial" w:cs="arial"/>
          <w:color w:val="000000"/>
          <w:sz w:val="20"/>
          <w:lang w:val="en-US" w:eastAsia="en-US" w:bidi="ar-SA"/>
        </w:rPr>
        <w:t>  I pause at this point to note that the latter observation concerning fish trap sites and the use of Tsilhqot'in territory was confirmed by the evidence at trial. Tsilhqot'in elders testified about family fish sites but at the same time were clear that all Tsilhqot'in people were entitled to utilize the entire Tsilhqot'in territory.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361</w:t>
      </w:r>
      <w:r>
        <w:rPr>
          <w:rFonts w:ascii="arial" w:eastAsia="arial" w:hAnsi="arial" w:cs="arial"/>
          <w:color w:val="000000"/>
          <w:sz w:val="20"/>
          <w:lang w:val="en-US" w:eastAsia="en-US" w:bidi="ar-SA"/>
        </w:rPr>
        <w:t>  Lane continued his observations at pp. 171-173 of this thesis: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mid-winter all of a band might be concentrated in certain parts of the band territory, hunting around and fishing at various lakes. However, not all of the band would be at any particular lake. In the spring individual families scattered to hunt by themselves. Later in the season groups of families gathered at streams and lakes to fish the various runs of trout, whitefish, suckers and other small fish. In the summer when the salmon were running, large groups gathered at the river fishing sites but they were not necessarily members of the same band. Other large groups hunted and dug roots at certain places in the mountains but again all of the people in one area were not from one band. After the salmon fishing season, families again went off by themselves, to hunt or fish or gather until winter.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band was a functioning unit only upon a few special occasions such as feasts and celebrations. It never gathered at one place for economic purposes. For about three months of the year, the encampment appears to have been the basic unit, above the family level. For about four months, the individual family lived nomadically and more or less by itself. During the two months or so of the spring fish runs, people gathered in greater numbers at specific sites on lakes. These people were usually from the same band. I call this grouping a "semi-band" because almost everybody at one such site was from the same band; but the entire band rarely gathered at one site.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During three months in the summer, the largest groups of people were together in the mountains and at salmon fishing sites in "mixed bands", composed of families from one or several bands.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Chilcotin had very vague concepts of ownership of territory. All Chilcotin had right to use all the Chilcotin territory. Bands occupied vaguely defined geographic areas. They did not "own" such areas. Hunting territories were also used rather than "owned" by members of certain bands .... Fishing sites involved somewhat more of a feeling of ownership. But such ownership also depended upon 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362</w:t>
      </w:r>
      <w:r>
        <w:rPr>
          <w:rFonts w:ascii="arial" w:eastAsia="arial" w:hAnsi="arial" w:cs="arial"/>
          <w:color w:val="000000"/>
          <w:sz w:val="20"/>
          <w:lang w:val="en-US" w:eastAsia="en-US" w:bidi="ar-SA"/>
        </w:rPr>
        <w:t>  Lane noted at p. 174 of his dissertation that "among none of the Chilcotin's immediate neighbours do we find such a loose and flexible group organization". This description accords with socio-political structure described to me by Tsilhqot'in elders in the course of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363</w:t>
      </w:r>
      <w:r>
        <w:rPr>
          <w:rFonts w:ascii="arial" w:eastAsia="arial" w:hAnsi="arial" w:cs="arial"/>
          <w:color w:val="000000"/>
          <w:sz w:val="20"/>
          <w:lang w:val="en-US" w:eastAsia="en-US" w:bidi="ar-SA"/>
        </w:rPr>
        <w:t xml:space="preserve">  Tsilhqot'in people living in bands had a chief. The presence of several bands meant there was more than one chief. They met together as a group for feasts, celebrations or annual gatherings and there was no single person who was the chief of the entire Tsilhqot'in people. Given their semi-nomadic nature, there was frequent movement for hunting, gathering and making the tools and clothing needed for survival. Thus, there appeared to be little time for art, in the way that was pursued by coastal Aboriginal people. There were no totems. There was no evidence of a crest system such as that described in </w:t>
      </w:r>
      <w:r>
        <w:rPr>
          <w:rFonts w:ascii="arial" w:eastAsia="arial" w:hAnsi="arial" w:cs="arial"/>
          <w:b/>
          <w:i/>
          <w:color w:val="000000"/>
          <w:sz w:val="20"/>
          <w:lang w:val="en-US" w:eastAsia="en-US" w:bidi="ar-SA"/>
        </w:rPr>
        <w:t>Delgamuukw</w:t>
      </w:r>
      <w:r>
        <w:rPr>
          <w:rFonts w:ascii="arial" w:eastAsia="arial" w:hAnsi="arial" w:cs="arial"/>
          <w:color w:val="000000"/>
          <w:sz w:val="20"/>
          <w:lang w:val="en-US" w:eastAsia="en-US" w:bidi="ar-SA"/>
        </w:rPr>
        <w:t>. There was no evidence of named ceremonial groups and no evidence of any honorific ranking system such as is found amongst some Aboriginal people. The oral traditions, stories and legends told from generation to generation provide the binding social fabric for Tsilhqot'in people.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 Tsilhqot'in Dwellings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364</w:t>
      </w:r>
      <w:r>
        <w:rPr>
          <w:rFonts w:ascii="arial" w:eastAsia="arial" w:hAnsi="arial" w:cs="arial"/>
          <w:color w:val="000000"/>
          <w:sz w:val="20"/>
          <w:lang w:val="en-US" w:eastAsia="en-US" w:bidi="ar-SA"/>
        </w:rPr>
        <w:t>  The harsh climate conditions of the Tsilhqot'in region resulted in specialized survival skills suited to that territory. Tsilhqot'in people used a variety of different dwellings for different purposes. In the winter, they lived in underground lodges or pit houses. In other seasons, more ephemeral structures such as lean to's, wind breaks, and tents served to protect Tsilhqot'in people temporarily from wind and rain.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365</w:t>
      </w:r>
      <w:r>
        <w:rPr>
          <w:rFonts w:ascii="arial" w:eastAsia="arial" w:hAnsi="arial" w:cs="arial"/>
          <w:color w:val="000000"/>
          <w:sz w:val="20"/>
          <w:lang w:val="en-US" w:eastAsia="en-US" w:bidi="ar-SA"/>
        </w:rPr>
        <w:t>  There are two kinds of winter dwellings used throughout the Tsilhqot'in territory. The niyah qungh (or nenyexqungh) is a structure of Tsilhqot'in design and origin. It is distinguished by its rectangular structure. The lhiz qwen yex is a circular shaped structure dug well into the ground. The lhiz qwen yex is also known as a pit house, underground house, subterranean house and kigli hole. It is thought to be a structure of Plateau Pithouse Tradition (PPT) design and origin. While its design and origin likely dates to the PPT culture, some lhiz qwen yex were rebuilt and used by Tsilhqot'in people. There is also evidence that Tsilhqot'in people living today observed the fresh construction of such structures and actually lived in these dwellings.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366</w:t>
      </w:r>
      <w:r>
        <w:rPr>
          <w:rFonts w:ascii="arial" w:eastAsia="arial" w:hAnsi="arial" w:cs="arial"/>
          <w:color w:val="000000"/>
          <w:sz w:val="20"/>
          <w:lang w:val="en-US" w:eastAsia="en-US" w:bidi="ar-SA"/>
        </w:rPr>
        <w:t>  Lane described a basic Tsilhqot'in niyah qungh lodge in his 1953 thesis. Rectangular in shape, the size varied but was generally about 20 feet long by 15 feet wide. The floor was level but not excavated. Usually there were two log posts set into the ground, one at the front of the house and one at the back. A log ridge-pole was elevated and set across between the posts. On each side, at least two log poles were leaned inwards against this ridge-pole. Thus, the niyah qungh house frame was gabled.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367</w:t>
      </w:r>
      <w:r>
        <w:rPr>
          <w:rFonts w:ascii="arial" w:eastAsia="arial" w:hAnsi="arial" w:cs="arial"/>
          <w:color w:val="000000"/>
          <w:sz w:val="20"/>
          <w:lang w:val="en-US" w:eastAsia="en-US" w:bidi="ar-SA"/>
        </w:rPr>
        <w:t>  According to Lane, whole or split logs were then laid horizontally up the sides of the house, almost to the top. This left an opening several feet wide under the ridge-pole. The fire would be laid in the center of the house along the space under the ridgepole. The ends were generally enclosed with vertical whole or split logs. At one end a space was left for a door, which was covered with an animal skin. The house was externally covered with layers of grass, sod and bark. Lane also described a niyah qungh with cribbed lower walls, four end posts, dual ridge-poles and a deer hide door.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368</w:t>
      </w:r>
      <w:r>
        <w:rPr>
          <w:rFonts w:ascii="arial" w:eastAsia="arial" w:hAnsi="arial" w:cs="arial"/>
          <w:color w:val="000000"/>
          <w:sz w:val="20"/>
          <w:lang w:val="en-US" w:eastAsia="en-US" w:bidi="ar-SA"/>
        </w:rPr>
        <w:t>  Dr. Matson described the niyah qungh as a type of Tsilhqot'in winter dwelling. From the archeological perspective, key identifying features of niyah qungh sites include the rectangular form of its footprint, the presence of certain projectile points and the elongated fire-pit pattern (the impression of which resembles the shell of a boat). Matson dated a Tsilhqot'in niyah qungh site in the Claim Area at Naghatalhchoz Biny (Big Eagle Lake) as at 1645-1660 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369</w:t>
      </w:r>
      <w:r>
        <w:rPr>
          <w:rFonts w:ascii="arial" w:eastAsia="arial" w:hAnsi="arial" w:cs="arial"/>
          <w:color w:val="000000"/>
          <w:sz w:val="20"/>
          <w:lang w:val="en-US" w:eastAsia="en-US" w:bidi="ar-SA"/>
        </w:rPr>
        <w:t>  The anthropological and archaeological evidence about winter dwellings are corroborated by the evidence of Tsilhqot'in witnesses. Various Tsilhqot'in elders testified as to having seen or lived in niyah qungh or variations of this dwelling during their younger days. Elizabeth Jeff gave evidence of her great-grandmother's niyah qungh. Francis Setah stayed in his uncle's more modern version of a niyah qungh as a youth.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370</w:t>
      </w:r>
      <w:r>
        <w:rPr>
          <w:rFonts w:ascii="arial" w:eastAsia="arial" w:hAnsi="arial" w:cs="arial"/>
          <w:color w:val="000000"/>
          <w:sz w:val="20"/>
          <w:lang w:val="en-US" w:eastAsia="en-US" w:bidi="ar-SA"/>
        </w:rPr>
        <w:t>  Mabel William testified that she saw her uncle build a niyah qungh and gave evidence of its construction with chendi (lodgepole pine) logs, cribbed lower walls and insulation of sunlh (dry pine needles) and tselxay (swampgrass), or alternately t'uz (bark), plugged with nentses (moss). She lived in this niyah qungh with her uncle's family while trapping. Later in her life, she lived in a niyah qungh in the Claim Area with her husband and in-laws when trapping and hunting. She testified that the long fire pits within the niyah qungh, with the passage of time, came to look like a little boat in the ground. She further gave evidence of how Tsilhqot'in people historically felled trees with the tsi dek'ay (a sharp rock), split the logs with nelh (another form of sharp rock) and a hammer made from a section of tree, and secured the logs with ts'u ghed (spruce roots) or softened k'i (willow). Mabel William, and other Tsilhqot'in elders, provided oral history of Tsilhqot'in people living during xi in niyah qungh since the time of the ?Esggidam.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371</w:t>
      </w:r>
      <w:r>
        <w:rPr>
          <w:rFonts w:ascii="arial" w:eastAsia="arial" w:hAnsi="arial" w:cs="arial"/>
          <w:color w:val="000000"/>
          <w:sz w:val="20"/>
          <w:lang w:val="en-US" w:eastAsia="en-US" w:bidi="ar-SA"/>
        </w:rPr>
        <w:t>  In her affidavit #1, Mabel William testified that as a child she saw her uncle Peter William build a niyah qungh in an area near Nagwentl'un (Anahim Lake). She said they moved into the niyah qungh when "it started to get cold". She said her grandmother Hanlhdzany taught her that she had lived in niyah qungh in xi when she was growing up and that Tsilhqot'in people "had been making different styles of niyah qungh since sadanx".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372</w:t>
      </w:r>
      <w:r>
        <w:rPr>
          <w:rFonts w:ascii="arial" w:eastAsia="arial" w:hAnsi="arial" w:cs="arial"/>
          <w:color w:val="000000"/>
          <w:sz w:val="20"/>
          <w:lang w:val="en-US" w:eastAsia="en-US" w:bidi="ar-SA"/>
        </w:rPr>
        <w:t>  In his 1953 dissertation, Lane also described the pit house dwelling known as a lhiz qwen yex. The circular pit was four or five feet deep with a varying diameter. Four or six log centre posts, each about 14 to 16 feet tall, were set into the ground within the pit. Peeled logs were elevated and set across as the main rafters between the post tops, thus forming a square or hexagon. Many additional log rafters, with their butts placed at the edge of the pit, were then laid inwards onto the main rafters. The rafters were lashed to the central frame with spruce roots. The whole structure was covered with a layer of tselxay or k'i and, occasionally, a layer of t'uz. It was then covered with dirt. A central smoke hole remained above a fire pit and acted as an entrance.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373</w:t>
      </w:r>
      <w:r>
        <w:rPr>
          <w:rFonts w:ascii="arial" w:eastAsia="arial" w:hAnsi="arial" w:cs="arial"/>
          <w:color w:val="000000"/>
          <w:sz w:val="20"/>
          <w:lang w:val="en-US" w:eastAsia="en-US" w:bidi="ar-SA"/>
        </w:rPr>
        <w:t>  Morley Eldridge, an archaeologist called by British Columbia, was qualified to express opinions in the field of archaeology. He agreed that Tsilhqot'in people had a long tradition of building lhiz qwen yex. Relying upon the work of Matson, Eldridge agreed "that Tsilhqot'in people lived in circular pit houses at least as long ago as 1590 plus or minus 80 years AD". In adopting this opinion, Eldridge relied upon the house pit identified on the Tsilhqox that contained Tsilhqot'in artifacts dating to approximately 1600 AD. This house pit is located on the edge of the Claim Area. Eldridge opined that the Tsilhqot'in built and used lhiz qwen yex well into the 1800's.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374</w:t>
      </w:r>
      <w:r>
        <w:rPr>
          <w:rFonts w:ascii="arial" w:eastAsia="arial" w:hAnsi="arial" w:cs="arial"/>
          <w:color w:val="000000"/>
          <w:sz w:val="20"/>
          <w:lang w:val="en-US" w:eastAsia="en-US" w:bidi="ar-SA"/>
        </w:rPr>
        <w:t>  Mabel William testified about being instructed by her grandmother, Hanlhdzany, at Tl'egwated on how to construct a lhiz qwen yex. She said that a niyah qungh took less time to build than a lhiz qwen yex. The niyah qungh was not as warm as the lhiz qwen yex "because lhiz qwen yex were covered with dirt all over" and "you didn't need as big a fire". She described digging the pit with deer antlers or wood "made flat like a shovel; a four post, square frame from chendi lashed with ts'u ghed; additional log rafters covered with t'uz and then dirt, leaving a smoke hole at the top; a side door with a ladder made from poles lashed with ts'u ghed; and nists'i (deer) or sebay (mountain goat) hides being used to cover the doorway and, when the fire was not burning, the central smoke hole was also covered with hide". She said these structures were hard to build and were used "over and over again, winter after winter".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375</w:t>
      </w:r>
      <w:r>
        <w:rPr>
          <w:rFonts w:ascii="arial" w:eastAsia="arial" w:hAnsi="arial" w:cs="arial"/>
          <w:color w:val="000000"/>
          <w:sz w:val="20"/>
          <w:lang w:val="en-US" w:eastAsia="en-US" w:bidi="ar-SA"/>
        </w:rPr>
        <w:t>  The oral tradition evidence of Tsilhqot'in witnesses was that lhiz qwen yex were used going back to the time of the ?Esggidam. The oral traditions of Tsilhqot'in people, namely, the legends of Lhin Desch'osh and The Boy Who Was Kidnapped by the Owl feature the use of lhiz qwen yex.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376</w:t>
      </w:r>
      <w:r>
        <w:rPr>
          <w:rFonts w:ascii="arial" w:eastAsia="arial" w:hAnsi="arial" w:cs="arial"/>
          <w:color w:val="000000"/>
          <w:sz w:val="20"/>
          <w:lang w:val="en-US" w:eastAsia="en-US" w:bidi="ar-SA"/>
        </w:rPr>
        <w:t>  Site selection for construction of winter dwelling was dependant on a number of factors, including the availability of resources and the proximity to others for security and socializing during the long winter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377</w:t>
      </w:r>
      <w:r>
        <w:rPr>
          <w:rFonts w:ascii="arial" w:eastAsia="arial" w:hAnsi="arial" w:cs="arial"/>
          <w:color w:val="000000"/>
          <w:sz w:val="20"/>
          <w:lang w:val="en-US" w:eastAsia="en-US" w:bidi="ar-SA"/>
        </w:rPr>
        <w:t>  Writing in the 1950's, Lane reported that, according to his Tsilhqot'in informants, the large residence sites with numerous closely-spaced pits situated on river banks were not Tsilhqot'in in origin. His informants claimed the isolated pit house sites located near lakes were Tsilhqot'in in origin.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378</w:t>
      </w:r>
      <w:r>
        <w:rPr>
          <w:rFonts w:ascii="arial" w:eastAsia="arial" w:hAnsi="arial" w:cs="arial"/>
          <w:color w:val="000000"/>
          <w:sz w:val="20"/>
          <w:lang w:val="en-US" w:eastAsia="en-US" w:bidi="ar-SA"/>
        </w:rPr>
        <w:t>  In Lane's view families had rights to certain winter camping sites, providing that they occupied them every season. The stronger attachment to winter residences than to sites used in other seasons was likely due to the longer period passed at the winter site and the more sedentary nature of the activities carried on in this season. According to oral tradition evidence, winter was the season of least movement for Tsilhqot'in people. Joseph William deposed with respect to seasonal movement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John Baptiste taught me that the ?Esggidam had to move around to get their game, fish, and food - in spring, summer and fall-time they moved around lots. John Baptiste taught me that in winter, the ?Esggidam would stay in Ihiz qwen yex (underground houses); in winter they would stay in one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 Semi-Nomadic Lifestyle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379</w:t>
      </w:r>
      <w:r>
        <w:rPr>
          <w:rFonts w:ascii="arial" w:eastAsia="arial" w:hAnsi="arial" w:cs="arial"/>
          <w:color w:val="000000"/>
          <w:sz w:val="20"/>
          <w:lang w:val="en-US" w:eastAsia="en-US" w:bidi="ar-SA"/>
        </w:rPr>
        <w:t>  I have commented several times on the semi-nomadic lifestyle of Tsilhqot'in people. Post Second World War, this lifestyle has changed, partly as a result of declining fur prices and partly as a result of a changing social order. While semi- nomadic living is a lifestyle in decline, it has not entirely ended. There was evidence that some Tsilhqot'in people still go out on the land to hunt, fish, and gather roots and berries in all seasons, but much less so in the winter months. A more frequent pattern of hunting by a younger generation is to use available roads and to hunt on the road or short distances off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380</w:t>
      </w:r>
      <w:r>
        <w:rPr>
          <w:rFonts w:ascii="arial" w:eastAsia="arial" w:hAnsi="arial" w:cs="arial"/>
          <w:color w:val="000000"/>
          <w:sz w:val="20"/>
          <w:lang w:val="en-US" w:eastAsia="en-US" w:bidi="ar-SA"/>
        </w:rPr>
        <w:t xml:space="preserve">  The Tsilhqot'in traditional semi-nomadic lifestyle was a movement with the seasons. In his Ph.D. dissertation entitled </w:t>
      </w:r>
      <w:r>
        <w:rPr>
          <w:rFonts w:ascii="arial" w:eastAsia="arial" w:hAnsi="arial" w:cs="arial"/>
          <w:i/>
          <w:color w:val="000000"/>
          <w:sz w:val="20"/>
          <w:lang w:val="en-US" w:eastAsia="en-US" w:bidi="ar-SA"/>
        </w:rPr>
        <w:t>The Archive of Place: Environment and the Contested Past of a North American Plateau</w:t>
      </w:r>
      <w:r>
        <w:rPr>
          <w:rFonts w:ascii="arial" w:eastAsia="arial" w:hAnsi="arial" w:cs="arial"/>
          <w:color w:val="000000"/>
          <w:sz w:val="20"/>
          <w:lang w:val="en-US" w:eastAsia="en-US" w:bidi="ar-SA"/>
        </w:rPr>
        <w:t>, Dr. William Turkel described Aboriginal seasonal land use that was inclusive of Tsilhqot'in people. He said the following at pp. 156-157: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Traditional native calendars in the interior started in the winter, in the moon named for ice. ... For people across the interior plateau, this was a time to enter subterranean houses. Deer and other animals like sheep, elk, hare and grouse, were hunted as weather permitted, to supplement caches of stored food. ... the following moon was a time to stay at home, a time of the first real cold. Occasionally it was possible to ice fish the lakes for whitefish, trout and suckers, but more frequently diets consisted of dried salmon and meat, roots and berries.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sun turned in midwinter, the time of the big moon, and animals like mink, marten, weasel, fisher, rabbits, lynx, coyote and fox were trapped for their plush winter coats. It was a good time to sew buckskin and to visit. By the following moon, food stores were running low. ... the snow crusted over and began to darken with wind-blown debris. This made travel easier, and it became possible to run down game on foot, as hooves broke through the crust when snowshoes did not. With the beginning of spring, bears came out of hibernation and by the end of the moon most of the people had emerged from their winter houses, too.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People began to disperse throughout band territories to hunt and to fish in the lakes. The snow was melting from the high ground, the grass growing in the valleys. By the beginning of summer, most families had moved to lake fishing stations to catch and dry trout, whitefish and suckers. It was a time to dig potatoes, wild onions, tiger-lily bulbs, and shoots of balsamroot and cow-parsnip. The summer moons were a time for berrying: strawberries and soapberries and saskatoons gathered beside rivers and lakes. The summer also marked the beginning of the spring salmon run for some, and for others a time to hunt waterfowl, mountain goats, and the other ungulates had grown fat on mountain pastures. The salmon runs occupied most people's time until the moon of the sockeye salmon and for some groups the rest of the autumn as well. Others went hunting in the fall moons, and gathered pine seeds near higher-elevation base camps.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381</w:t>
      </w:r>
      <w:r>
        <w:rPr>
          <w:rFonts w:ascii="arial" w:eastAsia="arial" w:hAnsi="arial" w:cs="arial"/>
          <w:color w:val="000000"/>
          <w:sz w:val="20"/>
          <w:lang w:val="en-US" w:eastAsia="en-US" w:bidi="ar-SA"/>
        </w:rPr>
        <w:t>  The seasonal semi-nomadic round was vividly recounted by Tsilhqot'in elders. They recalled the days of their childhood and the stories told to them by parents and grandparents. With the passage of time the direct link to a time pre-sovereignty assertion depended on evidence, two, three and even four generations removed. The best documentary evidence of early to mid-nineteenth century activities remains the written records of the HBC and early missionaries. These records confirm the presence of Tsilhqot'in people in the Claim Area and more importantly confirm their semi-nomadic lifestyle.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382</w:t>
      </w:r>
      <w:r>
        <w:rPr>
          <w:rFonts w:ascii="arial" w:eastAsia="arial" w:hAnsi="arial" w:cs="arial"/>
          <w:color w:val="000000"/>
          <w:sz w:val="20"/>
          <w:lang w:val="en-US" w:eastAsia="en-US" w:bidi="ar-SA"/>
        </w:rPr>
        <w:t>  The evidence showed that the movement of Tsilhqot'in to xi dwelling sites began in November. As the weather turned colder, the hunting of higher elevation species such as debi was discontinued. However, nists'i hunting continued, mainly utilizing ?ash (snow shoes). Fur bearing animals were trapped throughout xi until early March. Snowshoe hares were taken and ice fishing was a regular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383</w:t>
      </w:r>
      <w:r>
        <w:rPr>
          <w:rFonts w:ascii="arial" w:eastAsia="arial" w:hAnsi="arial" w:cs="arial"/>
          <w:color w:val="000000"/>
          <w:sz w:val="20"/>
          <w:lang w:val="en-US" w:eastAsia="en-US" w:bidi="ar-SA"/>
        </w:rPr>
        <w:t>  Xi hunting, fishing and trapping grounds are all found in the Claim Area. In Tachelach'ed there was xi nists'i hunting and dwelling sites along the Tsilhqox corridor and across Xeni. Xi hunting and fishing also took place at the lower elevation lakes in the Western Trapline territory and the areas adjacent to it. The northern areas of the Eastern Trapline consist of low elevation lands below the mountains. The animals procured by Tsilhqot'in people in xi on and about the plateau are all found in this area. The evidence revealed that nists'i from the nearby Dzelh Ch'ed (Snow Mountains) migrated into these lands. Gex (rabbit), nundi (lynx), nabi (muskrat), chinaz (otter), nembay (weasel), tsa (beaver), dlig (squirrel) and other furbearer animals were also present.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384</w:t>
      </w:r>
      <w:r>
        <w:rPr>
          <w:rFonts w:ascii="arial" w:eastAsia="arial" w:hAnsi="arial" w:cs="arial"/>
          <w:color w:val="000000"/>
          <w:sz w:val="20"/>
          <w:lang w:val="en-US" w:eastAsia="en-US" w:bidi="ar-SA"/>
        </w:rPr>
        <w:t>  Xi fishing on lakes in and outside the Claim Area occurred during the historical period and continued throughout the twentiety century. Xi house sites were located conveniently close to good fishing, locations near many of the lakes found in the Claim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385</w:t>
      </w:r>
      <w:r>
        <w:rPr>
          <w:rFonts w:ascii="arial" w:eastAsia="arial" w:hAnsi="arial" w:cs="arial"/>
          <w:color w:val="000000"/>
          <w:sz w:val="20"/>
          <w:lang w:val="en-US" w:eastAsia="en-US" w:bidi="ar-SA"/>
        </w:rPr>
        <w:t>  In ?eghulhts'en activities focused on fishing for dek'any (rainbow trout), lhusisch'el (whitefish), sabay (dolly varden or bull trout) and delji-yaz (sucker). Late spring signalled the return of tislagh (steelhead salmon).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386</w:t>
      </w:r>
      <w:r>
        <w:rPr>
          <w:rFonts w:ascii="arial" w:eastAsia="arial" w:hAnsi="arial" w:cs="arial"/>
          <w:color w:val="000000"/>
          <w:sz w:val="20"/>
          <w:lang w:val="en-US" w:eastAsia="en-US" w:bidi="ar-SA"/>
        </w:rPr>
        <w:t>  Closely connected to ?eghulhts'en fishing was nists'i hunting. Tsilhqot'in people tracked the nists'i migration routes as they made their way back to the mountain areas. Other game such as mus (moose), xex (geese) and nat'i or tunulh (duck) were also taken. Tsa and nabi were trapped. This was also the season for gathering pine cambium and tsits'ats'elagi (balsamroot sunflower).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387</w:t>
      </w:r>
      <w:r>
        <w:rPr>
          <w:rFonts w:ascii="arial" w:eastAsia="arial" w:hAnsi="arial" w:cs="arial"/>
          <w:color w:val="000000"/>
          <w:sz w:val="20"/>
          <w:lang w:val="en-US" w:eastAsia="en-US" w:bidi="ar-SA"/>
        </w:rPr>
        <w:t>  In early dan, sunt'iny (mountain potato or spring beauty) and ?esghunsh (bear tooth or avalanche lily) bloom. Tsilhqot'in people, along with the animals, followed the melting snow line into the higher country to hunt and gather roots and berries on the high mountain slopes. Of great importance were roots, corns and tubers such as sunt'iny, ?esghunsh, tsits'ats'elagi, tsachen (tiger lily), tl'etsen (wild onion) and chinsdad (silverweed) which were all preserved by drying.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388</w:t>
      </w:r>
      <w:r>
        <w:rPr>
          <w:rFonts w:ascii="arial" w:eastAsia="arial" w:hAnsi="arial" w:cs="arial"/>
          <w:color w:val="000000"/>
          <w:sz w:val="20"/>
          <w:lang w:val="en-US" w:eastAsia="en-US" w:bidi="ar-SA"/>
        </w:rPr>
        <w:t>  The gathering of roots and hunting in the mountainous areas through the summer months continued from historical times up to the mid-twentieth century. The practice began to decline largely due to the growth of ranching in the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389</w:t>
      </w:r>
      <w:r>
        <w:rPr>
          <w:rFonts w:ascii="arial" w:eastAsia="arial" w:hAnsi="arial" w:cs="arial"/>
          <w:color w:val="000000"/>
          <w:sz w:val="20"/>
          <w:lang w:val="en-US" w:eastAsia="en-US" w:bidi="ar-SA"/>
        </w:rPr>
        <w:t>  In the late dan the berries ripen and in good years, the salmon return to the Tsilhqox and Dasiqox. July is Jes Za or Chinook salmon moon; August is Ts'aman Za or Sockeye salmon moon and September is Dants'ex or pink salmon moon. Along with the salmon runs came the ripening of nuwish (soapberries), dig (saskatoon berries), selhchugh (huckleberries) and nelghes (blueberries). Hunting for nists'i, mus (moose), debi and sebay continued. Activities in the twentieth century described by witnesses included plant gathering in late dan on the shores of the major lakes. Tl'edazulh (wild rice) was also gathered at various locations in the Claim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390</w:t>
      </w:r>
      <w:r>
        <w:rPr>
          <w:rFonts w:ascii="arial" w:eastAsia="arial" w:hAnsi="arial" w:cs="arial"/>
          <w:color w:val="000000"/>
          <w:sz w:val="20"/>
          <w:lang w:val="en-US" w:eastAsia="en-US" w:bidi="ar-SA"/>
        </w:rPr>
        <w:t>  In dan ch'iz nilhish (kokanee, landlocked salmon) spawn in the shallows of certain lakes. White bark pine have seeded their cones and plants like denish (kinnick kinnick) bear fruit. Nists'i begin their migration down from the mountains onto the Chilcotin plateau. As the animals ready for xi, they are fattened and their fur has begun to thicken. Tsilhqot'in people took advantage of this season, fishing for nilhish, gathering ?ests'igwel and denish berries and moving into the mountains to hunt dediny (marmots) and bigger game. Nists'i, debi, sebay and ses (bear) were taken for food, clothing and bedding.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391</w:t>
      </w:r>
      <w:r>
        <w:rPr>
          <w:rFonts w:ascii="arial" w:eastAsia="arial" w:hAnsi="arial" w:cs="arial"/>
          <w:color w:val="000000"/>
          <w:sz w:val="20"/>
          <w:lang w:val="en-US" w:eastAsia="en-US" w:bidi="ar-SA"/>
        </w:rPr>
        <w:t>  The western portion of the Claim Area was a traditional dan ch'iz hunting ground. Tsilhqot'in people hunt sebay and dediny (groundhog or marmot) in this area. There is also a trail running from these hunting grounds to fishing areas around Naghatalhchoz. Along the trail, Tsilhqot'in people hunted dediny, nists'i and sebay in the mountains.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392</w:t>
      </w:r>
      <w:r>
        <w:rPr>
          <w:rFonts w:ascii="arial" w:eastAsia="arial" w:hAnsi="arial" w:cs="arial"/>
          <w:color w:val="000000"/>
          <w:sz w:val="20"/>
          <w:lang w:val="en-US" w:eastAsia="en-US" w:bidi="ar-SA"/>
        </w:rPr>
        <w:t>  There was evidence that Tsilhqot'in people stayed at areas in the Western Trapline, transporting dried meat from their dan ch'iz hunting grounds in the south to their xi residences in the north along the trails on the sides of the lakes and on the water, in ?etaslaz ts'i (spruce bark canoes). Norman George Setah testified that while his family was hunting nists'i, nundi-chugh (cougar) and dlig in this area, they would also be fishing for sabay and dek'any.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393</w:t>
      </w:r>
      <w:r>
        <w:rPr>
          <w:rFonts w:ascii="arial" w:eastAsia="arial" w:hAnsi="arial" w:cs="arial"/>
          <w:color w:val="000000"/>
          <w:sz w:val="20"/>
          <w:lang w:val="en-US" w:eastAsia="en-US" w:bidi="ar-SA"/>
        </w:rPr>
        <w:t>  Martin Quilt testified that the mountains to the west of Tsilhqox Biny are traditional Tsilhqot'in trapping and hunting grounds for sebay, sesjiz (marten), dlig and nundi. He described trips taken through the dan ch'iz up to Christmas.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394</w:t>
      </w:r>
      <w:r>
        <w:rPr>
          <w:rFonts w:ascii="arial" w:eastAsia="arial" w:hAnsi="arial" w:cs="arial"/>
          <w:color w:val="000000"/>
          <w:sz w:val="20"/>
          <w:lang w:val="en-US" w:eastAsia="en-US" w:bidi="ar-SA"/>
        </w:rPr>
        <w:t>  Salmon was not plentiful in every year. Mabel William testified that Tsilhqot'in people took ?etaslaz ts'i across Tsilhqox Biny and up Talhjez (Franklin Arm) to go over the mountains to get fish from the river that runs into the ocean. She said this was of particular importance in years when there was a shortage of salmon in the Tsilhqox or Dasiqox. Salmon on the coast started in October and continued through xi. A trip to the coast to trade with Homalco people was an event that was more likely to have taken place in the twentieth century when relations with these coastal peoples was not as strained as it appeared to have been in the mid-nineteenth century.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395</w:t>
      </w:r>
      <w:r>
        <w:rPr>
          <w:rFonts w:ascii="arial" w:eastAsia="arial" w:hAnsi="arial" w:cs="arial"/>
          <w:color w:val="000000"/>
          <w:sz w:val="20"/>
          <w:lang w:val="en-US" w:eastAsia="en-US" w:bidi="ar-SA"/>
        </w:rPr>
        <w:t>  Dan ch'iz activities also took place in the central portion of the Claim Area. Closer to Xeni, Tsilhqot'in people have hunted sebay, dediny and sesjiz in the mountain ranges in dan ch'iz. Nists'i are hunted as they migrate down through the valleys towards their xi range on the plateau. In recent times, mus have also been hunted in this area. Fishing and berries are gathered, and nat'i or tunulh and xex are hunted in this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396</w:t>
      </w:r>
      <w:r>
        <w:rPr>
          <w:rFonts w:ascii="arial" w:eastAsia="arial" w:hAnsi="arial" w:cs="arial"/>
          <w:color w:val="000000"/>
          <w:sz w:val="20"/>
          <w:lang w:val="en-US" w:eastAsia="en-US" w:bidi="ar-SA"/>
        </w:rPr>
        <w:t>  Debi, sebay, nists'i, nundi-chugh, and dlig are also hunted and denish are harvested in the eastern portion of the Claim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397</w:t>
      </w:r>
      <w:r>
        <w:rPr>
          <w:rFonts w:ascii="arial" w:eastAsia="arial" w:hAnsi="arial" w:cs="arial"/>
          <w:color w:val="000000"/>
          <w:sz w:val="20"/>
          <w:lang w:val="en-US" w:eastAsia="en-US" w:bidi="ar-SA"/>
        </w:rPr>
        <w:t>  These were the seasonal rounds as told to the court by Tsilhqot'in elders. They testified that their ancestors had performed similar seasonal rounds. I understood that families were not always together and that families did not necessarily go to the same location each year. These rounds are resource dependant. It was important not to deplete a resource in any given area. Some areas were visited annually, others were visited less frequently.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g. Tools and Implements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i. Fishing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398</w:t>
      </w:r>
      <w:r>
        <w:rPr>
          <w:rFonts w:ascii="arial" w:eastAsia="arial" w:hAnsi="arial" w:cs="arial"/>
          <w:color w:val="000000"/>
          <w:sz w:val="20"/>
          <w:lang w:val="en-US" w:eastAsia="en-US" w:bidi="ar-SA"/>
        </w:rPr>
        <w:t>  In his 1953 thesis, Lane recorded that "fishing was done with a variety of equipment and techniques". He noted the use of "basketry traps of various kinds" weirs, gaff hooks and in recent times, dipnets.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399</w:t>
      </w:r>
      <w:r>
        <w:rPr>
          <w:rFonts w:ascii="arial" w:eastAsia="arial" w:hAnsi="arial" w:cs="arial"/>
          <w:color w:val="000000"/>
          <w:sz w:val="20"/>
          <w:lang w:val="en-US" w:eastAsia="en-US" w:bidi="ar-SA"/>
        </w:rPr>
        <w:t>  At trial, Tsilhqot'in elders testified about the use of xestl'un (fencing to bar a creek), a biniwed (cone fish trap), lhughembinlh (gill nets), and a binlagh (box fish trap). Fish were retrieved with a daden (three pronged spear), originally made of bone. Tsilhqot'in people also laid a platform across a shallow creek with split logs on the creek bottom to provide a pale background, allowing fish to be taken directly by hand from the platform.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400</w:t>
      </w:r>
      <w:r>
        <w:rPr>
          <w:rFonts w:ascii="arial" w:eastAsia="arial" w:hAnsi="arial" w:cs="arial"/>
          <w:color w:val="000000"/>
          <w:sz w:val="20"/>
          <w:lang w:val="en-US" w:eastAsia="en-US" w:bidi="ar-SA"/>
        </w:rPr>
        <w:t>  In her affidavit #1, Mabel William deposed to ice fishing, using split chendi inside facing up and laid on the bottom of the stream to see the fish moving in the water. Fish eggs were sprinkled in the water to attract the fish. Two types of spears were used to impale or hook the fish, a danden and a dadzagh, both made with bone or a horn hook.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ii. Hunting and Trapping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401</w:t>
      </w:r>
      <w:r>
        <w:rPr>
          <w:rFonts w:ascii="arial" w:eastAsia="arial" w:hAnsi="arial" w:cs="arial"/>
          <w:color w:val="000000"/>
          <w:sz w:val="20"/>
          <w:lang w:val="en-US" w:eastAsia="en-US" w:bidi="ar-SA"/>
        </w:rPr>
        <w:t>  Trapping and hunting have separate words. Trapping is known as ?eqe?ats'et'in. Hunting is known as nats'ededah. In his 1953 thesis at p. 44, Lane notes that the "Chilcotin were acquainted with many hunting techniques". He makes reference to the use of snares, traps, bows and arrows, spears and clubs.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402</w:t>
      </w:r>
      <w:r>
        <w:rPr>
          <w:rFonts w:ascii="arial" w:eastAsia="arial" w:hAnsi="arial" w:cs="arial"/>
          <w:color w:val="000000"/>
          <w:sz w:val="20"/>
          <w:lang w:val="en-US" w:eastAsia="en-US" w:bidi="ar-SA"/>
        </w:rPr>
        <w:t>  Francis Setah testified about the use of a gex gej teghetl'un (spring snare) to trap gex. Norman George Setah testified about snaring nists'i and naslhiny. Others spoke of snaring gex, dlig, ?elhtilh (prairie chicken), chel?ig (coyote), nundi and other animals. Mabel William deposed to the use of a binlh (snare) made with hide strips to get dlig, gex and nundi. Dead fall traps were also dug and larger animals like ses, nists'i and nundi would fall through and be impaled on spears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403</w:t>
      </w:r>
      <w:r>
        <w:rPr>
          <w:rFonts w:ascii="arial" w:eastAsia="arial" w:hAnsi="arial" w:cs="arial"/>
          <w:color w:val="000000"/>
          <w:sz w:val="20"/>
          <w:lang w:val="en-US" w:eastAsia="en-US" w:bidi="ar-SA"/>
        </w:rPr>
        <w:t>  Francis Setah also testified to the use of a deni gha dats'eyel (spear like weapon). He and other elders also testified about the use of bows and arrows.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iii. Other implements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404</w:t>
      </w:r>
      <w:r>
        <w:rPr>
          <w:rFonts w:ascii="arial" w:eastAsia="arial" w:hAnsi="arial" w:cs="arial"/>
          <w:color w:val="000000"/>
          <w:sz w:val="20"/>
          <w:lang w:val="en-US" w:eastAsia="en-US" w:bidi="ar-SA"/>
        </w:rPr>
        <w:t>  Other implements included the tsi dek'ay to fell trees. Logs were split with a nelh, pounding it into the log and using a stick to keep the split open, then moving the nelh down and repeating the action until the log split into two pieces. A hammer was made from a section of tree with a strong branch attached to it. Before nails arrived, logs were secured together in the construction of dwellings with ts'u ghed or softened k'i. Spruce roots were used to tie logs together. Softened k'i was put together and used as a form of rope.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405</w:t>
      </w:r>
      <w:r>
        <w:rPr>
          <w:rFonts w:ascii="arial" w:eastAsia="arial" w:hAnsi="arial" w:cs="arial"/>
          <w:color w:val="000000"/>
          <w:sz w:val="20"/>
          <w:lang w:val="en-US" w:eastAsia="en-US" w:bidi="ar-SA"/>
        </w:rPr>
        <w:t>  Another type of rope was made by braiding strips of animal hides. Nists'i, sebay, debi, bedzish (caribou) and mus hides were used in this manner. Loads were carried by putting such a strap over the shoulder or around the forehead and, unlike cord, such a strap would not cut into the skin.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406</w:t>
      </w:r>
      <w:r>
        <w:rPr>
          <w:rFonts w:ascii="arial" w:eastAsia="arial" w:hAnsi="arial" w:cs="arial"/>
          <w:color w:val="000000"/>
          <w:sz w:val="20"/>
          <w:lang w:val="en-US" w:eastAsia="en-US" w:bidi="ar-SA"/>
        </w:rPr>
        <w:t>  A bisinchen was a tool made of pine that was used to stretch and soften hides. It was also used to tie, stretch and weave gex pelts.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iv. Baskets and Cooking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407</w:t>
      </w:r>
      <w:r>
        <w:rPr>
          <w:rFonts w:ascii="arial" w:eastAsia="arial" w:hAnsi="arial" w:cs="arial"/>
          <w:color w:val="000000"/>
          <w:sz w:val="20"/>
          <w:lang w:val="en-US" w:eastAsia="en-US" w:bidi="ar-SA"/>
        </w:rPr>
        <w:t>  Tsilhqot'in people wove baskets decorated with a unique pattern. One form of basket is called a qats'ay. It is made with woven ts'u ghed. The basket is soaked to swell the roots and make it water tight so as it can be used to carry water. Alternatively, pitch would be used to make it leak proof. This basket was also used as a pot to boil water. Several elders explained how hot rocks were placed in the basket to bring water to a boil. For example, the basket or pot, in that manner, would be used to cook sunt'iny or ?esghunsh.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408</w:t>
      </w:r>
      <w:r>
        <w:rPr>
          <w:rFonts w:ascii="arial" w:eastAsia="arial" w:hAnsi="arial" w:cs="arial"/>
          <w:color w:val="000000"/>
          <w:sz w:val="20"/>
          <w:lang w:val="en-US" w:eastAsia="en-US" w:bidi="ar-SA"/>
        </w:rPr>
        <w:t>  Chinsdad was boiled using a qats'ay. It was then dried and mixed with dediny fat and a little sugar. Minnie Charleyboy explained that the ?Esggidam placed a fire in a k'eles (dugout). The fire would warm up rocks. The chinsdad was then placed on the warm rocks and additional warm rocks were placed on top.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409</w:t>
      </w:r>
      <w:r>
        <w:rPr>
          <w:rFonts w:ascii="arial" w:eastAsia="arial" w:hAnsi="arial" w:cs="arial"/>
          <w:color w:val="000000"/>
          <w:sz w:val="20"/>
          <w:lang w:val="en-US" w:eastAsia="en-US" w:bidi="ar-SA"/>
        </w:rPr>
        <w:t>  A second type of basket is called a tenelh. It is made from ch'it'uz (birch bark). This basket was used mainly for berry picking as it was not water tight. It was also used for the gathering of medicines and root plants.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410</w:t>
      </w:r>
      <w:r>
        <w:rPr>
          <w:rFonts w:ascii="arial" w:eastAsia="arial" w:hAnsi="arial" w:cs="arial"/>
          <w:color w:val="000000"/>
          <w:sz w:val="20"/>
          <w:lang w:val="en-US" w:eastAsia="en-US" w:bidi="ar-SA"/>
        </w:rPr>
        <w:t>  Chief William testified about a basket made from k'i that was made for the carrying of a baby.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v. ?Etaslaz ts'i (Bark Boats)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411</w:t>
      </w:r>
      <w:r>
        <w:rPr>
          <w:rFonts w:ascii="arial" w:eastAsia="arial" w:hAnsi="arial" w:cs="arial"/>
          <w:color w:val="000000"/>
          <w:sz w:val="20"/>
          <w:lang w:val="en-US" w:eastAsia="en-US" w:bidi="ar-SA"/>
        </w:rPr>
        <w:t>  Francis Setah testified that ?etaslaz ts'i were used to travel on the lakes, including Tsilhqox Biny, Tatl'ah Biny, Talhiqox Biny (Tatlayoko Lake) and Dasiqox Biny (Taseko Lake). These boats were made from ?etaslaz. Mabel William deposed to the use of the same kind of boat to transport nists'i meat across Dasiqox Biny. Others also testified about the use of ?etaslaz ts'i on the lakes.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vi. Bedding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412</w:t>
      </w:r>
      <w:r>
        <w:rPr>
          <w:rFonts w:ascii="arial" w:eastAsia="arial" w:hAnsi="arial" w:cs="arial"/>
          <w:color w:val="000000"/>
          <w:sz w:val="20"/>
          <w:lang w:val="en-US" w:eastAsia="en-US" w:bidi="ar-SA"/>
        </w:rPr>
        <w:t>  Gex pelts were woven using a bisinchen. This blanket was made with the fur exposed on both sides of the blanket. Dediny, dlig, and dediny pelts were also used to make a blanket in the same fashion.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413</w:t>
      </w:r>
      <w:r>
        <w:rPr>
          <w:rFonts w:ascii="arial" w:eastAsia="arial" w:hAnsi="arial" w:cs="arial"/>
          <w:color w:val="000000"/>
          <w:sz w:val="20"/>
          <w:lang w:val="en-US" w:eastAsia="en-US" w:bidi="ar-SA"/>
        </w:rPr>
        <w:t>  Sebay hides were also used to make blankets. Mus hides were used as mattresses. Elders also testified about the use of sebay and nists'i mattresses.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414</w:t>
      </w:r>
      <w:r>
        <w:rPr>
          <w:rFonts w:ascii="arial" w:eastAsia="arial" w:hAnsi="arial" w:cs="arial"/>
          <w:color w:val="000000"/>
          <w:sz w:val="20"/>
          <w:lang w:val="en-US" w:eastAsia="en-US" w:bidi="ar-SA"/>
        </w:rPr>
        <w:t>  All elders spoke of the use of furs and pelts of various types used as mattresses and bedding in their lifetime and dating back to the time of the ?Esggidam. It was the practice to make these household items in the dan ch'iz when the fur of the animals was at its thickest.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vii. Clothing and Footwear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415</w:t>
      </w:r>
      <w:r>
        <w:rPr>
          <w:rFonts w:ascii="arial" w:eastAsia="arial" w:hAnsi="arial" w:cs="arial"/>
          <w:color w:val="000000"/>
          <w:sz w:val="20"/>
          <w:lang w:val="en-US" w:eastAsia="en-US" w:bidi="ar-SA"/>
        </w:rPr>
        <w:t>  Clothing was made from the pelts of nists'i, sebay, debi and others. Tsa robes were noted in use by the early HBC traders who visited along the Tsilhqox corridor.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416</w:t>
      </w:r>
      <w:r>
        <w:rPr>
          <w:rFonts w:ascii="arial" w:eastAsia="arial" w:hAnsi="arial" w:cs="arial"/>
          <w:color w:val="000000"/>
          <w:sz w:val="20"/>
          <w:lang w:val="en-US" w:eastAsia="en-US" w:bidi="ar-SA"/>
        </w:rPr>
        <w:t>  Before the arrival of Europeans, Tsilhqot'in people used animal hides to make gloves, bixest'az (footwear), robes and bixesdah (coats). Bixest'az was a shoe that went up halfway over the ankle and kept the feet warm in the winter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417</w:t>
      </w:r>
      <w:r>
        <w:rPr>
          <w:rFonts w:ascii="arial" w:eastAsia="arial" w:hAnsi="arial" w:cs="arial"/>
          <w:color w:val="000000"/>
          <w:sz w:val="20"/>
          <w:lang w:val="en-US" w:eastAsia="en-US" w:bidi="ar-SA"/>
        </w:rPr>
        <w:t>  Tsilhqot'in people also made ?ash (snowshoes) for men that were long; and qilezmbans (snowshoes) that were round for women. These were used to move about and to hunt in the snow during the winter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h. Spirituality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418</w:t>
      </w:r>
      <w:r>
        <w:rPr>
          <w:rFonts w:ascii="arial" w:eastAsia="arial" w:hAnsi="arial" w:cs="arial"/>
          <w:color w:val="000000"/>
          <w:sz w:val="20"/>
          <w:lang w:val="en-US" w:eastAsia="en-US" w:bidi="ar-SA"/>
        </w:rPr>
        <w:t>  Overlooked by early settlers and the missionaries was the fact that Tsilhqot'in people are a deeply spiritual people. Gilbert Solomon testified that Tsilhqot'in people have many guardian spirits. The Supreme Spirit or God is Gudish Nits'il?in or higher chief. The spirituality of Tsilhqot'in people is rooted in a deep respect for the land, the plants and the animals. Mr. Solomon explained: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we have to honour all the spirits, we acknowledge the spirits of water, all the elements, the fire, light, the earth, plants, animals. We all believe that they all have spirits, the same spirit that we have, all humans. Spirits are no different. Say if we talk to any -- to any spirits, like the tree spirit, I'll talk to the tree like he's another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419</w:t>
      </w:r>
      <w:r>
        <w:rPr>
          <w:rFonts w:ascii="arial" w:eastAsia="arial" w:hAnsi="arial" w:cs="arial"/>
          <w:color w:val="000000"/>
          <w:sz w:val="20"/>
          <w:lang w:val="en-US" w:eastAsia="en-US" w:bidi="ar-SA"/>
        </w:rPr>
        <w:t>  Respect for the earth, plants and animals meant that before an animal was killed, there would be a silent acknowledgment of its spirit; before the berries were picked, there would be a similar acknowledgment. There was a oneness of the earth, of animals and people; an acknowledgement at death and an offering to accompany them on their spiritual journey. A failure to acknowledge this common spirituality might have consequences for the wrongdoer when he or she had to make their journey to the "other side" after death.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420</w:t>
      </w:r>
      <w:r>
        <w:rPr>
          <w:rFonts w:ascii="arial" w:eastAsia="arial" w:hAnsi="arial" w:cs="arial"/>
          <w:color w:val="000000"/>
          <w:sz w:val="20"/>
          <w:lang w:val="en-US" w:eastAsia="en-US" w:bidi="ar-SA"/>
        </w:rPr>
        <w:t>  That spirituality remains today for many Tsilhqot'in people despite their acceptance of the religion brought to them by the missionaries.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i. Deyen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421</w:t>
      </w:r>
      <w:r>
        <w:rPr>
          <w:rFonts w:ascii="arial" w:eastAsia="arial" w:hAnsi="arial" w:cs="arial"/>
          <w:color w:val="000000"/>
          <w:sz w:val="20"/>
          <w:lang w:val="en-US" w:eastAsia="en-US" w:bidi="ar-SA"/>
        </w:rPr>
        <w:t>  A Tsilhqot'in spiritual healer is called a deyen, a person with special healing powers. A person becomes a deyen after having recurring dreams of a particular animal or some aspect of the land. He or she must then go into the mountains for days at a time on a spiritual quest to gain their powers. This involves fasting. On their return, they would gain their powers as a healer. A deyen does not advertise himself or herself as such but is available to assist in healing the sick. Deyen are respected people in the Tsilhqot'in community. Tsilhqot'in people do not walk in the shadow of a deyen.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422</w:t>
      </w:r>
      <w:r>
        <w:rPr>
          <w:rFonts w:ascii="arial" w:eastAsia="arial" w:hAnsi="arial" w:cs="arial"/>
          <w:color w:val="000000"/>
          <w:sz w:val="20"/>
          <w:lang w:val="en-US" w:eastAsia="en-US" w:bidi="ar-SA"/>
        </w:rPr>
        <w:t>  At times, Tsilhqot'in people might take a wrong turn in their lives. Their lives undergo some negative change and they become a different person. Tsilhqot'in people view that person as one who has lost his or her soul. A deyen nejede?ah is a particularly powerful deyen who is able to assist in the recovery of a lost soul. If the soul is not recovered, the person dies.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423</w:t>
      </w:r>
      <w:r>
        <w:rPr>
          <w:rFonts w:ascii="arial" w:eastAsia="arial" w:hAnsi="arial" w:cs="arial"/>
          <w:color w:val="000000"/>
          <w:sz w:val="20"/>
          <w:lang w:val="en-US" w:eastAsia="en-US" w:bidi="ar-SA"/>
        </w:rPr>
        <w:t>  Deyens might have special songs or dances. They perform a healing ceremony for sick people and are particularly knowledgeable about the healing powers of medicinal plants. Deyens draw upon the strength, the spirit and the soul of the animal that is their spiritual power or upon the spiritual and healing powers of a particular aspect of the land such as spring water.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424</w:t>
      </w:r>
      <w:r>
        <w:rPr>
          <w:rFonts w:ascii="arial" w:eastAsia="arial" w:hAnsi="arial" w:cs="arial"/>
          <w:color w:val="000000"/>
          <w:sz w:val="20"/>
          <w:lang w:val="en-US" w:eastAsia="en-US" w:bidi="ar-SA"/>
        </w:rPr>
        <w:t>  There are deyens today in Tsilhqot'in society who bring to their communities these special spiritual healing powers and knowledge.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ii. Burial Practices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425</w:t>
      </w:r>
      <w:r>
        <w:rPr>
          <w:rFonts w:ascii="arial" w:eastAsia="arial" w:hAnsi="arial" w:cs="arial"/>
          <w:color w:val="000000"/>
          <w:sz w:val="20"/>
          <w:lang w:val="en-US" w:eastAsia="en-US" w:bidi="ar-SA"/>
        </w:rPr>
        <w:t>  Tsilhqot'in people cremated their dead prior to the arrival of Europeans. Thus there are no ancient burial sites. At death, Tsilhqot'in persons would be cremated along with their clothing and tools, enabling the journey "to the other side". The ritual of burial was introduced by the missionaries. The first cemetery was blessed by Father Nobili on October 24, 1845.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 Tsilhqot'in Laws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426</w:t>
      </w:r>
      <w:r>
        <w:rPr>
          <w:rFonts w:ascii="arial" w:eastAsia="arial" w:hAnsi="arial" w:cs="arial"/>
          <w:color w:val="000000"/>
          <w:sz w:val="20"/>
          <w:lang w:val="en-US" w:eastAsia="en-US" w:bidi="ar-SA"/>
        </w:rPr>
        <w:t>  Professor Hamar Foster prepared a report to the court entitled "Tsilhqot'in Law". At p. 2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as a legal historian I proceed on the assumption that, if people are organized into societies, they participate in rule-governed relationships with others. This is what "law" in its most general sense, means. And it is - to take a telling example from the documentary record in this case - what Judge Begbie meant when he asked the Tsilhqot'in chiefs at their trial what their law of murder was ..." (Judge Begbie to Governor Seymour, 30 Sept.1864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427</w:t>
      </w:r>
      <w:r>
        <w:rPr>
          <w:rFonts w:ascii="arial" w:eastAsia="arial" w:hAnsi="arial" w:cs="arial"/>
          <w:color w:val="000000"/>
          <w:sz w:val="20"/>
          <w:lang w:val="en-US" w:eastAsia="en-US" w:bidi="ar-SA"/>
        </w:rPr>
        <w:t>  Professor Foster pointed out that in oral societies the documentary records are exclusively non-Aboriginal and the people who produced those records often had "little understanding of the cultures they were describing". Some of their interpretations were careless and often they were interpretations of "what they saw in terms of their own culture". Thus words used to describe Aboriginal behaviour cannot be taken at their face value. As an example, when there is a report of an Indian committing a "murder", one must ask the important question, "according to whose law?" Professor Foster went on to explain at p. 5 of his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For example, it was generally true that the killing of a member of one's group could be avenged not only by killing the perpetrator but </w:t>
      </w:r>
      <w:r>
        <w:rPr>
          <w:rFonts w:ascii="arial" w:eastAsia="arial" w:hAnsi="arial" w:cs="arial"/>
          <w:i/>
          <w:color w:val="000000"/>
          <w:sz w:val="20"/>
          <w:lang w:val="en-US" w:eastAsia="en-US" w:bidi="ar-SA"/>
        </w:rPr>
        <w:t>any</w:t>
      </w:r>
      <w:r>
        <w:rPr>
          <w:rFonts w:ascii="arial" w:eastAsia="arial" w:hAnsi="arial" w:cs="arial"/>
          <w:color w:val="000000"/>
          <w:sz w:val="20"/>
          <w:lang w:val="en-US" w:eastAsia="en-US" w:bidi="ar-SA"/>
        </w:rPr>
        <w:t xml:space="preserve"> member of the perpetrator's legally relevant group if he could not be caught. In other words ... his household, extended family, or clan - depending on the domestic law of that nation - might bear a collective responsibility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So, where a colonist (of the British, American or "white" nation) killed an Indian, the death could be avenged by killing any colonist. And the killer of the colonist would not view himself or be viewed by his nation as having maliciously "murdered" an innocent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428</w:t>
      </w:r>
      <w:r>
        <w:rPr>
          <w:rFonts w:ascii="arial" w:eastAsia="arial" w:hAnsi="arial" w:cs="arial"/>
          <w:color w:val="000000"/>
          <w:sz w:val="20"/>
          <w:lang w:val="en-US" w:eastAsia="en-US" w:bidi="ar-SA"/>
        </w:rPr>
        <w:t>  In this way there was a "group responsibility for all deaths caused by a member of the relevant group": Foster Report, p. 6. In addition to collective responsibility, there were also notions of causation, as opposed to fault. Accidental deaths required compensation and a failure to report and compensate an accidental death would justify a killing to "wipe out the debt of blood".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429</w:t>
      </w:r>
      <w:r>
        <w:rPr>
          <w:rFonts w:ascii="arial" w:eastAsia="arial" w:hAnsi="arial" w:cs="arial"/>
          <w:color w:val="000000"/>
          <w:sz w:val="20"/>
          <w:lang w:val="en-US" w:eastAsia="en-US" w:bidi="ar-SA"/>
        </w:rPr>
        <w:t>  Professor Foster acknowledged it was difficult "to ascertain with any precision, the domestic law of any particular nation solely from the documentary record". Nevertheless from the records he did examine, he was of the opinion "the Tsilhqot'in had laws, and that those for which there is evidence appear to have been broadly similar to the laws of other many North American Aboriginal groups". He noted there was evidence "that supports the view that chiefs had specific lands within Tsilhqot'in territory and that these lands descended on some sort of hereditary principle". I too am satisfied that an examination of the historical records leads to a conclusion that Tsilhqot'in people did consider the land to be their land. They also had a concept of territory and boundaries, although this appears to have been enlarged following the movements of the mid-nineteenth century.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430</w:t>
      </w:r>
      <w:r>
        <w:rPr>
          <w:rFonts w:ascii="arial" w:eastAsia="arial" w:hAnsi="arial" w:cs="arial"/>
          <w:color w:val="000000"/>
          <w:sz w:val="20"/>
          <w:lang w:val="en-US" w:eastAsia="en-US" w:bidi="ar-SA"/>
        </w:rPr>
        <w:t>  Professor Foster also addressed the law relating to the killing of others and the ability to seek blood vengeance. Minnie Charleyboy told a story of a Tsilhqot'in man who was accidentally killed by his brother. The killer was subsequently punished by death.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431</w:t>
      </w:r>
      <w:r>
        <w:rPr>
          <w:rFonts w:ascii="arial" w:eastAsia="arial" w:hAnsi="arial" w:cs="arial"/>
          <w:color w:val="000000"/>
          <w:sz w:val="20"/>
          <w:lang w:val="en-US" w:eastAsia="en-US" w:bidi="ar-SA"/>
        </w:rPr>
        <w:t>  Tsilhqot'in people were a rule ordered society. Various Tsilhqot'in elders testified about dechen ts' edilhtan (the laws of our ancestors). Chief Ervin Charleyboy testified that there are laws against taking the property of others, and against creating a disturbance in a community. Offenders were punished by being tied to a post from sun up to sun down in order to shame them before the community. Repeat offenders ran the risk of being banned from their community for a period of time. Killing a person meant death to the killer.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432</w:t>
      </w:r>
      <w:r>
        <w:rPr>
          <w:rFonts w:ascii="arial" w:eastAsia="arial" w:hAnsi="arial" w:cs="arial"/>
          <w:color w:val="000000"/>
          <w:sz w:val="20"/>
          <w:lang w:val="en-US" w:eastAsia="en-US" w:bidi="ar-SA"/>
        </w:rPr>
        <w:t>  There were other rules or laws testified to by several Tsilhqot'in elders. These included: rules about what a boy was to do at the time of his puberty; corresponding rules concerning girls becoming young women; rules concerning what women were able to do "on their moon"; rules about the handling of the dead; rules respecting the weapons of hunter warriors; and rules against marrying a cousin or other person closely related. All of these rules were dechen ts' edilhtan.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j. Legends and Stories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433</w:t>
      </w:r>
      <w:r>
        <w:rPr>
          <w:rFonts w:ascii="arial" w:eastAsia="arial" w:hAnsi="arial" w:cs="arial"/>
          <w:color w:val="000000"/>
          <w:sz w:val="20"/>
          <w:lang w:val="en-US" w:eastAsia="en-US" w:bidi="ar-SA"/>
        </w:rPr>
        <w:t>  Some of the stories and legends told to the Court by Tsilhqot'in elders include:</w:t>
      </w:r>
      <w:r>
        <w:rPr>
          <w:rFonts w:ascii="arial" w:eastAsia="arial" w:hAnsi="arial" w:cs="arial"/>
          <w:sz w:val="20"/>
          <w:lang w:val="en-US" w:eastAsia="en-US" w:bidi="ar-SA"/>
        </w:rPr>
        <w:cr/>
      </w:r>
    </w:p>
    <w:p>
      <w:pPr>
        <w:numPr>
          <w:numId w:val="18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Lhin Desch'osh, the legend of how the land was transformed and the animals made less dangerous;</w:t>
      </w:r>
    </w:p>
    <w:p>
      <w:pPr>
        <w:numPr>
          <w:numId w:val="18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Ts'il?os and ?Eniyud;</w:t>
      </w:r>
    </w:p>
    <w:p>
      <w:pPr>
        <w:numPr>
          <w:numId w:val="18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How Raven Stole the Sun;</w:t>
      </w:r>
    </w:p>
    <w:p>
      <w:pPr>
        <w:numPr>
          <w:numId w:val="18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Story of Raven Stealing Fire;</w:t>
      </w:r>
    </w:p>
    <w:p>
      <w:pPr>
        <w:numPr>
          <w:numId w:val="18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Story of Salmon Boy;</w:t>
      </w:r>
    </w:p>
    <w:p>
      <w:pPr>
        <w:numPr>
          <w:numId w:val="19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Story of the Woman and the Bear;</w:t>
      </w:r>
    </w:p>
    <w:p>
      <w:pPr>
        <w:numPr>
          <w:numId w:val="19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Story of Lady Rock;</w:t>
      </w:r>
    </w:p>
    <w:p>
      <w:pPr>
        <w:numPr>
          <w:numId w:val="19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Story of Qitl'ax Xen, a boy raised by his grandmother;</w:t>
      </w:r>
    </w:p>
    <w:p>
      <w:pPr>
        <w:numPr>
          <w:numId w:val="19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Story of Guli, the Skunk;</w:t>
      </w:r>
    </w:p>
    <w:p>
      <w:pPr>
        <w:numPr>
          <w:numId w:val="19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Story About a Brother and a Sister;</w:t>
      </w:r>
    </w:p>
    <w:p>
      <w:pPr>
        <w:numPr>
          <w:numId w:val="19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Story About an Owl;</w:t>
      </w:r>
    </w:p>
    <w:p>
      <w:pPr>
        <w:numPr>
          <w:numId w:val="19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Two Sisters and the Stars; and,</w:t>
      </w:r>
    </w:p>
    <w:p>
      <w:pPr>
        <w:numPr>
          <w:numId w:val="19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Frog Steals a Baby.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434</w:t>
      </w:r>
      <w:r>
        <w:rPr>
          <w:rFonts w:ascii="arial" w:eastAsia="arial" w:hAnsi="arial" w:cs="arial"/>
          <w:color w:val="000000"/>
          <w:sz w:val="20"/>
          <w:lang w:val="en-US" w:eastAsia="en-US" w:bidi="ar-SA"/>
        </w:rPr>
        <w:t>  This is not a complete list but it is representative of the legends I heard. Each carries with it an underlying message or moral that is intended to instruct and inform Tsilhqot'in people in the way they are to lead their lives. They set out the rules of conduct, a value system passed from generation to generation.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435</w:t>
      </w:r>
      <w:r>
        <w:rPr>
          <w:rFonts w:ascii="arial" w:eastAsia="arial" w:hAnsi="arial" w:cs="arial"/>
          <w:color w:val="000000"/>
          <w:sz w:val="20"/>
          <w:lang w:val="en-US" w:eastAsia="en-US" w:bidi="ar-SA"/>
        </w:rPr>
        <w:t>  I distinguish legends from stories. Stories are recordings of actual events in an historical period of time. Often they are of deaths or loss of children. For example, the story of Child Got Lost is about a child who went missing in the northern part of Tachelach'ed. Stories are told to remind people of significant events and are not necessarily designed to carry a life directing message.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k. 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436</w:t>
      </w:r>
      <w:r>
        <w:rPr>
          <w:rFonts w:ascii="arial" w:eastAsia="arial" w:hAnsi="arial" w:cs="arial"/>
          <w:color w:val="000000"/>
          <w:sz w:val="20"/>
          <w:lang w:val="en-US" w:eastAsia="en-US" w:bidi="ar-SA"/>
        </w:rPr>
        <w:t>  In the early nineteenth century, Tsilhqot'in people lived in a semi-nomadic hunter, gatherer society in a harsh environment. They were a rule ordered society, tied by language, kinship and customs. Reverence for the land that supported and nourished them continues to the present generation. Tsilhqot'in people no longer live as their forefathers at the time of sovereignty assertion. However, the land continues as a central theme in their lives, providing continuity and stability from generation to generation.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 ABORIGINAL GROUP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 The Proper Rights Holder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437</w:t>
      </w:r>
      <w:r>
        <w:rPr>
          <w:rFonts w:ascii="arial" w:eastAsia="arial" w:hAnsi="arial" w:cs="arial"/>
          <w:color w:val="000000"/>
          <w:sz w:val="20"/>
          <w:lang w:val="en-US" w:eastAsia="en-US" w:bidi="ar-SA"/>
        </w:rPr>
        <w:t>  Aboriginal rights are communal rights. They arise out of the existence and practices of a contemporary community with historical roots. When making a declaration of Aboriginal rights, the court must identify which present group or community holds those rights. The plaintiff and Canada assert that the proper rights holder is the community of Tsilhqot'in people. British Columbia says that the proper rights holder is the community of Xeni Gwet'in people.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438</w:t>
      </w:r>
      <w:r>
        <w:rPr>
          <w:rFonts w:ascii="arial" w:eastAsia="arial" w:hAnsi="arial" w:cs="arial"/>
          <w:color w:val="000000"/>
          <w:sz w:val="20"/>
          <w:lang w:val="en-US" w:eastAsia="en-US" w:bidi="ar-SA"/>
        </w:rPr>
        <w:t>  Most of the cases that touch on this issue are regulatory cases in which individuals claim Aboriginal rights that belong to a larger collective. In many of these circumstances it is not necessary to identify with precision the appropriate collective. The Supreme Court of Canada has offered some guidance on how to identify and define the distinctive societies that hold Aboriginal rights.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439</w:t>
      </w:r>
      <w:r>
        <w:rPr>
          <w:rFonts w:ascii="arial" w:eastAsia="arial" w:hAnsi="arial" w:cs="arial"/>
          <w:color w:val="000000"/>
          <w:sz w:val="20"/>
          <w:lang w:val="en-US" w:eastAsia="en-US" w:bidi="ar-SA"/>
        </w:rPr>
        <w:t xml:space="preserve">  This inquiry is primarily a matter of fact to be determined on the whole of the evidence relating to the specific society or culture. One factor to consider is who made decisions about land use and occupation in the historic Aboriginal culture. The Supreme Court of Canada considered this factor in </w:t>
      </w:r>
      <w:r>
        <w:rPr>
          <w:rFonts w:ascii="arial" w:eastAsia="arial" w:hAnsi="arial" w:cs="arial"/>
          <w:b/>
          <w:i/>
          <w:color w:val="000000"/>
          <w:sz w:val="20"/>
          <w:lang w:val="en-US" w:eastAsia="en-US" w:bidi="ar-SA"/>
        </w:rPr>
        <w:t>Delgamuukw</w:t>
      </w:r>
      <w:r>
        <w:rPr>
          <w:rFonts w:ascii="arial" w:eastAsia="arial" w:hAnsi="arial" w:cs="arial"/>
          <w:color w:val="000000"/>
          <w:sz w:val="20"/>
          <w:lang w:val="en-US" w:eastAsia="en-US" w:bidi="ar-SA"/>
        </w:rPr>
        <w:t xml:space="preserve"> at para. 115: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further dimension of aboriginal title is the fact that it is held </w:t>
      </w:r>
      <w:r>
        <w:rPr>
          <w:rFonts w:ascii="arial" w:eastAsia="arial" w:hAnsi="arial" w:cs="arial"/>
          <w:color w:val="000000"/>
          <w:sz w:val="20"/>
          <w:u w:val="single"/>
          <w:lang w:val="en-US" w:eastAsia="en-US" w:bidi="ar-SA"/>
        </w:rPr>
        <w:t>communally</w:t>
      </w:r>
      <w:r>
        <w:rPr>
          <w:rFonts w:ascii="arial" w:eastAsia="arial" w:hAnsi="arial" w:cs="arial"/>
          <w:color w:val="000000"/>
          <w:sz w:val="20"/>
          <w:lang w:val="en-US" w:eastAsia="en-US" w:bidi="ar-SA"/>
        </w:rPr>
        <w:t xml:space="preserve">. Aboriginal title cannot be held by individual aboriginal persons; it is a collective right to land held by all members of an aboriginal nation. Decisions with respect to that land are also made by that community. This is another feature of aboriginal title which is </w:t>
      </w:r>
      <w:r>
        <w:rPr>
          <w:rFonts w:ascii="arial" w:eastAsia="arial" w:hAnsi="arial" w:cs="arial"/>
          <w:i/>
          <w:color w:val="000000"/>
          <w:sz w:val="20"/>
          <w:lang w:val="en-US" w:eastAsia="en-US" w:bidi="ar-SA"/>
        </w:rPr>
        <w:t>sui generis</w:t>
      </w:r>
      <w:r>
        <w:rPr>
          <w:rFonts w:ascii="arial" w:eastAsia="arial" w:hAnsi="arial" w:cs="arial"/>
          <w:color w:val="000000"/>
          <w:sz w:val="20"/>
          <w:lang w:val="en-US" w:eastAsia="en-US" w:bidi="ar-SA"/>
        </w:rPr>
        <w:t xml:space="preserve"> and distinguishes it from normal property interests.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440</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Marshall; Bernard</w:t>
      </w:r>
      <w:r>
        <w:rPr>
          <w:rFonts w:ascii="arial" w:eastAsia="arial" w:hAnsi="arial" w:cs="arial"/>
          <w:color w:val="000000"/>
          <w:sz w:val="20"/>
          <w:lang w:val="en-US" w:eastAsia="en-US" w:bidi="ar-SA"/>
        </w:rPr>
        <w:t>, the Court related the identification of the proper group to the continuity requirement. McLachlin C.J.C. stated the following at para. 67: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requirement of continuity in its most basic sense simply means that claimants must establish they are right holders. Modern-day claimants must establish a connection with the pre-sovereignty group upon whose practices they rely to assert title or claim to a more restricted aboriginal right. The right is based on pre-sovereignty aboriginal practices. To claim it, a modern people must show that the right is the descendant of those practices. Continuity may also be raised in this sense. To claim title, the group's connection with the land must be shown to have been "of a central significance to their distinctive culture": </w:t>
      </w:r>
      <w:r>
        <w:rPr>
          <w:rFonts w:ascii="arial" w:eastAsia="arial" w:hAnsi="arial" w:cs="arial"/>
          <w:i/>
          <w:color w:val="000000"/>
          <w:sz w:val="20"/>
          <w:lang w:val="en-US" w:eastAsia="en-US" w:bidi="ar-SA"/>
        </w:rPr>
        <w:t>Adams</w:t>
      </w:r>
      <w:r>
        <w:rPr>
          <w:rFonts w:ascii="arial" w:eastAsia="arial" w:hAnsi="arial" w:cs="arial"/>
          <w:color w:val="000000"/>
          <w:sz w:val="20"/>
          <w:lang w:val="en-US" w:eastAsia="en-US" w:bidi="ar-SA"/>
        </w:rPr>
        <w:t xml:space="preserve">, at para. 26. If the group has "maintained a substantial connection" with the land since sovereignty, this establishes the required "central significance": </w:t>
      </w:r>
      <w:r>
        <w:rPr>
          <w:rFonts w:ascii="arial" w:eastAsia="arial" w:hAnsi="arial" w:cs="arial"/>
          <w:i/>
          <w:color w:val="000000"/>
          <w:sz w:val="20"/>
          <w:lang w:val="en-US" w:eastAsia="en-US" w:bidi="ar-SA"/>
        </w:rPr>
        <w:t>Delgamuukw, per</w:t>
      </w:r>
      <w:r>
        <w:rPr>
          <w:rFonts w:ascii="arial" w:eastAsia="arial" w:hAnsi="arial" w:cs="arial"/>
          <w:color w:val="000000"/>
          <w:sz w:val="20"/>
          <w:lang w:val="en-US" w:eastAsia="en-US" w:bidi="ar-SA"/>
        </w:rPr>
        <w:t xml:space="preserve"> Lamer C.J.C., at paras. 150-51.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441</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R. v. Powley</w:t>
      </w:r>
      <w:r>
        <w:rPr>
          <w:rFonts w:ascii="arial" w:eastAsia="arial" w:hAnsi="arial" w:cs="arial"/>
          <w:color w:val="000000"/>
          <w:sz w:val="20"/>
          <w:lang w:val="en-US" w:eastAsia="en-US" w:bidi="ar-SA"/>
        </w:rPr>
        <w:t xml:space="preserve">, </w:t>
      </w:r>
      <w:hyperlink r:id="rId668" w:history="1">
        <w:r>
          <w:rPr>
            <w:rFonts w:ascii="arial" w:eastAsia="arial" w:hAnsi="arial" w:cs="arial"/>
            <w:i/>
            <w:color w:val="0077CC"/>
            <w:sz w:val="20"/>
            <w:u w:val="single"/>
            <w:shd w:val="clear" w:color="auto" w:fill="FFFFFF"/>
            <w:lang w:val="en-US" w:eastAsia="en-US" w:bidi="ar-SA"/>
          </w:rPr>
          <w:t>[2003] 2 S.C.R. 207</w:t>
        </w:r>
      </w:hyperlink>
      <w:r>
        <w:rPr>
          <w:rFonts w:ascii="arial" w:eastAsia="arial" w:hAnsi="arial" w:cs="arial"/>
          <w:color w:val="000000"/>
          <w:sz w:val="20"/>
          <w:lang w:val="en-US" w:eastAsia="en-US" w:bidi="ar-SA"/>
        </w:rPr>
        <w:t xml:space="preserve">, </w:t>
      </w:r>
      <w:hyperlink r:id="rId668" w:history="1">
        <w:r>
          <w:rPr>
            <w:rFonts w:ascii="arial" w:eastAsia="arial" w:hAnsi="arial" w:cs="arial"/>
            <w:i/>
            <w:color w:val="0077CC"/>
            <w:sz w:val="20"/>
            <w:u w:val="single"/>
            <w:shd w:val="clear" w:color="auto" w:fill="FFFFFF"/>
            <w:lang w:val="en-US" w:eastAsia="en-US" w:bidi="ar-SA"/>
          </w:rPr>
          <w:t>2003 SCC 43</w:t>
        </w:r>
      </w:hyperlink>
      <w:r>
        <w:rPr>
          <w:rFonts w:ascii="arial" w:eastAsia="arial" w:hAnsi="arial" w:cs="arial"/>
          <w:color w:val="000000"/>
          <w:sz w:val="20"/>
          <w:lang w:val="en-US" w:eastAsia="en-US" w:bidi="ar-SA"/>
        </w:rPr>
        <w:t>, the Court considered a claim to Métis rights under s. 35(1). In order to identify the proper rights holder, the Court undertook a two stage process. The first stage was to identify the historic community that exercised the right. The second stage was to identify the contemporary rights-bearing community.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442</w:t>
      </w:r>
      <w:r>
        <w:rPr>
          <w:rFonts w:ascii="arial" w:eastAsia="arial" w:hAnsi="arial" w:cs="arial"/>
          <w:color w:val="000000"/>
          <w:sz w:val="20"/>
          <w:lang w:val="en-US" w:eastAsia="en-US" w:bidi="ar-SA"/>
        </w:rPr>
        <w:t xml:space="preserve">  When identifying the historic rights-bearing community, the Court reviewed the historical evidence including demographic evidence contained in Hudson's Bay Company journals. The Supreme Court of Canada noted several other factors in </w:t>
      </w:r>
      <w:r>
        <w:rPr>
          <w:rFonts w:ascii="arial" w:eastAsia="arial" w:hAnsi="arial" w:cs="arial"/>
          <w:b/>
          <w:i/>
          <w:color w:val="000000"/>
          <w:sz w:val="20"/>
          <w:lang w:val="en-US" w:eastAsia="en-US" w:bidi="ar-SA"/>
        </w:rPr>
        <w:t>Powley</w:t>
      </w:r>
      <w:r>
        <w:rPr>
          <w:rFonts w:ascii="arial" w:eastAsia="arial" w:hAnsi="arial" w:cs="arial"/>
          <w:color w:val="000000"/>
          <w:sz w:val="20"/>
          <w:lang w:val="en-US" w:eastAsia="en-US" w:bidi="ar-SA"/>
        </w:rPr>
        <w:t xml:space="preserve"> at para. 23: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addition to demographic evidence, proof of shared customs, traditions, and a collective identity is required to demonstrate the existence of a Métis community that can support a claim to site-specific aboriginal rights. We recognize that different groups of Métis have often lacked political structures and have experienced shifts in their members' self-identification. However, the existence of an identifiable Métis community must be demonstrated with some degree of continuity and stability in order to support a site-specific aboriginal rights claim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443</w:t>
      </w:r>
      <w:r>
        <w:rPr>
          <w:rFonts w:ascii="arial" w:eastAsia="arial" w:hAnsi="arial" w:cs="arial"/>
          <w:color w:val="000000"/>
          <w:sz w:val="20"/>
          <w:lang w:val="en-US" w:eastAsia="en-US" w:bidi="ar-SA"/>
        </w:rPr>
        <w:t>  After finding the existence of an historic rights-bearing community, the Court went on to consider the claimant's ancestrally based membership in the present community. The Court noted at para. 34: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important to remember that, no matter how a contemporary community defines membership, only those members with a demonstrable ancestral connection to the historic community can claim a s. 35 right. Verifying membership is crucial, since individuals are only entitled to exercise Métis aboriginal rights by virtue of their ancestral connection to and current membership in a Métis community.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444</w:t>
      </w:r>
      <w:r>
        <w:rPr>
          <w:rFonts w:ascii="arial" w:eastAsia="arial" w:hAnsi="arial" w:cs="arial"/>
          <w:color w:val="000000"/>
          <w:sz w:val="20"/>
          <w:lang w:val="en-US" w:eastAsia="en-US" w:bidi="ar-SA"/>
        </w:rPr>
        <w:t>  In my view, the tests for demonstrating the existence of an Aboriginal community that can support the claim to s. 35(1) rights in this case can be no different than those required of a Métis community. I add to the analysis the view that identification as a member of a community is not external. Membership is identified by the community. It should always be the particular Aboriginal community that determines its own membership.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445</w:t>
      </w:r>
      <w:r>
        <w:rPr>
          <w:rFonts w:ascii="arial" w:eastAsia="arial" w:hAnsi="arial" w:cs="arial"/>
          <w:color w:val="000000"/>
          <w:sz w:val="20"/>
          <w:lang w:val="en-US" w:eastAsia="en-US" w:bidi="ar-SA"/>
        </w:rPr>
        <w:t>  No matter how a contemporary community defines membership, a critical inquiry for the purposes of s. 35(1) rights is an ancestral connection to the relevant community extant at contact in the case of rights, or at sovereignty, in the case of title. In all of the Aboriginal rights and title decisions I have reviewed, the relevant historic community has been the larger First Nation that existed at the time of contact or sovereignty.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446</w:t>
      </w:r>
      <w:r>
        <w:rPr>
          <w:rFonts w:ascii="arial" w:eastAsia="arial" w:hAnsi="arial" w:cs="arial"/>
          <w:color w:val="000000"/>
          <w:sz w:val="20"/>
          <w:lang w:val="en-US" w:eastAsia="en-US" w:bidi="ar-SA"/>
        </w:rPr>
        <w:t>  Aboriginal people, like people in societies everywhere, typically belong to more than one group that helps to define their identities. In both historical and contemporary times, an individual can simultaneously be a member of a family, a clan or descent group, a hunting party, a band, and a 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447</w:t>
      </w:r>
      <w:r>
        <w:rPr>
          <w:rFonts w:ascii="arial" w:eastAsia="arial" w:hAnsi="arial" w:cs="arial"/>
          <w:color w:val="000000"/>
          <w:sz w:val="20"/>
          <w:lang w:val="en-US" w:eastAsia="en-US" w:bidi="ar-SA"/>
        </w:rPr>
        <w:t xml:space="preserve">  Of interest in the passage from para. 115 of </w:t>
      </w:r>
      <w:r>
        <w:rPr>
          <w:rFonts w:ascii="arial" w:eastAsia="arial" w:hAnsi="arial" w:cs="arial"/>
          <w:b/>
          <w:i/>
          <w:color w:val="000000"/>
          <w:sz w:val="20"/>
          <w:lang w:val="en-US" w:eastAsia="en-US" w:bidi="ar-SA"/>
        </w:rPr>
        <w:t>Delgamuukw</w:t>
      </w:r>
      <w:r>
        <w:rPr>
          <w:rFonts w:ascii="arial" w:eastAsia="arial" w:hAnsi="arial" w:cs="arial"/>
          <w:color w:val="000000"/>
          <w:sz w:val="20"/>
          <w:lang w:val="en-US" w:eastAsia="en-US" w:bidi="ar-SA"/>
        </w:rPr>
        <w:t xml:space="preserve"> (S.C.C.) is the observation that Aboriginal title is held by all members of the Aboriginal nation. British Columbia submits that in </w:t>
      </w:r>
      <w:r>
        <w:rPr>
          <w:rFonts w:ascii="arial" w:eastAsia="arial" w:hAnsi="arial" w:cs="arial"/>
          <w:b/>
          <w:i/>
          <w:color w:val="000000"/>
          <w:sz w:val="20"/>
          <w:lang w:val="en-US" w:eastAsia="en-US" w:bidi="ar-SA"/>
        </w:rPr>
        <w:t>R. v. Marshall</w:t>
      </w:r>
      <w:r>
        <w:rPr>
          <w:rFonts w:ascii="arial" w:eastAsia="arial" w:hAnsi="arial" w:cs="arial"/>
          <w:color w:val="000000"/>
          <w:sz w:val="20"/>
          <w:lang w:val="en-US" w:eastAsia="en-US" w:bidi="ar-SA"/>
        </w:rPr>
        <w:t xml:space="preserve">, </w:t>
      </w:r>
      <w:hyperlink r:id="rId669" w:history="1">
        <w:r>
          <w:rPr>
            <w:rFonts w:ascii="arial" w:eastAsia="arial" w:hAnsi="arial" w:cs="arial"/>
            <w:i/>
            <w:color w:val="0077CC"/>
            <w:sz w:val="20"/>
            <w:u w:val="single"/>
            <w:shd w:val="clear" w:color="auto" w:fill="FFFFFF"/>
            <w:lang w:val="en-US" w:eastAsia="en-US" w:bidi="ar-SA"/>
          </w:rPr>
          <w:t>[2002] 3 C.N.L.R. 176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2002 NSSC 57</w:t>
      </w:r>
      <w:r>
        <w:rPr>
          <w:rFonts w:ascii="arial" w:eastAsia="arial" w:hAnsi="arial" w:cs="arial"/>
          <w:color w:val="000000"/>
          <w:sz w:val="20"/>
          <w:lang w:val="en-US" w:eastAsia="en-US" w:bidi="ar-SA"/>
        </w:rPr>
        <w:t>, the summary conviction appeal judge, Scanlan J., found the rights holder group to be the band rather than the larger Mi'kmaq Nation. At para. 84, Scanlan J.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Occupancy necessary to establish Aboriginal possession is a question of fact and Aboriginal title should be determined on the facts pertinent to the band and not on a global basis. That is especially important in this case owing to the fact that Mi'kmaq were organized largely at the band level.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448</w:t>
      </w:r>
      <w:r>
        <w:rPr>
          <w:rFonts w:ascii="arial" w:eastAsia="arial" w:hAnsi="arial" w:cs="arial"/>
          <w:color w:val="000000"/>
          <w:sz w:val="20"/>
          <w:lang w:val="en-US" w:eastAsia="en-US" w:bidi="ar-SA"/>
        </w:rPr>
        <w:t>  In the trial court, (</w:t>
      </w:r>
      <w:r>
        <w:rPr>
          <w:rFonts w:ascii="arial" w:eastAsia="arial" w:hAnsi="arial" w:cs="arial"/>
          <w:b/>
          <w:i/>
          <w:color w:val="000000"/>
          <w:sz w:val="20"/>
          <w:lang w:val="en-US" w:eastAsia="en-US" w:bidi="ar-SA"/>
        </w:rPr>
        <w:t>R. v. Marshall</w:t>
      </w:r>
      <w:r>
        <w:rPr>
          <w:rFonts w:ascii="arial" w:eastAsia="arial" w:hAnsi="arial" w:cs="arial"/>
          <w:color w:val="000000"/>
          <w:sz w:val="20"/>
          <w:lang w:val="en-US" w:eastAsia="en-US" w:bidi="ar-SA"/>
        </w:rPr>
        <w:t xml:space="preserve">, </w:t>
      </w:r>
      <w:hyperlink r:id="rId670" w:history="1">
        <w:r>
          <w:rPr>
            <w:rFonts w:ascii="arial" w:eastAsia="arial" w:hAnsi="arial" w:cs="arial"/>
            <w:i/>
            <w:color w:val="0077CC"/>
            <w:sz w:val="20"/>
            <w:u w:val="single"/>
            <w:shd w:val="clear" w:color="auto" w:fill="FFFFFF"/>
            <w:lang w:val="en-US" w:eastAsia="en-US" w:bidi="ar-SA"/>
          </w:rPr>
          <w:t>[2001] 2 C.N.L.R. 256</w:t>
        </w:r>
      </w:hyperlink>
      <w:r>
        <w:rPr>
          <w:rFonts w:ascii="arial" w:eastAsia="arial" w:hAnsi="arial" w:cs="arial"/>
          <w:color w:val="000000"/>
          <w:sz w:val="20"/>
          <w:lang w:val="en-US" w:eastAsia="en-US" w:bidi="ar-SA"/>
        </w:rPr>
        <w:t xml:space="preserve">, </w:t>
      </w:r>
      <w:hyperlink r:id="rId671" w:history="1">
        <w:r>
          <w:rPr>
            <w:rFonts w:ascii="arial" w:eastAsia="arial" w:hAnsi="arial" w:cs="arial"/>
            <w:i/>
            <w:color w:val="0077CC"/>
            <w:sz w:val="20"/>
            <w:u w:val="single"/>
            <w:shd w:val="clear" w:color="auto" w:fill="FFFFFF"/>
            <w:lang w:val="en-US" w:eastAsia="en-US" w:bidi="ar-SA"/>
          </w:rPr>
          <w:t>2001 NSPC 2</w:t>
        </w:r>
      </w:hyperlink>
      <w:r>
        <w:rPr>
          <w:rFonts w:ascii="arial" w:eastAsia="arial" w:hAnsi="arial" w:cs="arial"/>
          <w:color w:val="000000"/>
          <w:sz w:val="20"/>
          <w:lang w:val="en-US" w:eastAsia="en-US" w:bidi="ar-SA"/>
        </w:rPr>
        <w:t>), Curran P.C.J. made a number of findings at para. 5, including:</w:t>
      </w:r>
      <w:r>
        <w:rPr>
          <w:rFonts w:ascii="arial" w:eastAsia="arial" w:hAnsi="arial" w:cs="arial"/>
          <w:sz w:val="20"/>
          <w:lang w:val="en-US" w:eastAsia="en-US" w:bidi="ar-SA"/>
        </w:rPr>
        <w:cr/>
      </w:r>
    </w:p>
    <w:p>
      <w:pPr>
        <w:numPr>
          <w:numId w:val="19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 the defendants, except perhaps Roger Ward [Mr. Ward was a member of a New Brunswick Band], are entitled to exercise whatever remains of any aboriginal title or any treaty rights the Mi'kmaq of Nova Scotia had in the 18th century;</w:t>
      </w:r>
    </w:p>
    <w:p>
      <w:pPr>
        <w:numPr>
          <w:numId w:val="19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Mi'kmaq of mainland Nova Scotia in the 18th century likely had aboriginal title to lands around some bays and rivers;</w:t>
      </w:r>
    </w:p>
    <w:p>
      <w:pPr>
        <w:numPr>
          <w:numId w:val="20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Mi'kmaq did not have aboriginal title to any part of Cape Breton Island;</w:t>
      </w:r>
    </w:p>
    <w:p>
      <w:pPr>
        <w:numPr>
          <w:numId w:val="20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18th century Mi'kmaq might have had some claim to coastal lands from Musquodoboit to the Strait of Canso.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449</w:t>
      </w:r>
      <w:r>
        <w:rPr>
          <w:rFonts w:ascii="arial" w:eastAsia="arial" w:hAnsi="arial" w:cs="arial"/>
          <w:color w:val="000000"/>
          <w:sz w:val="20"/>
          <w:lang w:val="en-US" w:eastAsia="en-US" w:bidi="ar-SA"/>
        </w:rPr>
        <w:t>  Thus, Curran P.C.J. found the rights holder group to be the Mi'kmaq of Nova Scotia. Curran P.C.J. made some findings about band level organization, but the above remarks of Scanlan J. seem to be entirely the views of that jurist on the summary conviction appeal. In addition, Scanlan J. concluded at para. 117 that "there is evidence to support the Trial Judge in his conclusions" and then went on to cite the findings of the trial judge noted above. The Supreme Court of Canada restored the trial judgment, thereby rejecting the view of Scanlan J. concerning the band as the rights holder.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450</w:t>
      </w:r>
      <w:r>
        <w:rPr>
          <w:rFonts w:ascii="arial" w:eastAsia="arial" w:hAnsi="arial" w:cs="arial"/>
          <w:color w:val="000000"/>
          <w:sz w:val="20"/>
          <w:lang w:val="en-US" w:eastAsia="en-US" w:bidi="ar-SA"/>
        </w:rPr>
        <w:t>  British Columbia argues that the proper historic and modern rights holder group here should be found at the band level. They support this argument by referring to the evidence that, among the historic community of Tsilhqot'in people, decisions about the uses of particular locations were made at the band or encampment level. Thus, it was a group of Tsilhqot'in people, subsequently known as the Alexandria Band, rather than all Tsilhqot'in people, who decided to take up permanent residence near Fort Alexandria in 1860. Similarly, British Columbia points out that when reserves were set aside for the various Tsilhqot'in Bands commencing in the 1880's, decisions concerning the desired locations appear to have been made by individual bands or chiefs, rather than by any pan-Tsilhqot'in institution.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451</w:t>
      </w:r>
      <w:r>
        <w:rPr>
          <w:rFonts w:ascii="arial" w:eastAsia="arial" w:hAnsi="arial" w:cs="arial"/>
          <w:color w:val="000000"/>
          <w:sz w:val="20"/>
          <w:lang w:val="en-US" w:eastAsia="en-US" w:bidi="ar-SA"/>
        </w:rPr>
        <w:t>  In my view, British Columbia places too much emphasis on the notion of a single decision-making body at the time reserves were established. The use of a small decision-making body for one particular purpose is not necessarily the hallmark of a community.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452</w:t>
      </w:r>
      <w:r>
        <w:rPr>
          <w:rFonts w:ascii="arial" w:eastAsia="arial" w:hAnsi="arial" w:cs="arial"/>
          <w:color w:val="000000"/>
          <w:sz w:val="20"/>
          <w:lang w:val="en-US" w:eastAsia="en-US" w:bidi="ar-SA"/>
        </w:rPr>
        <w:t xml:space="preserve">  As an historical footnote on the growth of the concept of Aboriginal title in Canada, it is worth noting that in </w:t>
      </w:r>
      <w:r>
        <w:rPr>
          <w:rFonts w:ascii="arial" w:eastAsia="arial" w:hAnsi="arial" w:cs="arial"/>
          <w:b/>
          <w:i/>
          <w:color w:val="000000"/>
          <w:sz w:val="20"/>
          <w:lang w:val="en-US" w:eastAsia="en-US" w:bidi="ar-SA"/>
        </w:rPr>
        <w:t>Baker Lake v. Minister of Indian Affairs and Northern Development</w:t>
      </w:r>
      <w:r>
        <w:rPr>
          <w:rFonts w:ascii="arial" w:eastAsia="arial" w:hAnsi="arial" w:cs="arial"/>
          <w:color w:val="000000"/>
          <w:sz w:val="20"/>
          <w:lang w:val="en-US" w:eastAsia="en-US" w:bidi="ar-SA"/>
        </w:rPr>
        <w:t xml:space="preserve">, </w:t>
      </w:r>
      <w:hyperlink r:id="rId672" w:history="1">
        <w:r>
          <w:rPr>
            <w:rFonts w:ascii="arial" w:eastAsia="arial" w:hAnsi="arial" w:cs="arial"/>
            <w:i/>
            <w:color w:val="0077CC"/>
            <w:sz w:val="20"/>
            <w:u w:val="single"/>
            <w:shd w:val="clear" w:color="auto" w:fill="FFFFFF"/>
            <w:lang w:val="en-US" w:eastAsia="en-US" w:bidi="ar-SA"/>
          </w:rPr>
          <w:t>[1980] 1 F.C. 518</w:t>
        </w:r>
      </w:hyperlink>
      <w:r>
        <w:rPr>
          <w:rFonts w:ascii="arial" w:eastAsia="arial" w:hAnsi="arial" w:cs="arial"/>
          <w:color w:val="000000"/>
          <w:sz w:val="20"/>
          <w:lang w:val="en-US" w:eastAsia="en-US" w:bidi="ar-SA"/>
        </w:rPr>
        <w:t>, Mahoney J. found that the Inuit people comprised a sufficiently "organized society" to hold rights in the land at common law, notwithstanding their nomadic, widely scattered population and the absence of any overarching social or political organization.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453</w:t>
      </w:r>
      <w:r>
        <w:rPr>
          <w:rFonts w:ascii="arial" w:eastAsia="arial" w:hAnsi="arial" w:cs="arial"/>
          <w:color w:val="000000"/>
          <w:sz w:val="20"/>
          <w:lang w:val="en-US" w:eastAsia="en-US" w:bidi="ar-SA"/>
        </w:rPr>
        <w:t xml:space="preserve">  The search for a pan-Tsilhqot'in decision-making institution is not unlike the </w:t>
      </w:r>
      <w:r>
        <w:rPr>
          <w:rFonts w:ascii="arial" w:eastAsia="arial" w:hAnsi="arial" w:cs="arial"/>
          <w:b/>
          <w:i/>
          <w:color w:val="000000"/>
          <w:sz w:val="20"/>
          <w:lang w:val="en-US" w:eastAsia="en-US" w:bidi="ar-SA"/>
        </w:rPr>
        <w:t>Baker Lake</w:t>
      </w:r>
      <w:r>
        <w:rPr>
          <w:rFonts w:ascii="arial" w:eastAsia="arial" w:hAnsi="arial" w:cs="arial"/>
          <w:color w:val="000000"/>
          <w:sz w:val="20"/>
          <w:lang w:val="en-US" w:eastAsia="en-US" w:bidi="ar-SA"/>
        </w:rPr>
        <w:t xml:space="preserve"> test for an "organized society". Such an approach is weighed down with superficial value judgments about Aboriginal ways of life. The need to measure traditional Aboriginal societies against the legal ideals and institutions of a "civilized society" has passed. As Hall J. (dissenting) said in </w:t>
      </w:r>
      <w:r>
        <w:rPr>
          <w:rFonts w:ascii="arial" w:eastAsia="arial" w:hAnsi="arial" w:cs="arial"/>
          <w:b/>
          <w:i/>
          <w:color w:val="000000"/>
          <w:sz w:val="20"/>
          <w:lang w:val="en-US" w:eastAsia="en-US" w:bidi="ar-SA"/>
        </w:rPr>
        <w:t>Calder v. British Columbia (A.G)</w:t>
      </w:r>
      <w:r>
        <w:rPr>
          <w:rFonts w:ascii="arial" w:eastAsia="arial" w:hAnsi="arial" w:cs="arial"/>
          <w:color w:val="000000"/>
          <w:sz w:val="20"/>
          <w:lang w:val="en-US" w:eastAsia="en-US" w:bidi="ar-SA"/>
        </w:rPr>
        <w:t xml:space="preserve">, </w:t>
      </w:r>
      <w:hyperlink r:id="rId673" w:history="1">
        <w:r>
          <w:rPr>
            <w:rFonts w:ascii="arial" w:eastAsia="arial" w:hAnsi="arial" w:cs="arial"/>
            <w:i/>
            <w:color w:val="0077CC"/>
            <w:sz w:val="20"/>
            <w:u w:val="single"/>
            <w:shd w:val="clear" w:color="auto" w:fill="FFFFFF"/>
            <w:lang w:val="en-US" w:eastAsia="en-US" w:bidi="ar-SA"/>
          </w:rPr>
          <w:t>[1973] S.C.R. 313</w:t>
        </w:r>
      </w:hyperlink>
      <w:r>
        <w:rPr>
          <w:rFonts w:ascii="arial" w:eastAsia="arial" w:hAnsi="arial" w:cs="arial"/>
          <w:color w:val="000000"/>
          <w:sz w:val="20"/>
          <w:lang w:val="en-US" w:eastAsia="en-US" w:bidi="ar-SA"/>
        </w:rPr>
        <w:t>, (S.C.C.), at p. 346: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assessment and interpretation of the historical documents and enactments tendered in evidence must be approached in the light of present-day research and knowledge disregarding ancient concepts formulated when understanding of the customs and culture of our original people was rudimentary and incomplete and when they were thought to be wholly without cohesion, laws or culture, in effect a subhuman species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454</w:t>
      </w:r>
      <w:r>
        <w:rPr>
          <w:rFonts w:ascii="arial" w:eastAsia="arial" w:hAnsi="arial" w:cs="arial"/>
          <w:color w:val="000000"/>
          <w:sz w:val="20"/>
          <w:lang w:val="en-US" w:eastAsia="en-US" w:bidi="ar-SA"/>
        </w:rPr>
        <w:t xml:space="preserve">  In setting out the test for Aboriginal title in </w:t>
      </w:r>
      <w:r>
        <w:rPr>
          <w:rFonts w:ascii="arial" w:eastAsia="arial" w:hAnsi="arial" w:cs="arial"/>
          <w:b/>
          <w:i/>
          <w:color w:val="000000"/>
          <w:sz w:val="20"/>
          <w:lang w:val="en-US" w:eastAsia="en-US" w:bidi="ar-SA"/>
        </w:rPr>
        <w:t>Delgamuukw</w:t>
      </w:r>
      <w:r>
        <w:rPr>
          <w:rFonts w:ascii="arial" w:eastAsia="arial" w:hAnsi="arial" w:cs="arial"/>
          <w:color w:val="000000"/>
          <w:sz w:val="20"/>
          <w:lang w:val="en-US" w:eastAsia="en-US" w:bidi="ar-SA"/>
        </w:rPr>
        <w:t xml:space="preserve"> (S.C.C.), the Court made no reference for the need to find an "organized society". Lamer C.J.C. referred to the </w:t>
      </w:r>
      <w:r>
        <w:rPr>
          <w:rFonts w:ascii="arial" w:eastAsia="arial" w:hAnsi="arial" w:cs="arial"/>
          <w:b/>
          <w:i/>
          <w:color w:val="000000"/>
          <w:sz w:val="20"/>
          <w:lang w:val="en-US" w:eastAsia="en-US" w:bidi="ar-SA"/>
        </w:rPr>
        <w:t>Baker Lake</w:t>
      </w:r>
      <w:r>
        <w:rPr>
          <w:rFonts w:ascii="arial" w:eastAsia="arial" w:hAnsi="arial" w:cs="arial"/>
          <w:color w:val="000000"/>
          <w:sz w:val="20"/>
          <w:lang w:val="en-US" w:eastAsia="en-US" w:bidi="ar-SA"/>
        </w:rPr>
        <w:t xml:space="preserve"> test at para. 21 but later ignored this element in the test for Aboriginal title set out in his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455</w:t>
      </w:r>
      <w:r>
        <w:rPr>
          <w:rFonts w:ascii="arial" w:eastAsia="arial" w:hAnsi="arial" w:cs="arial"/>
          <w:color w:val="000000"/>
          <w:sz w:val="20"/>
          <w:lang w:val="en-US" w:eastAsia="en-US" w:bidi="ar-SA"/>
        </w:rPr>
        <w:t xml:space="preserve">  Bands are defined by the </w:t>
      </w:r>
      <w:r>
        <w:rPr>
          <w:rFonts w:ascii="arial" w:eastAsia="arial" w:hAnsi="arial" w:cs="arial"/>
          <w:b/>
          <w:i/>
          <w:color w:val="000000"/>
          <w:sz w:val="20"/>
          <w:lang w:val="en-US" w:eastAsia="en-US" w:bidi="ar-SA"/>
        </w:rPr>
        <w:t>Indian Act</w:t>
      </w:r>
      <w:r>
        <w:rPr>
          <w:rFonts w:ascii="arial" w:eastAsia="arial" w:hAnsi="arial" w:cs="arial"/>
          <w:color w:val="000000"/>
          <w:sz w:val="20"/>
          <w:lang w:val="en-US" w:eastAsia="en-US" w:bidi="ar-SA"/>
        </w:rPr>
        <w:t xml:space="preserve"> but are not expressly made legal persons by that statute. While they have an existence separate from that of their members, they lack many of the abilities of natural persons, corporations, municipalities and even unincorporated associations: see </w:t>
      </w:r>
      <w:r>
        <w:rPr>
          <w:rFonts w:ascii="arial" w:eastAsia="arial" w:hAnsi="arial" w:cs="arial"/>
          <w:b/>
          <w:i/>
          <w:color w:val="000000"/>
          <w:sz w:val="20"/>
          <w:lang w:val="en-US" w:eastAsia="en-US" w:bidi="ar-SA"/>
        </w:rPr>
        <w:t>Blueberry River Indian Band v. Canada (Department of Indian Affairs and Northern Development)</w:t>
      </w:r>
      <w:r>
        <w:rPr>
          <w:rFonts w:ascii="arial" w:eastAsia="arial" w:hAnsi="arial" w:cs="arial"/>
          <w:color w:val="000000"/>
          <w:sz w:val="20"/>
          <w:lang w:val="en-US" w:eastAsia="en-US" w:bidi="ar-SA"/>
        </w:rPr>
        <w:t xml:space="preserve">, </w:t>
      </w:r>
      <w:hyperlink r:id="rId674" w:history="1">
        <w:r>
          <w:rPr>
            <w:rFonts w:ascii="arial" w:eastAsia="arial" w:hAnsi="arial" w:cs="arial"/>
            <w:i/>
            <w:color w:val="0077CC"/>
            <w:sz w:val="20"/>
            <w:u w:val="single"/>
            <w:shd w:val="clear" w:color="auto" w:fill="FFFFFF"/>
            <w:lang w:val="en-US" w:eastAsia="en-US" w:bidi="ar-SA"/>
          </w:rPr>
          <w:t>[2001] 4 F.C. 451</w:t>
        </w:r>
      </w:hyperlink>
      <w:r>
        <w:rPr>
          <w:rFonts w:ascii="arial" w:eastAsia="arial" w:hAnsi="arial" w:cs="arial"/>
          <w:color w:val="000000"/>
          <w:sz w:val="20"/>
          <w:lang w:val="en-US" w:eastAsia="en-US" w:bidi="ar-SA"/>
        </w:rPr>
        <w:t xml:space="preserve">, </w:t>
      </w:r>
      <w:hyperlink r:id="rId674" w:history="1">
        <w:r>
          <w:rPr>
            <w:rFonts w:ascii="arial" w:eastAsia="arial" w:hAnsi="arial" w:cs="arial"/>
            <w:i/>
            <w:color w:val="0077CC"/>
            <w:sz w:val="20"/>
            <w:u w:val="single"/>
            <w:shd w:val="clear" w:color="auto" w:fill="FFFFFF"/>
            <w:lang w:val="en-US" w:eastAsia="en-US" w:bidi="ar-SA"/>
          </w:rPr>
          <w:t>2001 FCA 67</w:t>
        </w:r>
      </w:hyperlink>
      <w:r>
        <w:rPr>
          <w:rFonts w:ascii="arial" w:eastAsia="arial" w:hAnsi="arial" w:cs="arial"/>
          <w:color w:val="000000"/>
          <w:sz w:val="20"/>
          <w:lang w:val="en-US" w:eastAsia="en-US" w:bidi="ar-SA"/>
        </w:rPr>
        <w:t xml:space="preserve">, at para. 15 </w:t>
      </w:r>
      <w:r>
        <w:rPr>
          <w:rFonts w:ascii="arial" w:eastAsia="arial" w:hAnsi="arial" w:cs="arial"/>
          <w:i/>
          <w:color w:val="000000"/>
          <w:sz w:val="20"/>
          <w:lang w:val="en-US" w:eastAsia="en-US" w:bidi="ar-SA"/>
        </w:rPr>
        <w:t>et seq</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456</w:t>
      </w:r>
      <w:r>
        <w:rPr>
          <w:rFonts w:ascii="arial" w:eastAsia="arial" w:hAnsi="arial" w:cs="arial"/>
          <w:color w:val="000000"/>
          <w:sz w:val="20"/>
          <w:lang w:val="en-US" w:eastAsia="en-US" w:bidi="ar-SA"/>
        </w:rPr>
        <w:t>  There is no legal entity that represents all Tsilhqot'in people. The Tsilhqot'in National Government, a federally incorporated legal entity, only represents five of the seven Tsilhqot'in communities. It does not represent either the Toosey/Tletinqox-tin Band or Tsilhqot'in people who are members of the Ulkatcho Band at Nagwentl'un (Anahim Lake). It seems to me that the search for a legal entity does not assist in the effort to define the proper rights holder.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457</w:t>
      </w:r>
      <w:r>
        <w:rPr>
          <w:rFonts w:ascii="arial" w:eastAsia="arial" w:hAnsi="arial" w:cs="arial"/>
          <w:color w:val="000000"/>
          <w:sz w:val="20"/>
          <w:lang w:val="en-US" w:eastAsia="en-US" w:bidi="ar-SA"/>
        </w:rPr>
        <w:t xml:space="preserve">  The recognition by the Supreme Court of Canada in </w:t>
      </w:r>
      <w:r>
        <w:rPr>
          <w:rFonts w:ascii="arial" w:eastAsia="arial" w:hAnsi="arial" w:cs="arial"/>
          <w:b/>
          <w:i/>
          <w:color w:val="000000"/>
          <w:sz w:val="20"/>
          <w:lang w:val="en-US" w:eastAsia="en-US" w:bidi="ar-SA"/>
        </w:rPr>
        <w:t>Powley</w:t>
      </w:r>
      <w:r>
        <w:rPr>
          <w:rFonts w:ascii="arial" w:eastAsia="arial" w:hAnsi="arial" w:cs="arial"/>
          <w:color w:val="000000"/>
          <w:sz w:val="20"/>
          <w:lang w:val="en-US" w:eastAsia="en-US" w:bidi="ar-SA"/>
        </w:rPr>
        <w:t xml:space="preserve"> at para. 23 that "different groups of Métis have often lacked political structures and have experienced shifts in their members' self-identification" applies equally to Tsilhqot'in people. The political structures may change from time to time. Self identification may shift from band identification to cultural identification depending on the circumstances. What remains constant are the common threads of language, customs, traditions and a shared history that form the central "self" of a Tsilhqot'in person. The Tsilhqot'in Nation is the community with whom Tsilhqot'in people are connected by those four threads.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458</w:t>
      </w:r>
      <w:r>
        <w:rPr>
          <w:rFonts w:ascii="arial" w:eastAsia="arial" w:hAnsi="arial" w:cs="arial"/>
          <w:color w:val="000000"/>
          <w:sz w:val="20"/>
          <w:lang w:val="en-US" w:eastAsia="en-US" w:bidi="ar-SA"/>
        </w:rPr>
        <w:t>  Aboriginal nations are characterized as such in the same way that French speaking Canadians are viewed as a nation. Nations in this sense are a group of people sharing a common language, culture and historical experience. They are a culturally homogeneous collective of people, larger than a clan, tribe or band. A nation state is a self-governing political entity that has sovereignty and external recognition. First Nations are not nation states; they are nations or culturally homogeneous groups of people within the larger nation state of Canada, sharing a common language, traditions, customs and historical experience.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459</w:t>
      </w:r>
      <w:r>
        <w:rPr>
          <w:rFonts w:ascii="arial" w:eastAsia="arial" w:hAnsi="arial" w:cs="arial"/>
          <w:color w:val="000000"/>
          <w:sz w:val="20"/>
          <w:lang w:val="en-US" w:eastAsia="en-US" w:bidi="ar-SA"/>
        </w:rPr>
        <w:t>  Tsilhqot'in people make no distinction amongst themselves at the band level as to their individual right to harvest resources. The evidence is that, as between Tsilhqot'in people, any person in the group can hunt or fish anywhere inside Tsilhqot'in territory. The right to harvest resides in the collective Tsilhqot'in community. Individual community members identify as Tsilhqot'in people first, rather than as band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460</w:t>
      </w:r>
      <w:r>
        <w:rPr>
          <w:rFonts w:ascii="arial" w:eastAsia="arial" w:hAnsi="arial" w:cs="arial"/>
          <w:color w:val="000000"/>
          <w:sz w:val="20"/>
          <w:lang w:val="en-US" w:eastAsia="en-US" w:bidi="ar-SA"/>
        </w:rPr>
        <w:t>  When Simon Fraser first met with Tsilhqot'in people on the banks of the Fraser River in 1808, he described them as "Chilk hodins". On his return trip later that year, he again met with people he described as Chilk-hodins, "a tribe of the Carriers". The next reference to Tsilhqot'in people is in the journals of the HBC following the establishment of Fort Alexandria.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461</w:t>
      </w:r>
      <w:r>
        <w:rPr>
          <w:rFonts w:ascii="arial" w:eastAsia="arial" w:hAnsi="arial" w:cs="arial"/>
          <w:color w:val="000000"/>
          <w:sz w:val="20"/>
          <w:lang w:val="en-US" w:eastAsia="en-US" w:bidi="ar-SA"/>
        </w:rPr>
        <w:t>  It is significant that the HBC journals and census documents between 1822-1838 refer to Tsilhqot'in people belonging to certain chiefs. These records provide repeated references to Tsilhqot'in people, with variations on spelling. There is no reference to Xeni Gwet'in people in these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462</w:t>
      </w:r>
      <w:r>
        <w:rPr>
          <w:rFonts w:ascii="arial" w:eastAsia="arial" w:hAnsi="arial" w:cs="arial"/>
          <w:color w:val="000000"/>
          <w:sz w:val="20"/>
          <w:lang w:val="en-US" w:eastAsia="en-US" w:bidi="ar-SA"/>
        </w:rPr>
        <w:t>  Nobili's journals refer to visits to Tsilhqot'in villages. His contact with Tsilhqot'in people included the ancestors of people who today describe themselves as Xeni Gwet'in people.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463</w:t>
      </w:r>
      <w:r>
        <w:rPr>
          <w:rFonts w:ascii="arial" w:eastAsia="arial" w:hAnsi="arial" w:cs="arial"/>
          <w:color w:val="000000"/>
          <w:sz w:val="20"/>
          <w:lang w:val="en-US" w:eastAsia="en-US" w:bidi="ar-SA"/>
        </w:rPr>
        <w:t>  Marcus Smith makes reference to the "Stone Indians" in his 1872 journal when talking about his travels among the Tsilhqot'in people. He wrote that his party had camped "by the margin of Tatla lake not far from the camp of Keogh, the chief of a small band of Indians who subsist by fishing on the lakes and hunting on the slopes of the Cascade mountains, from which they have the local name of "Stone Indians". The Xeni Gwet'in people are the descendants of these people.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464</w:t>
      </w:r>
      <w:r>
        <w:rPr>
          <w:rFonts w:ascii="arial" w:eastAsia="arial" w:hAnsi="arial" w:cs="arial"/>
          <w:color w:val="000000"/>
          <w:sz w:val="20"/>
          <w:lang w:val="en-US" w:eastAsia="en-US" w:bidi="ar-SA"/>
        </w:rPr>
        <w:t>  When reserves were set aside in the "Nemaiah Valley" by A.W. Vowell in 1899, there was no reference to Xeni Gwet'in people. The minutes of his decision to set aside Chilco Lake, Garden, Fishery and Meadow Reserves dated September 20, 1899 refer to the "Nemaiah Valley Indians".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465</w:t>
      </w:r>
      <w:r>
        <w:rPr>
          <w:rFonts w:ascii="arial" w:eastAsia="arial" w:hAnsi="arial" w:cs="arial"/>
          <w:color w:val="000000"/>
          <w:sz w:val="20"/>
          <w:lang w:val="en-US" w:eastAsia="en-US" w:bidi="ar-SA"/>
        </w:rPr>
        <w:t>  The laying aside of these reserves appears to have followed a request made by Hewitt Bostock, M.P. to James A. Smart, Deputy Superintendent General of Indian Affairs, in a letter dated July 27, 1899. I have already noted in my historical summary that Bostock referred to the people living in Xeni as "a number of Indians who have belonged to different tribes in that part of the country but who for one reason or another have left their own reservation or tribe and have gone to live in this valley". I conclude that the people from "different tribes" were all Tsilhqot'in people who are the ancestors of the modern day Xeni Gwet'in.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466</w:t>
      </w:r>
      <w:r>
        <w:rPr>
          <w:rFonts w:ascii="arial" w:eastAsia="arial" w:hAnsi="arial" w:cs="arial"/>
          <w:color w:val="000000"/>
          <w:sz w:val="20"/>
          <w:lang w:val="en-US" w:eastAsia="en-US" w:bidi="ar-SA"/>
        </w:rPr>
        <w:t>  For decades, the people who have lived on these reserves were known as the Nemiah Valley Indian Band. This was the name given to them by the Federal Department of Indian Affairs. The Tsilhqot'in words Xeni Gwet'in translates to "people of the Nemiah Valley". The Xeni Gwet'in people officially changed the name of their band to the Xeni Gwet'in First Nations Government in 1995.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467</w:t>
      </w:r>
      <w:r>
        <w:rPr>
          <w:rFonts w:ascii="arial" w:eastAsia="arial" w:hAnsi="arial" w:cs="arial"/>
          <w:color w:val="000000"/>
          <w:sz w:val="20"/>
          <w:lang w:val="en-US" w:eastAsia="en-US" w:bidi="ar-SA"/>
        </w:rPr>
        <w:t>  At the time reserves were fixed, tribes, clans or families of Tsilhqot'in people lived in different locations across a vast territory. The creation of reserves was a consequence of requests made by these clans or families through their chiefs. Prior to and after the allocation of reserves, Tsilhqot'in people watched as Europeans pre-empted land that was a part of Tsilhqot'in territory. The requests for reserves were as much a part of self-preservation as anything else; a way of protecting some smaller part of the whole from pre-emption by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468</w:t>
      </w:r>
      <w:r>
        <w:rPr>
          <w:rFonts w:ascii="arial" w:eastAsia="arial" w:hAnsi="arial" w:cs="arial"/>
          <w:color w:val="000000"/>
          <w:sz w:val="20"/>
          <w:lang w:val="en-US" w:eastAsia="en-US" w:bidi="ar-SA"/>
        </w:rPr>
        <w:t>  In the modern Tsilhqot'in political structure, Xeni Gwet'in people are viewed amongst Tsilhqot'in people as the caretakers of the lands in and about Xeni, including Tachelach'ed. Other bands are considered to be the caretakers of the lands that surround their reserves. Still, the caretakers have no more rights to the land or the resources than any other Tsilhqot'in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469</w:t>
      </w:r>
      <w:r>
        <w:rPr>
          <w:rFonts w:ascii="arial" w:eastAsia="arial" w:hAnsi="arial" w:cs="arial"/>
          <w:color w:val="000000"/>
          <w:sz w:val="20"/>
          <w:lang w:val="en-US" w:eastAsia="en-US" w:bidi="ar-SA"/>
        </w:rPr>
        <w:t>  The setting aside of reserves and the establishment of bands was a convenience to government at both levels. The creation of bands did not alter the true identity of the people. Their true identity lies in their Tsilhqot'in lineage, their shared language, customs, traditions and historical experiences. While band level organization may have meaning to a Canadian federal bureaucracy, it is without any meaning in the resolution of Aboriginal title and rights for Tsilhqot'in people.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470</w:t>
      </w:r>
      <w:r>
        <w:rPr>
          <w:rFonts w:ascii="arial" w:eastAsia="arial" w:hAnsi="arial" w:cs="arial"/>
          <w:color w:val="000000"/>
          <w:sz w:val="20"/>
          <w:lang w:val="en-US" w:eastAsia="en-US" w:bidi="ar-SA"/>
        </w:rPr>
        <w:t>  I conclude that the proper rights holder, whether for Aboriginal title or Aboriginal rights, is the community of Tsilhqot'in people. Tsilhqot'in people were the historic community of people sharing language, customs, traditions, historical experience, territory and resources at the time of first contact and at sovereignty assertion. The Aboriginal rights of individual Tsilhqot'in people or any other sub- group within the Tsilhqot'in Nation are derived from the collective actions, shared language, traditions and shared historical experiences of the members of the Tsilhqot'in 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471</w:t>
      </w:r>
      <w:r>
        <w:rPr>
          <w:rFonts w:ascii="arial" w:eastAsia="arial" w:hAnsi="arial" w:cs="arial"/>
          <w:color w:val="000000"/>
          <w:sz w:val="20"/>
          <w:lang w:val="en-US" w:eastAsia="en-US" w:bidi="ar-SA"/>
        </w:rPr>
        <w:t>  This conclusion accords with Professor Slattery's view of the law of Aboriginal title. In his article entitled "Understanding Aboriginal Rights" (1987), 66 Can. Bar Rev. 727, at p. 745, Professor Slattery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What role, then, does native custom play in this scheme? The answer lies in the fact that, while the doctrine of aboriginal land rights governs the title of a native group considered as a collective unit, it does not regulate the rights of group members among themselves. Subject, always, to valid legislation, the latter are governed by rules peculiar to the group, as laid down by custom or internal governmental organs.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Thus, the doctrine of aboriginal land rights attributes to native groups a collective title with certain general features. The character of this collective title is not governed by traditional notions or practices, and so does not vary from group to group. However, the rights of individuals and other entities within the group are determined </w:t>
      </w:r>
      <w:r>
        <w:rPr>
          <w:rFonts w:ascii="arial" w:eastAsia="arial" w:hAnsi="arial" w:cs="arial"/>
          <w:i/>
          <w:color w:val="000000"/>
          <w:sz w:val="20"/>
          <w:lang w:val="en-US" w:eastAsia="en-US" w:bidi="ar-SA"/>
        </w:rPr>
        <w:t>inter se</w:t>
      </w:r>
      <w:r>
        <w:rPr>
          <w:rFonts w:ascii="arial" w:eastAsia="arial" w:hAnsi="arial" w:cs="arial"/>
          <w:color w:val="000000"/>
          <w:sz w:val="20"/>
          <w:lang w:val="en-US" w:eastAsia="en-US" w:bidi="ar-SA"/>
        </w:rPr>
        <w:t>, not by the doctrine of aboriginal title, but by internal rules founded on custom. These rules dictate the extent to which any individual, family, lineage, or other sub-group has rights to possess and use lands and resources vested in the entire group. The rules have a customary base, but they are not for that reason necessarily static. Except to the extent they may be otherwise regulated by statute, they are open to both formal and informal change, in accordance with shifting group attitudes, needs, and practices.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[Footnotes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472</w:t>
      </w:r>
      <w:r>
        <w:rPr>
          <w:rFonts w:ascii="arial" w:eastAsia="arial" w:hAnsi="arial" w:cs="arial"/>
          <w:color w:val="000000"/>
          <w:sz w:val="20"/>
          <w:lang w:val="en-US" w:eastAsia="en-US" w:bidi="ar-SA"/>
        </w:rPr>
        <w:t xml:space="preserve">  Almost 20 years later, Professor Slattery's view has not altered. In B. Slattery, "The Metamorphosis of Aboriginal Title", (2006) 85, Can. Bar Rev. 255, he discusses Aboriginal title as a </w:t>
      </w:r>
      <w:r>
        <w:rPr>
          <w:rFonts w:ascii="arial" w:eastAsia="arial" w:hAnsi="arial" w:cs="arial"/>
          <w:i/>
          <w:color w:val="000000"/>
          <w:sz w:val="20"/>
          <w:lang w:val="en-US" w:eastAsia="en-US" w:bidi="ar-SA"/>
        </w:rPr>
        <w:t>sui generis</w:t>
      </w:r>
      <w:r>
        <w:rPr>
          <w:rFonts w:ascii="arial" w:eastAsia="arial" w:hAnsi="arial" w:cs="arial"/>
          <w:color w:val="000000"/>
          <w:sz w:val="20"/>
          <w:lang w:val="en-US" w:eastAsia="en-US" w:bidi="ar-SA"/>
        </w:rPr>
        <w:t xml:space="preserve"> right at common law and says, in part, at p. 270: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According to this theory, aboriginal title is not grounded in English property law, nor is it based on the customary laws of particular Indigenous groups. It is a distinctive form of title - a </w:t>
      </w:r>
      <w:r>
        <w:rPr>
          <w:rFonts w:ascii="arial" w:eastAsia="arial" w:hAnsi="arial" w:cs="arial"/>
          <w:i/>
          <w:color w:val="000000"/>
          <w:sz w:val="20"/>
          <w:lang w:val="en-US" w:eastAsia="en-US" w:bidi="ar-SA"/>
        </w:rPr>
        <w:t>sui generis</w:t>
      </w:r>
      <w:r>
        <w:rPr>
          <w:rFonts w:ascii="arial" w:eastAsia="arial" w:hAnsi="arial" w:cs="arial"/>
          <w:color w:val="000000"/>
          <w:sz w:val="20"/>
          <w:lang w:val="en-US" w:eastAsia="en-US" w:bidi="ar-SA"/>
        </w:rPr>
        <w:t xml:space="preserve"> right - that gives an Indigenous group the exclusive right to possess and use its traditional lands for such purposes as it sees fit, subject to the restriction that the lands cannot be transferred to outsiders but may only be ceded to or shared with the Crown, which holds an underlying title to the land.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Viewed </w:t>
      </w:r>
      <w:r>
        <w:rPr>
          <w:rFonts w:ascii="arial" w:eastAsia="arial" w:hAnsi="arial" w:cs="arial"/>
          <w:i/>
          <w:color w:val="000000"/>
          <w:sz w:val="20"/>
          <w:lang w:val="en-US" w:eastAsia="en-US" w:bidi="ar-SA"/>
        </w:rPr>
        <w:t>externally</w:t>
      </w:r>
      <w:r>
        <w:rPr>
          <w:rFonts w:ascii="arial" w:eastAsia="arial" w:hAnsi="arial" w:cs="arial"/>
          <w:color w:val="000000"/>
          <w:sz w:val="20"/>
          <w:lang w:val="en-US" w:eastAsia="en-US" w:bidi="ar-SA"/>
        </w:rPr>
        <w:t xml:space="preserve">, aboriginal title is a uniform right, which does not differ from group to group. Viewed </w:t>
      </w:r>
      <w:r>
        <w:rPr>
          <w:rFonts w:ascii="arial" w:eastAsia="arial" w:hAnsi="arial" w:cs="arial"/>
          <w:i/>
          <w:color w:val="000000"/>
          <w:sz w:val="20"/>
          <w:lang w:val="en-US" w:eastAsia="en-US" w:bidi="ar-SA"/>
        </w:rPr>
        <w:t>internally</w:t>
      </w:r>
      <w:r>
        <w:rPr>
          <w:rFonts w:ascii="arial" w:eastAsia="arial" w:hAnsi="arial" w:cs="arial"/>
          <w:color w:val="000000"/>
          <w:sz w:val="20"/>
          <w:lang w:val="en-US" w:eastAsia="en-US" w:bidi="ar-SA"/>
        </w:rPr>
        <w:t>, it delimits a sphere within which the customary legal system of each group continues to operate, regulating the manner in which the lands are used by group members and evolving to take account of new needs and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 ABORIGINAL TITLE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 Nature of Aboriginal Title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473</w:t>
      </w:r>
      <w:r>
        <w:rPr>
          <w:rFonts w:ascii="arial" w:eastAsia="arial" w:hAnsi="arial" w:cs="arial"/>
          <w:color w:val="000000"/>
          <w:sz w:val="20"/>
          <w:lang w:val="en-US" w:eastAsia="en-US" w:bidi="ar-SA"/>
        </w:rPr>
        <w:t xml:space="preserve">  The origin and nature of Aboriginal title in Canada has been the subject of great debate both inside and outside the courts. Canadian courts began to outline and define Aboriginal title (also referred to as Indian title or native title) in </w:t>
      </w:r>
      <w:r>
        <w:rPr>
          <w:rFonts w:ascii="arial" w:eastAsia="arial" w:hAnsi="arial" w:cs="arial"/>
          <w:b/>
          <w:i/>
          <w:color w:val="000000"/>
          <w:sz w:val="20"/>
          <w:lang w:val="en-US" w:eastAsia="en-US" w:bidi="ar-SA"/>
        </w:rPr>
        <w:t>St. Catherine's Milling and Lumber Company v. The Queen</w:t>
      </w:r>
      <w:r>
        <w:rPr>
          <w:rFonts w:ascii="arial" w:eastAsia="arial" w:hAnsi="arial" w:cs="arial"/>
          <w:color w:val="000000"/>
          <w:sz w:val="20"/>
          <w:lang w:val="en-US" w:eastAsia="en-US" w:bidi="ar-SA"/>
        </w:rPr>
        <w:t xml:space="preserve"> (1888), 14 App. Cas. 46 (P.C.). That case arose out of a timber licensing dispute in the Province of Ontario and did not directly involve Aboriginal people. In 1873 the Saulteaux Tribe ceded certain lands to the federal Crown when they entered into Treaty 3. The company claimed it had a right to log on those lands pursuant to a licence issued by the Canadian government. The Province argued it had the sole authority to license pursuant to s. 109 of the </w:t>
      </w:r>
      <w:r>
        <w:rPr>
          <w:rFonts w:ascii="arial" w:eastAsia="arial" w:hAnsi="arial" w:cs="arial"/>
          <w:b/>
          <w:i/>
          <w:color w:val="000000"/>
          <w:sz w:val="20"/>
          <w:lang w:val="en-US" w:eastAsia="en-US" w:bidi="ar-SA"/>
        </w:rPr>
        <w:t>British North America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474</w:t>
      </w:r>
      <w:r>
        <w:rPr>
          <w:rFonts w:ascii="arial" w:eastAsia="arial" w:hAnsi="arial" w:cs="arial"/>
          <w:color w:val="000000"/>
          <w:sz w:val="20"/>
          <w:lang w:val="en-US" w:eastAsia="en-US" w:bidi="ar-SA"/>
        </w:rPr>
        <w:t xml:space="preserve">  The case was ultimately decided by the Privy Council who made several significant findings. The first was that Indian title to lands in Ontario originated from the </w:t>
      </w:r>
      <w:r>
        <w:rPr>
          <w:rFonts w:ascii="arial" w:eastAsia="arial" w:hAnsi="arial" w:cs="arial"/>
          <w:b/>
          <w:i/>
          <w:color w:val="000000"/>
          <w:sz w:val="20"/>
          <w:lang w:val="en-US" w:eastAsia="en-US" w:bidi="ar-SA"/>
        </w:rPr>
        <w:t>Royal Proclamation</w:t>
      </w:r>
      <w:r>
        <w:rPr>
          <w:rFonts w:ascii="arial" w:eastAsia="arial" w:hAnsi="arial" w:cs="arial"/>
          <w:color w:val="000000"/>
          <w:sz w:val="20"/>
          <w:lang w:val="en-US" w:eastAsia="en-US" w:bidi="ar-SA"/>
        </w:rPr>
        <w:t xml:space="preserve"> (1763), R.S.C. 1985, App. II, No. 1. Lord Watson, speaking for the Court, expressed the view that the land "tenure of the Indians was a personal and usufructuary right, dependant upon the good will of the Sovereign": </w:t>
      </w:r>
      <w:r>
        <w:rPr>
          <w:rFonts w:ascii="arial" w:eastAsia="arial" w:hAnsi="arial" w:cs="arial"/>
          <w:b/>
          <w:i/>
          <w:color w:val="000000"/>
          <w:sz w:val="20"/>
          <w:lang w:val="en-US" w:eastAsia="en-US" w:bidi="ar-SA"/>
        </w:rPr>
        <w:t>St. Catherine's Milling</w:t>
      </w:r>
      <w:r>
        <w:rPr>
          <w:rFonts w:ascii="arial" w:eastAsia="arial" w:hAnsi="arial" w:cs="arial"/>
          <w:color w:val="000000"/>
          <w:sz w:val="20"/>
          <w:lang w:val="en-US" w:eastAsia="en-US" w:bidi="ar-SA"/>
        </w:rPr>
        <w:t>, p. 54.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475</w:t>
      </w:r>
      <w:r>
        <w:rPr>
          <w:rFonts w:ascii="arial" w:eastAsia="arial" w:hAnsi="arial" w:cs="arial"/>
          <w:color w:val="000000"/>
          <w:sz w:val="20"/>
          <w:lang w:val="en-US" w:eastAsia="en-US" w:bidi="ar-SA"/>
        </w:rPr>
        <w:t>  A usufruct is a legal right to use, benefit from and derive profit from property belonging to another person, provided the property is not damaged or altered in any way. According to this concept of title, the Aboriginal occupants have the right to live on the lands but they are prevented from doing anything that would affect the underlying title held by the Crown.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476</w:t>
      </w:r>
      <w:r>
        <w:rPr>
          <w:rFonts w:ascii="arial" w:eastAsia="arial" w:hAnsi="arial" w:cs="arial"/>
          <w:color w:val="000000"/>
          <w:sz w:val="20"/>
          <w:lang w:val="en-US" w:eastAsia="en-US" w:bidi="ar-SA"/>
        </w:rPr>
        <w:t xml:space="preserve">  The Privy Council also found that the Crown "all along had a present proprietary estate in the land, upon which the Indian title was a mere burden": </w:t>
      </w:r>
      <w:r>
        <w:rPr>
          <w:rFonts w:ascii="arial" w:eastAsia="arial" w:hAnsi="arial" w:cs="arial"/>
          <w:b/>
          <w:i/>
          <w:color w:val="000000"/>
          <w:sz w:val="20"/>
          <w:lang w:val="en-US" w:eastAsia="en-US" w:bidi="ar-SA"/>
        </w:rPr>
        <w:t>St. Catherine's Milling</w:t>
      </w:r>
      <w:r>
        <w:rPr>
          <w:rFonts w:ascii="arial" w:eastAsia="arial" w:hAnsi="arial" w:cs="arial"/>
          <w:color w:val="000000"/>
          <w:sz w:val="20"/>
          <w:lang w:val="en-US" w:eastAsia="en-US" w:bidi="ar-SA"/>
        </w:rPr>
        <w:t xml:space="preserve"> at p. 58. The personal usufructuary right held by the Saulteaux people disappeared when the lands were surrendered to the Crown under the 1873 treaty. The Court held that the federal government ceased to have jurisdiction over the lands pursuant to s. 91(24) of the </w:t>
      </w:r>
      <w:r>
        <w:rPr>
          <w:rFonts w:ascii="arial" w:eastAsia="arial" w:hAnsi="arial" w:cs="arial"/>
          <w:b/>
          <w:i/>
          <w:color w:val="000000"/>
          <w:sz w:val="20"/>
          <w:lang w:val="en-US" w:eastAsia="en-US" w:bidi="ar-SA"/>
        </w:rPr>
        <w:t>BNA Act</w:t>
      </w:r>
      <w:r>
        <w:rPr>
          <w:rFonts w:ascii="arial" w:eastAsia="arial" w:hAnsi="arial" w:cs="arial"/>
          <w:color w:val="000000"/>
          <w:sz w:val="20"/>
          <w:lang w:val="en-US" w:eastAsia="en-US" w:bidi="ar-SA"/>
        </w:rPr>
        <w:t xml:space="preserve"> because the entire beneficial interest passed to the Province of Ontario under s. 109.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477</w:t>
      </w:r>
      <w:r>
        <w:rPr>
          <w:rFonts w:ascii="arial" w:eastAsia="arial" w:hAnsi="arial" w:cs="arial"/>
          <w:color w:val="000000"/>
          <w:sz w:val="20"/>
          <w:lang w:val="en-US" w:eastAsia="en-US" w:bidi="ar-SA"/>
        </w:rPr>
        <w:t xml:space="preserve">  The Privy Council later qualified its description of the Aboriginal interest as a personal right. The Court explained that "personal" meant the land was "inalienable except by surrender to the Crown": </w:t>
      </w:r>
      <w:r>
        <w:rPr>
          <w:rFonts w:ascii="arial" w:eastAsia="arial" w:hAnsi="arial" w:cs="arial"/>
          <w:b/>
          <w:i/>
          <w:color w:val="000000"/>
          <w:sz w:val="20"/>
          <w:lang w:val="en-US" w:eastAsia="en-US" w:bidi="ar-SA"/>
        </w:rPr>
        <w:t>Attorney General (Quebec) v. Attorney General (Canada)</w:t>
      </w:r>
      <w:r>
        <w:rPr>
          <w:rFonts w:ascii="arial" w:eastAsia="arial" w:hAnsi="arial" w:cs="arial"/>
          <w:color w:val="000000"/>
          <w:sz w:val="20"/>
          <w:lang w:val="en-US" w:eastAsia="en-US" w:bidi="ar-SA"/>
        </w:rPr>
        <w:t xml:space="preserve">, </w:t>
      </w:r>
      <w:hyperlink r:id="rId675" w:history="1">
        <w:r>
          <w:rPr>
            <w:rFonts w:ascii="arial" w:eastAsia="arial" w:hAnsi="arial" w:cs="arial"/>
            <w:i/>
            <w:color w:val="0077CC"/>
            <w:sz w:val="20"/>
            <w:u w:val="single"/>
            <w:shd w:val="clear" w:color="auto" w:fill="FFFFFF"/>
            <w:lang w:val="en-US" w:eastAsia="en-US" w:bidi="ar-SA"/>
          </w:rPr>
          <w:t>[1921] 1 A.C. 401</w:t>
        </w:r>
      </w:hyperlink>
      <w:r>
        <w:rPr>
          <w:rFonts w:ascii="arial" w:eastAsia="arial" w:hAnsi="arial" w:cs="arial"/>
          <w:color w:val="000000"/>
          <w:sz w:val="20"/>
          <w:lang w:val="en-US" w:eastAsia="en-US" w:bidi="ar-SA"/>
        </w:rPr>
        <w:t xml:space="preserve">, pp. 410-411 (P.C.) (the </w:t>
      </w:r>
      <w:r>
        <w:rPr>
          <w:rFonts w:ascii="arial" w:eastAsia="arial" w:hAnsi="arial" w:cs="arial"/>
          <w:b/>
          <w:i/>
          <w:color w:val="000000"/>
          <w:sz w:val="20"/>
          <w:lang w:val="en-US" w:eastAsia="en-US" w:bidi="ar-SA"/>
        </w:rPr>
        <w:t>Star Chrome</w:t>
      </w:r>
      <w:r>
        <w:rPr>
          <w:rFonts w:ascii="arial" w:eastAsia="arial" w:hAnsi="arial" w:cs="arial"/>
          <w:color w:val="000000"/>
          <w:sz w:val="20"/>
          <w:lang w:val="en-US" w:eastAsia="en-US" w:bidi="ar-SA"/>
        </w:rPr>
        <w:t xml:space="preserve"> case). The right was thought to be held at the pleasure of the Crown and could be extinguished at any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478</w:t>
      </w:r>
      <w:r>
        <w:rPr>
          <w:rFonts w:ascii="arial" w:eastAsia="arial" w:hAnsi="arial" w:cs="arial"/>
          <w:color w:val="000000"/>
          <w:sz w:val="20"/>
          <w:lang w:val="en-US" w:eastAsia="en-US" w:bidi="ar-SA"/>
        </w:rPr>
        <w:t xml:space="preserve">  The description of Aboriginal title as a usufructuary right was favoured by the Supreme Court of Canada into the 1980's: see, for example, </w:t>
      </w:r>
      <w:r>
        <w:rPr>
          <w:rFonts w:ascii="arial" w:eastAsia="arial" w:hAnsi="arial" w:cs="arial"/>
          <w:b/>
          <w:i/>
          <w:color w:val="000000"/>
          <w:sz w:val="20"/>
          <w:lang w:val="en-US" w:eastAsia="en-US" w:bidi="ar-SA"/>
        </w:rPr>
        <w:t>Smith v. The Queen</w:t>
      </w:r>
      <w:r>
        <w:rPr>
          <w:rFonts w:ascii="arial" w:eastAsia="arial" w:hAnsi="arial" w:cs="arial"/>
          <w:color w:val="000000"/>
          <w:sz w:val="20"/>
          <w:lang w:val="en-US" w:eastAsia="en-US" w:bidi="ar-SA"/>
        </w:rPr>
        <w:t xml:space="preserve">, </w:t>
      </w:r>
      <w:hyperlink r:id="rId676" w:history="1">
        <w:r>
          <w:rPr>
            <w:rFonts w:ascii="arial" w:eastAsia="arial" w:hAnsi="arial" w:cs="arial"/>
            <w:i/>
            <w:color w:val="0077CC"/>
            <w:sz w:val="20"/>
            <w:u w:val="single"/>
            <w:shd w:val="clear" w:color="auto" w:fill="FFFFFF"/>
            <w:lang w:val="en-US" w:eastAsia="en-US" w:bidi="ar-SA"/>
          </w:rPr>
          <w:t>[1983] 1 S.C.R. 554</w:t>
        </w:r>
      </w:hyperlink>
      <w:r>
        <w:rPr>
          <w:rFonts w:ascii="arial" w:eastAsia="arial" w:hAnsi="arial" w:cs="arial"/>
          <w:color w:val="000000"/>
          <w:sz w:val="20"/>
          <w:lang w:val="en-US" w:eastAsia="en-US" w:bidi="ar-SA"/>
        </w:rPr>
        <w:t xml:space="preserve"> at pp. 561-2; </w:t>
      </w:r>
      <w:r>
        <w:rPr>
          <w:rFonts w:ascii="arial" w:eastAsia="arial" w:hAnsi="arial" w:cs="arial"/>
          <w:b/>
          <w:i/>
          <w:color w:val="000000"/>
          <w:sz w:val="20"/>
          <w:lang w:val="en-US" w:eastAsia="en-US" w:bidi="ar-SA"/>
        </w:rPr>
        <w:t>Guerin v. The Queen</w:t>
      </w:r>
      <w:r>
        <w:rPr>
          <w:rFonts w:ascii="arial" w:eastAsia="arial" w:hAnsi="arial" w:cs="arial"/>
          <w:color w:val="000000"/>
          <w:sz w:val="20"/>
          <w:lang w:val="en-US" w:eastAsia="en-US" w:bidi="ar-SA"/>
        </w:rPr>
        <w:t xml:space="preserve">, </w:t>
      </w:r>
      <w:hyperlink r:id="rId51" w:history="1">
        <w:r>
          <w:rPr>
            <w:rFonts w:ascii="arial" w:eastAsia="arial" w:hAnsi="arial" w:cs="arial"/>
            <w:i/>
            <w:color w:val="0077CC"/>
            <w:sz w:val="20"/>
            <w:u w:val="single"/>
            <w:shd w:val="clear" w:color="auto" w:fill="FFFFFF"/>
            <w:lang w:val="en-US" w:eastAsia="en-US" w:bidi="ar-SA"/>
          </w:rPr>
          <w:t>[1984] 2 S.C.R. 335</w:t>
        </w:r>
      </w:hyperlink>
      <w:r>
        <w:rPr>
          <w:rFonts w:ascii="arial" w:eastAsia="arial" w:hAnsi="arial" w:cs="arial"/>
          <w:color w:val="000000"/>
          <w:sz w:val="20"/>
          <w:lang w:val="en-US" w:eastAsia="en-US" w:bidi="ar-SA"/>
        </w:rPr>
        <w:t xml:space="preserve">, per Dickson J. at p. 379 and p. 382. Viewed through a more contemporary lens, it is not surprising the Supreme Court of Canada has found that describing Aboriginal title as a usufructuary right is "not particularly helpful": </w:t>
      </w:r>
      <w:r>
        <w:rPr>
          <w:rFonts w:ascii="arial" w:eastAsia="arial" w:hAnsi="arial" w:cs="arial"/>
          <w:b/>
          <w:i/>
          <w:color w:val="000000"/>
          <w:sz w:val="20"/>
          <w:lang w:val="en-US" w:eastAsia="en-US" w:bidi="ar-SA"/>
        </w:rPr>
        <w:t>Delgamuukw</w:t>
      </w:r>
      <w:r>
        <w:rPr>
          <w:rFonts w:ascii="arial" w:eastAsia="arial" w:hAnsi="arial" w:cs="arial"/>
          <w:color w:val="000000"/>
          <w:sz w:val="20"/>
          <w:lang w:val="en-US" w:eastAsia="en-US" w:bidi="ar-SA"/>
        </w:rPr>
        <w:t xml:space="preserve"> (S.C.C.) at para. 112. Given the nature of Aboriginal title as now defined by the jurisprudence, it is fair to say that it can no longer be characterized as a usufructuary 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479</w:t>
      </w:r>
      <w:r>
        <w:rPr>
          <w:rFonts w:ascii="arial" w:eastAsia="arial" w:hAnsi="arial" w:cs="arial"/>
          <w:color w:val="000000"/>
          <w:sz w:val="20"/>
          <w:lang w:val="en-US" w:eastAsia="en-US" w:bidi="ar-SA"/>
        </w:rPr>
        <w:t>  The historical view of Aboriginal title grew out of Canada's colonial past, what Professor Slattery calls "the Imperial Model of the Constitution": Slattery, B. "The Organic Constitution: Aboriginal Peoples And The Evolution of Canada" (1995) 34 Osg. Hall. L.J. 101 at p.103. This concept of the Constitution is constructed upon British law, primarily consisting of statutes passed by the Imperial Parliament. From this perspective Aboriginal people had no inherent jurisdiction over their lands and peoples, and had only those rights that were recognized by a Crown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480</w:t>
      </w:r>
      <w:r>
        <w:rPr>
          <w:rFonts w:ascii="arial" w:eastAsia="arial" w:hAnsi="arial" w:cs="arial"/>
          <w:color w:val="000000"/>
          <w:sz w:val="20"/>
          <w:lang w:val="en-US" w:eastAsia="en-US" w:bidi="ar-SA"/>
        </w:rPr>
        <w:t xml:space="preserve">  Prior to the 1970's, there was little support in Canadian law for the recognition of Aboriginal title, unless the claim was based on the </w:t>
      </w:r>
      <w:r>
        <w:rPr>
          <w:rFonts w:ascii="arial" w:eastAsia="arial" w:hAnsi="arial" w:cs="arial"/>
          <w:b/>
          <w:i/>
          <w:color w:val="000000"/>
          <w:sz w:val="20"/>
          <w:lang w:val="en-US" w:eastAsia="en-US" w:bidi="ar-SA"/>
        </w:rPr>
        <w:t>Royal Proclamation, 1763</w:t>
      </w:r>
      <w:r>
        <w:rPr>
          <w:rFonts w:ascii="arial" w:eastAsia="arial" w:hAnsi="arial" w:cs="arial"/>
          <w:color w:val="000000"/>
          <w:sz w:val="20"/>
          <w:lang w:val="en-US" w:eastAsia="en-US" w:bidi="ar-SA"/>
        </w:rPr>
        <w:t xml:space="preserve">. D.W. Elliott summarized the situation in an article entitled "Aboriginal Title" reproduced in Morse, ed., </w:t>
      </w:r>
      <w:r>
        <w:rPr>
          <w:rFonts w:ascii="arial" w:eastAsia="arial" w:hAnsi="arial" w:cs="arial"/>
          <w:i/>
          <w:color w:val="000000"/>
          <w:sz w:val="20"/>
          <w:lang w:val="en-US" w:eastAsia="en-US" w:bidi="ar-SA"/>
        </w:rPr>
        <w:t>Aboriginal Peoples and the Law</w:t>
      </w:r>
      <w:r>
        <w:rPr>
          <w:rFonts w:ascii="arial" w:eastAsia="arial" w:hAnsi="arial" w:cs="arial"/>
          <w:color w:val="000000"/>
          <w:sz w:val="20"/>
          <w:lang w:val="en-US" w:eastAsia="en-US" w:bidi="ar-SA"/>
        </w:rPr>
        <w:t xml:space="preserve"> (Ottawa: Carleton University Press, 1985) 48 at p. 61: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By January 1973, the Canadian common law position on the question of the legal status of aboriginal title was little different from that resulting from the </w:t>
      </w:r>
      <w:r>
        <w:rPr>
          <w:rFonts w:ascii="arial" w:eastAsia="arial" w:hAnsi="arial" w:cs="arial"/>
          <w:i/>
          <w:color w:val="000000"/>
          <w:sz w:val="20"/>
          <w:lang w:val="en-US" w:eastAsia="en-US" w:bidi="ar-SA"/>
        </w:rPr>
        <w:t>St. Catharine's</w:t>
      </w:r>
      <w:r>
        <w:rPr>
          <w:rFonts w:ascii="arial" w:eastAsia="arial" w:hAnsi="arial" w:cs="arial"/>
          <w:color w:val="000000"/>
          <w:sz w:val="20"/>
          <w:lang w:val="en-US" w:eastAsia="en-US" w:bidi="ar-SA"/>
        </w:rPr>
        <w:t xml:space="preserve"> case eighty-four years earlier. Canadian courts recognized a Proclamation-based title. Although this title had legal status, it was subject to all the geographical and other uncertainties of the Proclamation. There was no clear indication from the courts as to whether the broader concept of an occupancy-based right had any status at common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481</w:t>
      </w:r>
      <w:r>
        <w:rPr>
          <w:rFonts w:ascii="arial" w:eastAsia="arial" w:hAnsi="arial" w:cs="arial"/>
          <w:color w:val="000000"/>
          <w:sz w:val="20"/>
          <w:lang w:val="en-US" w:eastAsia="en-US" w:bidi="ar-SA"/>
        </w:rPr>
        <w:t xml:space="preserve">  The notion of an occupancy-based Aboriginal title started to gain acceptance at a time when countries such as Canada began the process of decolonization. The first major phase of decolonization began after the Second World War, spurred on by the work of the United Nations. The United Nations was setting a new agenda for human rights and equality of the world's peoples: see Peter H. Russell, </w:t>
      </w:r>
      <w:r>
        <w:rPr>
          <w:rFonts w:ascii="arial" w:eastAsia="arial" w:hAnsi="arial" w:cs="arial"/>
          <w:i/>
          <w:color w:val="000000"/>
          <w:sz w:val="20"/>
          <w:lang w:val="en-US" w:eastAsia="en-US" w:bidi="ar-SA"/>
        </w:rPr>
        <w:t>Recognizing Aboriginal Title</w:t>
      </w:r>
      <w:r>
        <w:rPr>
          <w:rFonts w:ascii="arial" w:eastAsia="arial" w:hAnsi="arial" w:cs="arial"/>
          <w:color w:val="000000"/>
          <w:sz w:val="20"/>
          <w:lang w:val="en-US" w:eastAsia="en-US" w:bidi="ar-SA"/>
        </w:rPr>
        <w:t xml:space="preserve">, (Toronto: University of Toronto Press, 2005). In Canada decolonization experienced its first legal challenge with the Supreme Court of Canada's decision in </w:t>
      </w:r>
      <w:r>
        <w:rPr>
          <w:rFonts w:ascii="arial" w:eastAsia="arial" w:hAnsi="arial" w:cs="arial"/>
          <w:b/>
          <w:i/>
          <w:color w:val="000000"/>
          <w:sz w:val="20"/>
          <w:lang w:val="en-US" w:eastAsia="en-US" w:bidi="ar-SA"/>
        </w:rPr>
        <w:t>Calder</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482</w:t>
      </w:r>
      <w:r>
        <w:rPr>
          <w:rFonts w:ascii="arial" w:eastAsia="arial" w:hAnsi="arial" w:cs="arial"/>
          <w:color w:val="000000"/>
          <w:sz w:val="20"/>
          <w:lang w:val="en-US" w:eastAsia="en-US" w:bidi="ar-SA"/>
        </w:rPr>
        <w:t>  </w:t>
      </w:r>
      <w:r>
        <w:rPr>
          <w:rFonts w:ascii="arial" w:eastAsia="arial" w:hAnsi="arial" w:cs="arial"/>
          <w:b/>
          <w:i/>
          <w:color w:val="000000"/>
          <w:sz w:val="20"/>
          <w:lang w:val="en-US" w:eastAsia="en-US" w:bidi="ar-SA"/>
        </w:rPr>
        <w:t>Calder</w:t>
      </w:r>
      <w:r>
        <w:rPr>
          <w:rFonts w:ascii="arial" w:eastAsia="arial" w:hAnsi="arial" w:cs="arial"/>
          <w:color w:val="000000"/>
          <w:sz w:val="20"/>
          <w:lang w:val="en-US" w:eastAsia="en-US" w:bidi="ar-SA"/>
        </w:rPr>
        <w:t xml:space="preserve"> was a turning point which changed our basic understanding of Aboriginal rights and allowed us "to move from a framework grounded in imperial history to a framework more open to local history, tradition, and perspectives": Slattery, "The Organic Constitution" at p. 107.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483</w:t>
      </w:r>
      <w:r>
        <w:rPr>
          <w:rFonts w:ascii="arial" w:eastAsia="arial" w:hAnsi="arial" w:cs="arial"/>
          <w:color w:val="000000"/>
          <w:sz w:val="20"/>
          <w:lang w:val="en-US" w:eastAsia="en-US" w:bidi="ar-SA"/>
        </w:rPr>
        <w:t xml:space="preserve">  In the </w:t>
      </w:r>
      <w:r>
        <w:rPr>
          <w:rFonts w:ascii="arial" w:eastAsia="arial" w:hAnsi="arial" w:cs="arial"/>
          <w:b/>
          <w:i/>
          <w:color w:val="000000"/>
          <w:sz w:val="20"/>
          <w:lang w:val="en-US" w:eastAsia="en-US" w:bidi="ar-SA"/>
        </w:rPr>
        <w:t>Calder</w:t>
      </w:r>
      <w:r>
        <w:rPr>
          <w:rFonts w:ascii="arial" w:eastAsia="arial" w:hAnsi="arial" w:cs="arial"/>
          <w:color w:val="000000"/>
          <w:sz w:val="20"/>
          <w:lang w:val="en-US" w:eastAsia="en-US" w:bidi="ar-SA"/>
        </w:rPr>
        <w:t xml:space="preserve"> case the Nishga people sought a declaration of Aboriginal title to lands their ancestors had occupied and used from time immemorial. The Court split three ways, disagreeing on the result. A majority of the Court suggested that Aboriginal title may exist separately from the </w:t>
      </w:r>
      <w:r>
        <w:rPr>
          <w:rFonts w:ascii="arial" w:eastAsia="arial" w:hAnsi="arial" w:cs="arial"/>
          <w:b/>
          <w:i/>
          <w:color w:val="000000"/>
          <w:sz w:val="20"/>
          <w:lang w:val="en-US" w:eastAsia="en-US" w:bidi="ar-SA"/>
        </w:rPr>
        <w:t>Royal Proclamation</w:t>
      </w:r>
      <w:r>
        <w:rPr>
          <w:rFonts w:ascii="arial" w:eastAsia="arial" w:hAnsi="arial" w:cs="arial"/>
          <w:color w:val="000000"/>
          <w:sz w:val="20"/>
          <w:lang w:val="en-US" w:eastAsia="en-US" w:bidi="ar-SA"/>
        </w:rPr>
        <w:t xml:space="preserve">. Judson J., speaking for Maitland and Ritchie JJ., found that the geographical limitations of the </w:t>
      </w:r>
      <w:r>
        <w:rPr>
          <w:rFonts w:ascii="arial" w:eastAsia="arial" w:hAnsi="arial" w:cs="arial"/>
          <w:b/>
          <w:i/>
          <w:color w:val="000000"/>
          <w:sz w:val="20"/>
          <w:lang w:val="en-US" w:eastAsia="en-US" w:bidi="ar-SA"/>
        </w:rPr>
        <w:t>Royal Proclamation</w:t>
      </w:r>
      <w:r>
        <w:rPr>
          <w:rFonts w:ascii="arial" w:eastAsia="arial" w:hAnsi="arial" w:cs="arial"/>
          <w:color w:val="000000"/>
          <w:sz w:val="20"/>
          <w:lang w:val="en-US" w:eastAsia="en-US" w:bidi="ar-SA"/>
        </w:rPr>
        <w:t xml:space="preserve"> meant that it had no bearing upon the question of "Indian title" in British Columbia. He went on to observe at p. 328: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fact is that when the settlers came, the Indians were there, organized in societies and occupying the land as their forefathers had done for centuries. This is what Indian title means and it does not help one in the solution of this problem to call it a "personal or usufructuary right". What they are asserting in this action is that they had a right to continue to live on their lands as their forefathers had lived and that this right has never been lawfully extinguished. There can be no question that this right was "dependent on the goodwill of the Sovereign".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484</w:t>
      </w:r>
      <w:r>
        <w:rPr>
          <w:rFonts w:ascii="arial" w:eastAsia="arial" w:hAnsi="arial" w:cs="arial"/>
          <w:color w:val="000000"/>
          <w:sz w:val="20"/>
          <w:lang w:val="en-US" w:eastAsia="en-US" w:bidi="ar-SA"/>
        </w:rPr>
        <w:t>  Judson J. agreed that any right of occupancy had been extinguished in lands not set aside for Indian occupation. He stated at p. 344: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in the present case, the sovereign authority elected to exercise complete dominion over the lands in question, adverse to any right of occupancy which the Nishga Tribe might have had, when, by legislation, it opened up such lands for settlement, subject to the reserves of land set aside for Indian occupation.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485</w:t>
      </w:r>
      <w:r>
        <w:rPr>
          <w:rFonts w:ascii="arial" w:eastAsia="arial" w:hAnsi="arial" w:cs="arial"/>
          <w:color w:val="000000"/>
          <w:sz w:val="20"/>
          <w:lang w:val="en-US" w:eastAsia="en-US" w:bidi="ar-SA"/>
        </w:rPr>
        <w:t xml:space="preserve">  Judson J. would have dismissed the appeal on the ground that title had been extinguished. However, he also agreed with Pigeon J. that the absence of a fiat from the Crown deprived the trial court of jurisdiction. Due to the court's split decision on extinguishment, Pigeon J.'s decision is the </w:t>
      </w:r>
      <w:r>
        <w:rPr>
          <w:rFonts w:ascii="arial" w:eastAsia="arial" w:hAnsi="arial" w:cs="arial"/>
          <w:i/>
          <w:color w:val="000000"/>
          <w:sz w:val="20"/>
          <w:lang w:val="en-US" w:eastAsia="en-US" w:bidi="ar-SA"/>
        </w:rPr>
        <w:t>ratio decidendi</w:t>
      </w:r>
      <w:r>
        <w:rPr>
          <w:rFonts w:ascii="arial" w:eastAsia="arial" w:hAnsi="arial" w:cs="arial"/>
          <w:color w:val="000000"/>
          <w:sz w:val="20"/>
          <w:lang w:val="en-US" w:eastAsia="en-US" w:bidi="ar-SA"/>
        </w:rPr>
        <w:t xml:space="preserve"> of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486</w:t>
      </w:r>
      <w:r>
        <w:rPr>
          <w:rFonts w:ascii="arial" w:eastAsia="arial" w:hAnsi="arial" w:cs="arial"/>
          <w:color w:val="000000"/>
          <w:sz w:val="20"/>
          <w:lang w:val="en-US" w:eastAsia="en-US" w:bidi="ar-SA"/>
        </w:rPr>
        <w:t>  Hall J., speaking for Spence and Laskin JJ., disagreed with Judson J. on the extinguishment issue. He concluded that if a right was to be extinguished, it must be done by specific legislation, not by general land legislation.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487</w:t>
      </w:r>
      <w:r>
        <w:rPr>
          <w:rFonts w:ascii="arial" w:eastAsia="arial" w:hAnsi="arial" w:cs="arial"/>
          <w:color w:val="000000"/>
          <w:sz w:val="20"/>
          <w:lang w:val="en-US" w:eastAsia="en-US" w:bidi="ar-SA"/>
        </w:rPr>
        <w:t xml:space="preserve">  In what appears as a fresh approach to the issue of Aboriginal title, Hall J. recognized that the Nishga people were a distinctive cultural entity "with concepts of ownership indigenous to their culture and capable of articulation under the common law": </w:t>
      </w:r>
      <w:r>
        <w:rPr>
          <w:rFonts w:ascii="arial" w:eastAsia="arial" w:hAnsi="arial" w:cs="arial"/>
          <w:b/>
          <w:i/>
          <w:color w:val="000000"/>
          <w:sz w:val="20"/>
          <w:lang w:val="en-US" w:eastAsia="en-US" w:bidi="ar-SA"/>
        </w:rPr>
        <w:t>Calder</w:t>
      </w:r>
      <w:r>
        <w:rPr>
          <w:rFonts w:ascii="arial" w:eastAsia="arial" w:hAnsi="arial" w:cs="arial"/>
          <w:color w:val="000000"/>
          <w:sz w:val="20"/>
          <w:lang w:val="en-US" w:eastAsia="en-US" w:bidi="ar-SA"/>
        </w:rPr>
        <w:t>, p. 375.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488</w:t>
      </w:r>
      <w:r>
        <w:rPr>
          <w:rFonts w:ascii="arial" w:eastAsia="arial" w:hAnsi="arial" w:cs="arial"/>
          <w:color w:val="000000"/>
          <w:sz w:val="20"/>
          <w:lang w:val="en-US" w:eastAsia="en-US" w:bidi="ar-SA"/>
        </w:rPr>
        <w:t xml:space="preserve">  A question left open by Hall J. was whether Aboriginal possession of the kind disclosed by the admitted and proved facts in </w:t>
      </w:r>
      <w:r>
        <w:rPr>
          <w:rFonts w:ascii="arial" w:eastAsia="arial" w:hAnsi="arial" w:cs="arial"/>
          <w:b/>
          <w:i/>
          <w:color w:val="000000"/>
          <w:sz w:val="20"/>
          <w:lang w:val="en-US" w:eastAsia="en-US" w:bidi="ar-SA"/>
        </w:rPr>
        <w:t>Calder</w:t>
      </w:r>
      <w:r>
        <w:rPr>
          <w:rFonts w:ascii="arial" w:eastAsia="arial" w:hAnsi="arial" w:cs="arial"/>
          <w:color w:val="000000"/>
          <w:sz w:val="20"/>
          <w:lang w:val="en-US" w:eastAsia="en-US" w:bidi="ar-SA"/>
        </w:rPr>
        <w:t xml:space="preserve"> was sufficient juridical possession to give rise to proprietary rights. In the Court of Appeal, </w:t>
      </w:r>
      <w:r>
        <w:rPr>
          <w:rFonts w:ascii="arial" w:eastAsia="arial" w:hAnsi="arial" w:cs="arial"/>
          <w:b/>
          <w:i/>
          <w:color w:val="000000"/>
          <w:sz w:val="20"/>
          <w:lang w:val="en-US" w:eastAsia="en-US" w:bidi="ar-SA"/>
        </w:rPr>
        <w:t>Calder v. A.G.B.C.</w:t>
      </w:r>
      <w:r>
        <w:rPr>
          <w:rFonts w:ascii="arial" w:eastAsia="arial" w:hAnsi="arial" w:cs="arial"/>
          <w:color w:val="000000"/>
          <w:sz w:val="20"/>
          <w:lang w:val="en-US" w:eastAsia="en-US" w:bidi="ar-SA"/>
        </w:rPr>
        <w:t xml:space="preserve"> </w:t>
      </w:r>
      <w:hyperlink r:id="rId677" w:history="1">
        <w:r>
          <w:rPr>
            <w:rFonts w:ascii="arial" w:eastAsia="arial" w:hAnsi="arial" w:cs="arial"/>
            <w:i/>
            <w:color w:val="0077CC"/>
            <w:sz w:val="20"/>
            <w:u w:val="single"/>
            <w:shd w:val="clear" w:color="auto" w:fill="FFFFFF"/>
            <w:lang w:val="en-US" w:eastAsia="en-US" w:bidi="ar-SA"/>
          </w:rPr>
          <w:t>(1970), 13 D.L.R. (3d) 64</w:t>
        </w:r>
      </w:hyperlink>
      <w:r>
        <w:rPr>
          <w:rFonts w:ascii="arial" w:eastAsia="arial" w:hAnsi="arial" w:cs="arial"/>
          <w:color w:val="000000"/>
          <w:sz w:val="20"/>
          <w:lang w:val="en-US" w:eastAsia="en-US" w:bidi="ar-SA"/>
        </w:rPr>
        <w:t xml:space="preserve"> (B.C.C.A.) at p. 66, Davey C.J.B.C. explained that although "the boundaries of the Nishga territory were well known to the tribes and to their neighbours ... These were territorial, not proprietary boundaries, and had no connection with notions of ownership of particular parcels of land". The issue of boundaries is one which arises repeatedly in Aboriginal title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489</w:t>
      </w:r>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Calder</w:t>
      </w:r>
      <w:r>
        <w:rPr>
          <w:rFonts w:ascii="arial" w:eastAsia="arial" w:hAnsi="arial" w:cs="arial"/>
          <w:color w:val="000000"/>
          <w:sz w:val="20"/>
          <w:lang w:val="en-US" w:eastAsia="en-US" w:bidi="ar-SA"/>
        </w:rPr>
        <w:t xml:space="preserve"> decision was applied in </w:t>
      </w:r>
      <w:r>
        <w:rPr>
          <w:rFonts w:ascii="arial" w:eastAsia="arial" w:hAnsi="arial" w:cs="arial"/>
          <w:b/>
          <w:i/>
          <w:color w:val="000000"/>
          <w:sz w:val="20"/>
          <w:lang w:val="en-US" w:eastAsia="en-US" w:bidi="ar-SA"/>
        </w:rPr>
        <w:t>Baker Lake</w:t>
      </w:r>
      <w:r>
        <w:rPr>
          <w:rFonts w:ascii="arial" w:eastAsia="arial" w:hAnsi="arial" w:cs="arial"/>
          <w:color w:val="000000"/>
          <w:sz w:val="20"/>
          <w:lang w:val="en-US" w:eastAsia="en-US" w:bidi="ar-SA"/>
        </w:rPr>
        <w:t>. The Inuit people who lived in the Baker Lake area brought an action in the Federal Court of Canada asserting claims over an undefined portion of the Northwest Territories, including approximately 78,000 square kilometres surrounding the community of Baker Lake. The plaintiffs' ancestors lived a nomadic existence on the "barren lands" and their survival depended primarily upon the availability of caribou.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490</w:t>
      </w:r>
      <w:r>
        <w:rPr>
          <w:rFonts w:ascii="arial" w:eastAsia="arial" w:hAnsi="arial" w:cs="arial"/>
          <w:color w:val="000000"/>
          <w:sz w:val="20"/>
          <w:lang w:val="en-US" w:eastAsia="en-US" w:bidi="ar-SA"/>
        </w:rPr>
        <w:t>  The plaintiffs advanced "ownership" claims, including injunctions restraining the Crown from issuing land use permits, and mining companies from mining. They also requested a declaration that the claimed lands were not public or territorial lands. The plaintiffs also made non-proprietary claims of a title to hunt and fish.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491</w:t>
      </w:r>
      <w:r>
        <w:rPr>
          <w:rFonts w:ascii="arial" w:eastAsia="arial" w:hAnsi="arial" w:cs="arial"/>
          <w:color w:val="000000"/>
          <w:sz w:val="20"/>
          <w:lang w:val="en-US" w:eastAsia="en-US" w:bidi="ar-SA"/>
        </w:rPr>
        <w:t xml:space="preserve">  In regard to the hunting and fishing rights claim, the plaintiffs sought "a declaration that the lands comprising the Baker Lake area" were "subject to the aboriginal right and title of the Inuit residing in or near that area to hunt and fish thereon": </w:t>
      </w:r>
      <w:r>
        <w:rPr>
          <w:rFonts w:ascii="arial" w:eastAsia="arial" w:hAnsi="arial" w:cs="arial"/>
          <w:b/>
          <w:i/>
          <w:color w:val="000000"/>
          <w:sz w:val="20"/>
          <w:lang w:val="en-US" w:eastAsia="en-US" w:bidi="ar-SA"/>
        </w:rPr>
        <w:t>Baker Lake</w:t>
      </w:r>
      <w:r>
        <w:rPr>
          <w:rFonts w:ascii="arial" w:eastAsia="arial" w:hAnsi="arial" w:cs="arial"/>
          <w:color w:val="000000"/>
          <w:sz w:val="20"/>
          <w:lang w:val="en-US" w:eastAsia="en-US" w:bidi="ar-SA"/>
        </w:rPr>
        <w:t>, p. 524. As Mahoney J. noted at p. 559: "The aboriginal title asserted here encompasses only the right to hunt and fish as their ancestors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492</w:t>
      </w:r>
      <w:r>
        <w:rPr>
          <w:rFonts w:ascii="arial" w:eastAsia="arial" w:hAnsi="arial" w:cs="arial"/>
          <w:color w:val="000000"/>
          <w:sz w:val="20"/>
          <w:lang w:val="en-US" w:eastAsia="en-US" w:bidi="ar-SA"/>
        </w:rPr>
        <w:t xml:space="preserve">  Mahoney J. considered the source of Aboriginal title and at p. 556 referred to the </w:t>
      </w:r>
      <w:r>
        <w:rPr>
          <w:rFonts w:ascii="arial" w:eastAsia="arial" w:hAnsi="arial" w:cs="arial"/>
          <w:b/>
          <w:i/>
          <w:color w:val="000000"/>
          <w:sz w:val="20"/>
          <w:lang w:val="en-US" w:eastAsia="en-US" w:bidi="ar-SA"/>
        </w:rPr>
        <w:t>Calder</w:t>
      </w:r>
      <w:r>
        <w:rPr>
          <w:rFonts w:ascii="arial" w:eastAsia="arial" w:hAnsi="arial" w:cs="arial"/>
          <w:color w:val="000000"/>
          <w:sz w:val="20"/>
          <w:lang w:val="en-US" w:eastAsia="en-US" w:bidi="ar-SA"/>
        </w:rPr>
        <w:t xml:space="preserve"> (S.C.C.) decision 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solid authority for the general proposition that the law of Canada recognizes the existence of an aboriginal title independent of </w:t>
      </w:r>
      <w:r>
        <w:rPr>
          <w:rFonts w:ascii="arial" w:eastAsia="arial" w:hAnsi="arial" w:cs="arial"/>
          <w:i/>
          <w:color w:val="000000"/>
          <w:sz w:val="20"/>
          <w:lang w:val="en-US" w:eastAsia="en-US" w:bidi="ar-SA"/>
        </w:rPr>
        <w:t>The Royal Proclamation</w:t>
      </w:r>
      <w:r>
        <w:rPr>
          <w:rFonts w:ascii="arial" w:eastAsia="arial" w:hAnsi="arial" w:cs="arial"/>
          <w:color w:val="000000"/>
          <w:sz w:val="20"/>
          <w:lang w:val="en-US" w:eastAsia="en-US" w:bidi="ar-SA"/>
        </w:rPr>
        <w:t xml:space="preserve"> or any other prerogative act or legislation. It arises at common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493</w:t>
      </w:r>
      <w:r>
        <w:rPr>
          <w:rFonts w:ascii="arial" w:eastAsia="arial" w:hAnsi="arial" w:cs="arial"/>
          <w:color w:val="000000"/>
          <w:sz w:val="20"/>
          <w:lang w:val="en-US" w:eastAsia="en-US" w:bidi="ar-SA"/>
        </w:rPr>
        <w:t>  Mahoney J. then determined that to establish such a "title" to hunt and fish, the claimants must prove:</w:t>
      </w:r>
      <w:r>
        <w:rPr>
          <w:rFonts w:ascii="arial" w:eastAsia="arial" w:hAnsi="arial" w:cs="arial"/>
          <w:sz w:val="20"/>
          <w:lang w:val="en-US" w:eastAsia="en-US" w:bidi="ar-SA"/>
        </w:rPr>
        <w:cr/>
      </w:r>
    </w:p>
    <w:p>
      <w:pPr>
        <w:numPr>
          <w:numId w:val="20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they and their ancestors were members of an organized society.</w:t>
      </w:r>
    </w:p>
    <w:p>
      <w:pPr>
        <w:numPr>
          <w:numId w:val="20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organized society occupied the specific territory over which they assert the aboriginal title.</w:t>
      </w:r>
    </w:p>
    <w:p>
      <w:pPr>
        <w:numPr>
          <w:numId w:val="20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occupation was to the exclusion of other organized societies.</w:t>
      </w:r>
    </w:p>
    <w:p>
      <w:pPr>
        <w:numPr>
          <w:numId w:val="20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occupation was an established fact at the time sovereignty was asserted by England.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This territorial standard of occupation has since been termed the </w:t>
      </w:r>
      <w:r>
        <w:rPr>
          <w:rFonts w:ascii="arial" w:eastAsia="arial" w:hAnsi="arial" w:cs="arial"/>
          <w:b/>
          <w:i/>
          <w:color w:val="000000"/>
          <w:sz w:val="20"/>
          <w:lang w:val="en-US" w:eastAsia="en-US" w:bidi="ar-SA"/>
        </w:rPr>
        <w:t>Baker Lake</w:t>
      </w:r>
      <w:r>
        <w:rPr>
          <w:rFonts w:ascii="arial" w:eastAsia="arial" w:hAnsi="arial" w:cs="arial"/>
          <w:color w:val="000000"/>
          <w:sz w:val="20"/>
          <w:lang w:val="en-US" w:eastAsia="en-US" w:bidi="ar-SA"/>
        </w:rPr>
        <w:t xml:space="preserve">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494</w:t>
      </w:r>
      <w:r>
        <w:rPr>
          <w:rFonts w:ascii="arial" w:eastAsia="arial" w:hAnsi="arial" w:cs="arial"/>
          <w:color w:val="000000"/>
          <w:sz w:val="20"/>
          <w:lang w:val="en-US" w:eastAsia="en-US" w:bidi="ar-SA"/>
        </w:rPr>
        <w:t xml:space="preserve">  The standard used in the </w:t>
      </w:r>
      <w:r>
        <w:rPr>
          <w:rFonts w:ascii="arial" w:eastAsia="arial" w:hAnsi="arial" w:cs="arial"/>
          <w:b/>
          <w:i/>
          <w:color w:val="000000"/>
          <w:sz w:val="20"/>
          <w:lang w:val="en-US" w:eastAsia="en-US" w:bidi="ar-SA"/>
        </w:rPr>
        <w:t>Baker Lake</w:t>
      </w:r>
      <w:r>
        <w:rPr>
          <w:rFonts w:ascii="arial" w:eastAsia="arial" w:hAnsi="arial" w:cs="arial"/>
          <w:color w:val="000000"/>
          <w:sz w:val="20"/>
          <w:lang w:val="en-US" w:eastAsia="en-US" w:bidi="ar-SA"/>
        </w:rPr>
        <w:t xml:space="preserve"> test reflected the limited content of the right claimed. Mahoney J. commented on the fact that the Inuit were few in number and wandered over a large area, saying at p. 561: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nature, extent or degree of the aborigines' physical presence on the land they occupied, required by the law as an essential element of their aboriginal title is to be determined in each case by a subjective test. To the extent human beings were capable of surviving on the barren lands, the Inuit were there; to the extent the barrens lent themselves to human occupation, the Inuit occupied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495</w:t>
      </w:r>
      <w:r>
        <w:rPr>
          <w:rFonts w:ascii="arial" w:eastAsia="arial" w:hAnsi="arial" w:cs="arial"/>
          <w:color w:val="000000"/>
          <w:sz w:val="20"/>
          <w:lang w:val="en-US" w:eastAsia="en-US" w:bidi="ar-SA"/>
        </w:rPr>
        <w:t xml:space="preserve">  Mahoney J. decided that the Inuit of Baker Lake had established their claim to a right to hunt and fish over most of the lands in issue, excepting a portion in the southwest claimed area that had been used by other non-Inuit Aboriginal people. He concluded that the plaintiffs had a common law "aboriginal title to that territory, carrying with it the right freely to move about and hunt and fish over it ...": </w:t>
      </w:r>
      <w:r>
        <w:rPr>
          <w:rFonts w:ascii="arial" w:eastAsia="arial" w:hAnsi="arial" w:cs="arial"/>
          <w:b/>
          <w:i/>
          <w:color w:val="000000"/>
          <w:sz w:val="20"/>
          <w:lang w:val="en-US" w:eastAsia="en-US" w:bidi="ar-SA"/>
        </w:rPr>
        <w:t>Baker Lake</w:t>
      </w:r>
      <w:r>
        <w:rPr>
          <w:rFonts w:ascii="arial" w:eastAsia="arial" w:hAnsi="arial" w:cs="arial"/>
          <w:color w:val="000000"/>
          <w:sz w:val="20"/>
          <w:lang w:val="en-US" w:eastAsia="en-US" w:bidi="ar-SA"/>
        </w:rPr>
        <w:t>, p. 563.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496</w:t>
      </w:r>
      <w:r>
        <w:rPr>
          <w:rFonts w:ascii="arial" w:eastAsia="arial" w:hAnsi="arial" w:cs="arial"/>
          <w:color w:val="000000"/>
          <w:sz w:val="20"/>
          <w:lang w:val="en-US" w:eastAsia="en-US" w:bidi="ar-SA"/>
        </w:rPr>
        <w:t>  The court considered that this right to hunt and fish could coexist with the radical or allodial title of the Crown, or with notional occupation by the Crown. However, it could not coexist with physical occupation by private landholders or by the trading posts of the Hudson's Bay Company. Mahoney J. said at p. 565: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coexistence of an aboriginal title with the estate of the ordinary private land holder is readily recognized as an absurdity. The communal right of aborigines to occupy it cannot be reconciled with the right of a private owner to peaceful enjoyment of his land. However, its coexistence with the radical title of the Crown to land is characteristic of aboriginal title and the [Hudson's Bay] Company, in its ownership of Rupert's Land, aside from its trading posts, was very much in the position of the Crown. Its occupation of the territory in issue was, at most, notional.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497</w:t>
      </w:r>
      <w:r>
        <w:rPr>
          <w:rFonts w:ascii="arial" w:eastAsia="arial" w:hAnsi="arial" w:cs="arial"/>
          <w:color w:val="000000"/>
          <w:sz w:val="20"/>
          <w:lang w:val="en-US" w:eastAsia="en-US" w:bidi="ar-SA"/>
        </w:rPr>
        <w:t>  Mahoney J. emphasized the vulnerable nature of the "title" he was finding, stating at p. 568: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Once a statute has been validly enacted, it must be given effect. If its necessary effect is to abridge or entirely abrogate a common law right, then that is the effect that the courts must give it. That is as true of an aboriginal title as of any other common law 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498</w:t>
      </w:r>
      <w:r>
        <w:rPr>
          <w:rFonts w:ascii="arial" w:eastAsia="arial" w:hAnsi="arial" w:cs="arial"/>
          <w:color w:val="000000"/>
          <w:sz w:val="20"/>
          <w:lang w:val="en-US" w:eastAsia="en-US" w:bidi="ar-SA"/>
        </w:rPr>
        <w:t>  And further, at p. 576: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the extent that their aboriginal rights are diminished by those laws [</w:t>
      </w:r>
      <w:r>
        <w:rPr>
          <w:rFonts w:ascii="arial" w:eastAsia="arial" w:hAnsi="arial" w:cs="arial"/>
          <w:i/>
          <w:color w:val="000000"/>
          <w:sz w:val="20"/>
          <w:lang w:val="en-US" w:eastAsia="en-US" w:bidi="ar-SA"/>
        </w:rPr>
        <w:t>Territorial Lands Act; Public Lands Grants Act</w:t>
      </w:r>
      <w:r>
        <w:rPr>
          <w:rFonts w:ascii="arial" w:eastAsia="arial" w:hAnsi="arial" w:cs="arial"/>
          <w:color w:val="000000"/>
          <w:sz w:val="20"/>
          <w:lang w:val="en-US" w:eastAsia="en-US" w:bidi="ar-SA"/>
        </w:rPr>
        <w:t>], the Inuit may or may not be entitled to compensation. That is not sought in this action. There can, however, be no doubt as to the effect of competent legislation and that, to the extent it does diminish the rights comprised in an aboriginal title, it prevails.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499</w:t>
      </w:r>
      <w:r>
        <w:rPr>
          <w:rFonts w:ascii="arial" w:eastAsia="arial" w:hAnsi="arial" w:cs="arial"/>
          <w:color w:val="000000"/>
          <w:sz w:val="20"/>
          <w:lang w:val="en-US" w:eastAsia="en-US" w:bidi="ar-SA"/>
        </w:rPr>
        <w:t>  The plaintiffs' ownership based claims and requests for a declaration that the lands in question were not public lands and that the Inuit were holders of surface rights were refused.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500</w:t>
      </w:r>
      <w:r>
        <w:rPr>
          <w:rFonts w:ascii="arial" w:eastAsia="arial" w:hAnsi="arial" w:cs="arial"/>
          <w:color w:val="000000"/>
          <w:sz w:val="20"/>
          <w:lang w:val="en-US" w:eastAsia="en-US" w:bidi="ar-SA"/>
        </w:rPr>
        <w:t xml:space="preserve">  The next important development in Canadian Aboriginal law was the patriation of the Canadian Constitution with the enactment of the </w:t>
      </w:r>
      <w:r>
        <w:rPr>
          <w:rFonts w:ascii="arial" w:eastAsia="arial" w:hAnsi="arial" w:cs="arial"/>
          <w:b/>
          <w:i/>
          <w:color w:val="000000"/>
          <w:sz w:val="20"/>
          <w:lang w:val="en-US" w:eastAsia="en-US" w:bidi="ar-SA"/>
        </w:rPr>
        <w:t>Constitution Act 1982</w:t>
      </w:r>
      <w:r>
        <w:rPr>
          <w:rFonts w:ascii="arial" w:eastAsia="arial" w:hAnsi="arial" w:cs="arial"/>
          <w:color w:val="000000"/>
          <w:sz w:val="20"/>
          <w:lang w:val="en-US" w:eastAsia="en-US" w:bidi="ar-SA"/>
        </w:rPr>
        <w:t>, and in particular, s. 35(1). That section reads: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858"/>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35(1)</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existing aboriginal and treaty rights of the aboriginal peoples of Canada are hereby recognized and affirmed.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501</w:t>
      </w:r>
      <w:r>
        <w:rPr>
          <w:rFonts w:ascii="arial" w:eastAsia="arial" w:hAnsi="arial" w:cs="arial"/>
          <w:color w:val="000000"/>
          <w:sz w:val="20"/>
          <w:lang w:val="en-US" w:eastAsia="en-US" w:bidi="ar-SA"/>
        </w:rPr>
        <w:t xml:space="preserve">  In Professor Slattery's opinion this provision represents "a basic shift in our understanding of the constitutional foundations of Canada": "Organic Constitution" at p. 108. He pointed to the response of the Supreme Court of Canada in </w:t>
      </w:r>
      <w:r>
        <w:rPr>
          <w:rFonts w:ascii="arial" w:eastAsia="arial" w:hAnsi="arial" w:cs="arial"/>
          <w:b/>
          <w:i/>
          <w:color w:val="000000"/>
          <w:sz w:val="20"/>
          <w:lang w:val="en-US" w:eastAsia="en-US" w:bidi="ar-SA"/>
        </w:rPr>
        <w:t>R. v. Sparrow</w:t>
      </w:r>
      <w:r>
        <w:rPr>
          <w:rFonts w:ascii="arial" w:eastAsia="arial" w:hAnsi="arial" w:cs="arial"/>
          <w:color w:val="000000"/>
          <w:sz w:val="20"/>
          <w:lang w:val="en-US" w:eastAsia="en-US" w:bidi="ar-SA"/>
        </w:rPr>
        <w:t xml:space="preserve">, </w:t>
      </w:r>
      <w:hyperlink r:id="rId678" w:history="1">
        <w:r>
          <w:rPr>
            <w:rFonts w:ascii="arial" w:eastAsia="arial" w:hAnsi="arial" w:cs="arial"/>
            <w:i/>
            <w:color w:val="0077CC"/>
            <w:sz w:val="20"/>
            <w:u w:val="single"/>
            <w:shd w:val="clear" w:color="auto" w:fill="FFFFFF"/>
            <w:lang w:val="en-US" w:eastAsia="en-US" w:bidi="ar-SA"/>
          </w:rPr>
          <w:t>[1990] 1 S.C.R. 1075</w:t>
        </w:r>
      </w:hyperlink>
      <w:r>
        <w:rPr>
          <w:rFonts w:ascii="arial" w:eastAsia="arial" w:hAnsi="arial" w:cs="arial"/>
          <w:color w:val="000000"/>
          <w:sz w:val="20"/>
          <w:lang w:val="en-US" w:eastAsia="en-US" w:bidi="ar-SA"/>
        </w:rPr>
        <w:t xml:space="preserve"> at pp. 1105-1106 where the Court quotes with approval an article by Professor Noel Lyon entitled, "An Essay On Constitutional Interpretation" (1988) 26 Osgoode Hall L.J. 95: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context of 1982 is surely enough to tell us that this is not just a codification of the case law on aboriginal rights that had accumulated by 1982. Section 35 calls for a just settlement for aboriginal peoples. It renounces the old rules of the game under which the Crown established courts of law and denied those courts the authority to question sovereign claims made by the Crown.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502</w:t>
      </w:r>
      <w:r>
        <w:rPr>
          <w:rFonts w:ascii="arial" w:eastAsia="arial" w:hAnsi="arial" w:cs="arial"/>
          <w:color w:val="000000"/>
          <w:sz w:val="20"/>
          <w:lang w:val="en-US" w:eastAsia="en-US" w:bidi="ar-SA"/>
        </w:rPr>
        <w:t>  Professor Slattery argues for a new concept of the Constitution which he calls the Organic Model. This model "holds that the Constitution is rooted ultimately in Canadian soil rather than in Europe, while acknowledging the important influences of Great Britain and France ... the Model rejects the positivist view that our most fundamental laws are embodied in legislation and are grounded ultimately on the sovereign's power to command obedience ...": "Organic Constitution" at p. 111.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503</w:t>
      </w:r>
      <w:r>
        <w:rPr>
          <w:rFonts w:ascii="arial" w:eastAsia="arial" w:hAnsi="arial" w:cs="arial"/>
          <w:color w:val="000000"/>
          <w:sz w:val="20"/>
          <w:lang w:val="en-US" w:eastAsia="en-US" w:bidi="ar-SA"/>
        </w:rPr>
        <w:t xml:space="preserve">  The view that Aboriginal title is rooted in Canadian soil is embodied in the theory that title is </w:t>
      </w:r>
      <w:r>
        <w:rPr>
          <w:rFonts w:ascii="arial" w:eastAsia="arial" w:hAnsi="arial" w:cs="arial"/>
          <w:i/>
          <w:color w:val="000000"/>
          <w:sz w:val="20"/>
          <w:lang w:val="en-US" w:eastAsia="en-US" w:bidi="ar-SA"/>
        </w:rPr>
        <w:t>sui generis</w:t>
      </w:r>
      <w:r>
        <w:rPr>
          <w:rFonts w:ascii="arial" w:eastAsia="arial" w:hAnsi="arial" w:cs="arial"/>
          <w:color w:val="000000"/>
          <w:sz w:val="20"/>
          <w:lang w:val="en-US" w:eastAsia="en-US" w:bidi="ar-SA"/>
        </w:rPr>
        <w:t>. Put in more simple terms, Aboriginal title in this country is unique and in a class by itself.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504</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Canadian Pacific Ltd. v. Paul</w:t>
      </w:r>
      <w:r>
        <w:rPr>
          <w:rFonts w:ascii="arial" w:eastAsia="arial" w:hAnsi="arial" w:cs="arial"/>
          <w:color w:val="000000"/>
          <w:sz w:val="20"/>
          <w:lang w:val="en-US" w:eastAsia="en-US" w:bidi="ar-SA"/>
        </w:rPr>
        <w:t xml:space="preserve">, </w:t>
      </w:r>
      <w:hyperlink r:id="rId679" w:history="1">
        <w:r>
          <w:rPr>
            <w:rFonts w:ascii="arial" w:eastAsia="arial" w:hAnsi="arial" w:cs="arial"/>
            <w:i/>
            <w:color w:val="0077CC"/>
            <w:sz w:val="20"/>
            <w:u w:val="single"/>
            <w:shd w:val="clear" w:color="auto" w:fill="FFFFFF"/>
            <w:lang w:val="en-US" w:eastAsia="en-US" w:bidi="ar-SA"/>
          </w:rPr>
          <w:t>[1988] 2 S.C.R. 654</w:t>
        </w:r>
      </w:hyperlink>
      <w:r>
        <w:rPr>
          <w:rFonts w:ascii="arial" w:eastAsia="arial" w:hAnsi="arial" w:cs="arial"/>
          <w:color w:val="000000"/>
          <w:sz w:val="20"/>
          <w:lang w:val="en-US" w:eastAsia="en-US" w:bidi="ar-SA"/>
        </w:rPr>
        <w:t xml:space="preserve"> the Supreme Court of Canada said at p. 678 "that the Indian interest in land is truly </w:t>
      </w:r>
      <w:r>
        <w:rPr>
          <w:rFonts w:ascii="arial" w:eastAsia="arial" w:hAnsi="arial" w:cs="arial"/>
          <w:i/>
          <w:color w:val="000000"/>
          <w:sz w:val="20"/>
          <w:lang w:val="en-US" w:eastAsia="en-US" w:bidi="ar-SA"/>
        </w:rPr>
        <w:t>sui generis</w:t>
      </w:r>
      <w:r>
        <w:rPr>
          <w:rFonts w:ascii="arial" w:eastAsia="arial" w:hAnsi="arial" w:cs="arial"/>
          <w:color w:val="000000"/>
          <w:sz w:val="20"/>
          <w:lang w:val="en-US" w:eastAsia="en-US" w:bidi="ar-SA"/>
        </w:rPr>
        <w:t>. It is more than the right to enjoyment and occupancy although ... it is difficult to describe what more in traditional property law terminology".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505</w:t>
      </w:r>
      <w:r>
        <w:rPr>
          <w:rFonts w:ascii="arial" w:eastAsia="arial" w:hAnsi="arial" w:cs="arial"/>
          <w:color w:val="000000"/>
          <w:sz w:val="20"/>
          <w:lang w:val="en-US" w:eastAsia="en-US" w:bidi="ar-SA"/>
        </w:rPr>
        <w:t xml:space="preserve">  The description of Aboriginal title as </w:t>
      </w:r>
      <w:r>
        <w:rPr>
          <w:rFonts w:ascii="arial" w:eastAsia="arial" w:hAnsi="arial" w:cs="arial"/>
          <w:i/>
          <w:color w:val="000000"/>
          <w:sz w:val="20"/>
          <w:lang w:val="en-US" w:eastAsia="en-US" w:bidi="ar-SA"/>
        </w:rPr>
        <w:t>sui generis</w:t>
      </w:r>
      <w:r>
        <w:rPr>
          <w:rFonts w:ascii="arial" w:eastAsia="arial" w:hAnsi="arial" w:cs="arial"/>
          <w:color w:val="000000"/>
          <w:sz w:val="20"/>
          <w:lang w:val="en-US" w:eastAsia="en-US" w:bidi="ar-SA"/>
        </w:rPr>
        <w:t xml:space="preserve"> captures the essence of a proprietary right shaped by both the common law and Aboriginal legal systems. Aboriginal title does not belong to either one of these perspectives, and can only be explained and understood by reference to both: </w:t>
      </w:r>
      <w:r>
        <w:rPr>
          <w:rFonts w:ascii="arial" w:eastAsia="arial" w:hAnsi="arial" w:cs="arial"/>
          <w:b/>
          <w:i/>
          <w:color w:val="000000"/>
          <w:sz w:val="20"/>
          <w:lang w:val="en-US" w:eastAsia="en-US" w:bidi="ar-SA"/>
        </w:rPr>
        <w:t>Delgamuukw</w:t>
      </w:r>
      <w:r>
        <w:rPr>
          <w:rFonts w:ascii="arial" w:eastAsia="arial" w:hAnsi="arial" w:cs="arial"/>
          <w:color w:val="000000"/>
          <w:sz w:val="20"/>
          <w:lang w:val="en-US" w:eastAsia="en-US" w:bidi="ar-SA"/>
        </w:rPr>
        <w:t xml:space="preserve"> (S.C.C) at para. 112. The Court went on to explain the underlying principles of this </w:t>
      </w:r>
      <w:r>
        <w:rPr>
          <w:rFonts w:ascii="arial" w:eastAsia="arial" w:hAnsi="arial" w:cs="arial"/>
          <w:i/>
          <w:color w:val="000000"/>
          <w:sz w:val="20"/>
          <w:lang w:val="en-US" w:eastAsia="en-US" w:bidi="ar-SA"/>
        </w:rPr>
        <w:t>sui generis</w:t>
      </w:r>
      <w:r>
        <w:rPr>
          <w:rFonts w:ascii="arial" w:eastAsia="arial" w:hAnsi="arial" w:cs="arial"/>
          <w:color w:val="000000"/>
          <w:sz w:val="20"/>
          <w:lang w:val="en-US" w:eastAsia="en-US" w:bidi="ar-SA"/>
        </w:rPr>
        <w:t xml:space="preserve"> title at para. 113 of </w:t>
      </w:r>
      <w:r>
        <w:rPr>
          <w:rFonts w:ascii="arial" w:eastAsia="arial" w:hAnsi="arial" w:cs="arial"/>
          <w:b/>
          <w:i/>
          <w:color w:val="000000"/>
          <w:sz w:val="20"/>
          <w:lang w:val="en-US" w:eastAsia="en-US" w:bidi="ar-SA"/>
        </w:rPr>
        <w:t>Delgamuukw</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idea that aboriginal title is </w:t>
      </w:r>
      <w:r>
        <w:rPr>
          <w:rFonts w:ascii="arial" w:eastAsia="arial" w:hAnsi="arial" w:cs="arial"/>
          <w:i/>
          <w:color w:val="000000"/>
          <w:sz w:val="20"/>
          <w:lang w:val="en-US" w:eastAsia="en-US" w:bidi="ar-SA"/>
        </w:rPr>
        <w:t>sui generis</w:t>
      </w:r>
      <w:r>
        <w:rPr>
          <w:rFonts w:ascii="arial" w:eastAsia="arial" w:hAnsi="arial" w:cs="arial"/>
          <w:color w:val="000000"/>
          <w:sz w:val="20"/>
          <w:lang w:val="en-US" w:eastAsia="en-US" w:bidi="ar-SA"/>
        </w:rPr>
        <w:t xml:space="preserve"> is the unifying principle underlying the various dimensions of that title. One dimension is its </w:t>
      </w:r>
      <w:r>
        <w:rPr>
          <w:rFonts w:ascii="arial" w:eastAsia="arial" w:hAnsi="arial" w:cs="arial"/>
          <w:color w:val="000000"/>
          <w:sz w:val="20"/>
          <w:u w:val="single"/>
          <w:lang w:val="en-US" w:eastAsia="en-US" w:bidi="ar-SA"/>
        </w:rPr>
        <w:t>inalienability</w:t>
      </w:r>
      <w:r>
        <w:rPr>
          <w:rFonts w:ascii="arial" w:eastAsia="arial" w:hAnsi="arial" w:cs="arial"/>
          <w:color w:val="000000"/>
          <w:sz w:val="20"/>
          <w:lang w:val="en-US" w:eastAsia="en-US" w:bidi="ar-SA"/>
        </w:rPr>
        <w:t xml:space="preserve">. Lands held pursuant to aboriginal title cannot be transferred, sold or surrendered to anyone other than the Crown and, as a result, is inalienable to third parties. This Court has taken pains to clarify that aboriginal title is only "personal" in this sense, and does not mean that aboriginal title is a non-proprietary interest which amounts to no more than a licence to use and occupy the land and cannot compete on an equal footing with other proprietary interests: see </w:t>
      </w:r>
      <w:r>
        <w:rPr>
          <w:rFonts w:ascii="arial" w:eastAsia="arial" w:hAnsi="arial" w:cs="arial"/>
          <w:i/>
          <w:color w:val="000000"/>
          <w:sz w:val="20"/>
          <w:lang w:val="en-US" w:eastAsia="en-US" w:bidi="ar-SA"/>
        </w:rPr>
        <w:t>Canadian Pacific Ltd. v. Paul</w:t>
      </w:r>
      <w:r>
        <w:rPr>
          <w:rFonts w:ascii="arial" w:eastAsia="arial" w:hAnsi="arial" w:cs="arial"/>
          <w:color w:val="000000"/>
          <w:sz w:val="20"/>
          <w:lang w:val="en-US" w:eastAsia="en-US" w:bidi="ar-SA"/>
        </w:rPr>
        <w:t xml:space="preserve">, </w:t>
      </w:r>
      <w:hyperlink r:id="rId679" w:history="1">
        <w:r>
          <w:rPr>
            <w:rFonts w:ascii="arial" w:eastAsia="arial" w:hAnsi="arial" w:cs="arial"/>
            <w:i/>
            <w:color w:val="0077CC"/>
            <w:sz w:val="20"/>
            <w:u w:val="single"/>
            <w:shd w:val="clear" w:color="auto" w:fill="FFFFFF"/>
            <w:lang w:val="en-US" w:eastAsia="en-US" w:bidi="ar-SA"/>
          </w:rPr>
          <w:t>[1988] 2 S.C.R. 654</w:t>
        </w:r>
      </w:hyperlink>
      <w:r>
        <w:rPr>
          <w:rFonts w:ascii="arial" w:eastAsia="arial" w:hAnsi="arial" w:cs="arial"/>
          <w:color w:val="000000"/>
          <w:sz w:val="20"/>
          <w:lang w:val="en-US" w:eastAsia="en-US" w:bidi="ar-SA"/>
        </w:rPr>
        <w:t>, at p. 677.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506</w:t>
      </w:r>
      <w:r>
        <w:rPr>
          <w:rFonts w:ascii="arial" w:eastAsia="arial" w:hAnsi="arial" w:cs="arial"/>
          <w:color w:val="000000"/>
          <w:sz w:val="20"/>
          <w:lang w:val="en-US" w:eastAsia="en-US" w:bidi="ar-SA"/>
        </w:rPr>
        <w:t xml:space="preserve">  The source of Aboriginal title also reflects the relationship between common law and pre-existing systems of Aboriginal law. As Lamer C.J.C. explained in para. 114 of </w:t>
      </w:r>
      <w:r>
        <w:rPr>
          <w:rFonts w:ascii="arial" w:eastAsia="arial" w:hAnsi="arial" w:cs="arial"/>
          <w:b/>
          <w:i/>
          <w:color w:val="000000"/>
          <w:sz w:val="20"/>
          <w:lang w:val="en-US" w:eastAsia="en-US" w:bidi="ar-SA"/>
        </w:rPr>
        <w:t>Delgamuukw</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had originally been thought that the source of aboriginal title in Canada was the </w:t>
      </w:r>
      <w:r>
        <w:rPr>
          <w:rFonts w:ascii="arial" w:eastAsia="arial" w:hAnsi="arial" w:cs="arial"/>
          <w:i/>
          <w:color w:val="000000"/>
          <w:sz w:val="20"/>
          <w:lang w:val="en-US" w:eastAsia="en-US" w:bidi="ar-SA"/>
        </w:rPr>
        <w:t>Royal Proclamation, 1763</w:t>
      </w:r>
      <w:r>
        <w:rPr>
          <w:rFonts w:ascii="arial" w:eastAsia="arial" w:hAnsi="arial" w:cs="arial"/>
          <w:color w:val="000000"/>
          <w:sz w:val="20"/>
          <w:lang w:val="en-US" w:eastAsia="en-US" w:bidi="ar-SA"/>
        </w:rPr>
        <w:t xml:space="preserve">: see </w:t>
      </w:r>
      <w:r>
        <w:rPr>
          <w:rFonts w:ascii="arial" w:eastAsia="arial" w:hAnsi="arial" w:cs="arial"/>
          <w:i/>
          <w:color w:val="000000"/>
          <w:sz w:val="20"/>
          <w:lang w:val="en-US" w:eastAsia="en-US" w:bidi="ar-SA"/>
        </w:rPr>
        <w:t>St. Catherine's Milling</w:t>
      </w:r>
      <w:r>
        <w:rPr>
          <w:rFonts w:ascii="arial" w:eastAsia="arial" w:hAnsi="arial" w:cs="arial"/>
          <w:color w:val="000000"/>
          <w:sz w:val="20"/>
          <w:lang w:val="en-US" w:eastAsia="en-US" w:bidi="ar-SA"/>
        </w:rPr>
        <w:t xml:space="preserve">. However, it is now clear that although aboriginal title was recognized by the </w:t>
      </w:r>
      <w:r>
        <w:rPr>
          <w:rFonts w:ascii="arial" w:eastAsia="arial" w:hAnsi="arial" w:cs="arial"/>
          <w:i/>
          <w:color w:val="000000"/>
          <w:sz w:val="20"/>
          <w:lang w:val="en-US" w:eastAsia="en-US" w:bidi="ar-SA"/>
        </w:rPr>
        <w:t>Proclamation</w:t>
      </w:r>
      <w:r>
        <w:rPr>
          <w:rFonts w:ascii="arial" w:eastAsia="arial" w:hAnsi="arial" w:cs="arial"/>
          <w:color w:val="000000"/>
          <w:sz w:val="20"/>
          <w:lang w:val="en-US" w:eastAsia="en-US" w:bidi="ar-SA"/>
        </w:rPr>
        <w:t xml:space="preserve">, it arises from the prior occupation of Canada by aboriginal peoples. That prior occupation, however, is relevant in two different ways, both of which illustrate the </w:t>
      </w:r>
      <w:r>
        <w:rPr>
          <w:rFonts w:ascii="arial" w:eastAsia="arial" w:hAnsi="arial" w:cs="arial"/>
          <w:i/>
          <w:color w:val="000000"/>
          <w:sz w:val="20"/>
          <w:lang w:val="en-US" w:eastAsia="en-US" w:bidi="ar-SA"/>
        </w:rPr>
        <w:t>sui generis</w:t>
      </w:r>
      <w:r>
        <w:rPr>
          <w:rFonts w:ascii="arial" w:eastAsia="arial" w:hAnsi="arial" w:cs="arial"/>
          <w:color w:val="000000"/>
          <w:sz w:val="20"/>
          <w:lang w:val="en-US" w:eastAsia="en-US" w:bidi="ar-SA"/>
        </w:rPr>
        <w:t xml:space="preserve"> nature of aboriginal title. The first is the physical fact of occupation, which derives from the common law principle that occupation is proof of possession in law: see Kent McNeil, </w:t>
      </w:r>
      <w:r>
        <w:rPr>
          <w:rFonts w:ascii="arial" w:eastAsia="arial" w:hAnsi="arial" w:cs="arial"/>
          <w:i/>
          <w:color w:val="000000"/>
          <w:sz w:val="20"/>
          <w:lang w:val="en-US" w:eastAsia="en-US" w:bidi="ar-SA"/>
        </w:rPr>
        <w:t>Common Law Aboriginal Title</w:t>
      </w:r>
      <w:r>
        <w:rPr>
          <w:rFonts w:ascii="arial" w:eastAsia="arial" w:hAnsi="arial" w:cs="arial"/>
          <w:color w:val="000000"/>
          <w:sz w:val="20"/>
          <w:lang w:val="en-US" w:eastAsia="en-US" w:bidi="ar-SA"/>
        </w:rPr>
        <w:t xml:space="preserve"> (1989), at p. 7. Thus, in </w:t>
      </w:r>
      <w:r>
        <w:rPr>
          <w:rFonts w:ascii="arial" w:eastAsia="arial" w:hAnsi="arial" w:cs="arial"/>
          <w:i/>
          <w:color w:val="000000"/>
          <w:sz w:val="20"/>
          <w:lang w:val="en-US" w:eastAsia="en-US" w:bidi="ar-SA"/>
        </w:rPr>
        <w:t>Guerin, supra</w:t>
      </w:r>
      <w:r>
        <w:rPr>
          <w:rFonts w:ascii="arial" w:eastAsia="arial" w:hAnsi="arial" w:cs="arial"/>
          <w:color w:val="000000"/>
          <w:sz w:val="20"/>
          <w:lang w:val="en-US" w:eastAsia="en-US" w:bidi="ar-SA"/>
        </w:rPr>
        <w:t xml:space="preserve">, Dickson J. described aboriginal title, at p. 376, as a "legal right derived from the Indians' historic occupation and possession of their tribal lands". What makes aboriginal title </w:t>
      </w:r>
      <w:r>
        <w:rPr>
          <w:rFonts w:ascii="arial" w:eastAsia="arial" w:hAnsi="arial" w:cs="arial"/>
          <w:i/>
          <w:color w:val="000000"/>
          <w:sz w:val="20"/>
          <w:lang w:val="en-US" w:eastAsia="en-US" w:bidi="ar-SA"/>
        </w:rPr>
        <w:t>sui generis</w:t>
      </w:r>
      <w:r>
        <w:rPr>
          <w:rFonts w:ascii="arial" w:eastAsia="arial" w:hAnsi="arial" w:cs="arial"/>
          <w:color w:val="000000"/>
          <w:sz w:val="20"/>
          <w:lang w:val="en-US" w:eastAsia="en-US" w:bidi="ar-SA"/>
        </w:rPr>
        <w:t xml:space="preserve"> is that it arises from possession </w:t>
      </w:r>
      <w:r>
        <w:rPr>
          <w:rFonts w:ascii="arial" w:eastAsia="arial" w:hAnsi="arial" w:cs="arial"/>
          <w:color w:val="000000"/>
          <w:sz w:val="20"/>
          <w:u w:val="single"/>
          <w:lang w:val="en-US" w:eastAsia="en-US" w:bidi="ar-SA"/>
        </w:rPr>
        <w:t>before</w:t>
      </w:r>
      <w:r>
        <w:rPr>
          <w:rFonts w:ascii="arial" w:eastAsia="arial" w:hAnsi="arial" w:cs="arial"/>
          <w:color w:val="000000"/>
          <w:sz w:val="20"/>
          <w:lang w:val="en-US" w:eastAsia="en-US" w:bidi="ar-SA"/>
        </w:rPr>
        <w:t xml:space="preserve"> the assertion of British sovereignty, whereas normal estates, like fee simple, arise afterward: see Kent McNeil, "The Meaning of Aboriginal Title", in Michael Asch, ed., </w:t>
      </w:r>
      <w:r>
        <w:rPr>
          <w:rFonts w:ascii="arial" w:eastAsia="arial" w:hAnsi="arial" w:cs="arial"/>
          <w:i/>
          <w:color w:val="000000"/>
          <w:sz w:val="20"/>
          <w:lang w:val="en-US" w:eastAsia="en-US" w:bidi="ar-SA"/>
        </w:rPr>
        <w:t>Aboriginal and Treaty Rights in Canada</w:t>
      </w:r>
      <w:r>
        <w:rPr>
          <w:rFonts w:ascii="arial" w:eastAsia="arial" w:hAnsi="arial" w:cs="arial"/>
          <w:color w:val="000000"/>
          <w:sz w:val="20"/>
          <w:lang w:val="en-US" w:eastAsia="en-US" w:bidi="ar-SA"/>
        </w:rPr>
        <w:t xml:space="preserve"> (1997), 135, at p. 144. This idea has been further developed in </w:t>
      </w:r>
      <w:r>
        <w:rPr>
          <w:rFonts w:ascii="arial" w:eastAsia="arial" w:hAnsi="arial" w:cs="arial"/>
          <w:i/>
          <w:color w:val="000000"/>
          <w:sz w:val="20"/>
          <w:lang w:val="en-US" w:eastAsia="en-US" w:bidi="ar-SA"/>
        </w:rPr>
        <w:t>Roberts v. Canada</w:t>
      </w:r>
      <w:r>
        <w:rPr>
          <w:rFonts w:ascii="arial" w:eastAsia="arial" w:hAnsi="arial" w:cs="arial"/>
          <w:color w:val="000000"/>
          <w:sz w:val="20"/>
          <w:lang w:val="en-US" w:eastAsia="en-US" w:bidi="ar-SA"/>
        </w:rPr>
        <w:t xml:space="preserve">, </w:t>
      </w:r>
      <w:hyperlink r:id="rId680" w:history="1">
        <w:r>
          <w:rPr>
            <w:rFonts w:ascii="arial" w:eastAsia="arial" w:hAnsi="arial" w:cs="arial"/>
            <w:i/>
            <w:color w:val="0077CC"/>
            <w:sz w:val="20"/>
            <w:u w:val="single"/>
            <w:shd w:val="clear" w:color="auto" w:fill="FFFFFF"/>
            <w:lang w:val="en-US" w:eastAsia="en-US" w:bidi="ar-SA"/>
          </w:rPr>
          <w:t>[1989] 1 S.C.R. 322</w:t>
        </w:r>
      </w:hyperlink>
      <w:r>
        <w:rPr>
          <w:rFonts w:ascii="arial" w:eastAsia="arial" w:hAnsi="arial" w:cs="arial"/>
          <w:color w:val="000000"/>
          <w:sz w:val="20"/>
          <w:lang w:val="en-US" w:eastAsia="en-US" w:bidi="ar-SA"/>
        </w:rPr>
        <w:t xml:space="preserve">, where this Court unanimously held at p. 340 that "aboriginal title pre-dated colonization by the British and survived British claims of sovereignty" (also see </w:t>
      </w:r>
      <w:r>
        <w:rPr>
          <w:rFonts w:ascii="arial" w:eastAsia="arial" w:hAnsi="arial" w:cs="arial"/>
          <w:i/>
          <w:color w:val="000000"/>
          <w:sz w:val="20"/>
          <w:lang w:val="en-US" w:eastAsia="en-US" w:bidi="ar-SA"/>
        </w:rPr>
        <w:t>Guerin</w:t>
      </w:r>
      <w:r>
        <w:rPr>
          <w:rFonts w:ascii="arial" w:eastAsia="arial" w:hAnsi="arial" w:cs="arial"/>
          <w:color w:val="000000"/>
          <w:sz w:val="20"/>
          <w:lang w:val="en-US" w:eastAsia="en-US" w:bidi="ar-SA"/>
        </w:rPr>
        <w:t>, at p. 378). What this suggests is a second source for aboriginal title - the relationship between common law and pre-existing systems of aboriginal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507</w:t>
      </w:r>
      <w:r>
        <w:rPr>
          <w:rFonts w:ascii="arial" w:eastAsia="arial" w:hAnsi="arial" w:cs="arial"/>
          <w:color w:val="000000"/>
          <w:sz w:val="20"/>
          <w:lang w:val="en-US" w:eastAsia="en-US" w:bidi="ar-SA"/>
        </w:rPr>
        <w:t xml:space="preserve">  Another </w:t>
      </w:r>
      <w:r>
        <w:rPr>
          <w:rFonts w:ascii="arial" w:eastAsia="arial" w:hAnsi="arial" w:cs="arial"/>
          <w:i/>
          <w:color w:val="000000"/>
          <w:sz w:val="20"/>
          <w:lang w:val="en-US" w:eastAsia="en-US" w:bidi="ar-SA"/>
        </w:rPr>
        <w:t>sui generis</w:t>
      </w:r>
      <w:r>
        <w:rPr>
          <w:rFonts w:ascii="arial" w:eastAsia="arial" w:hAnsi="arial" w:cs="arial"/>
          <w:color w:val="000000"/>
          <w:sz w:val="20"/>
          <w:lang w:val="en-US" w:eastAsia="en-US" w:bidi="ar-SA"/>
        </w:rPr>
        <w:t xml:space="preserve"> aspect of Aboriginal title is that it is held communally. Aboriginal title cannot be held by individual persons. Lamer C.J.C. at para. 115 of </w:t>
      </w:r>
      <w:r>
        <w:rPr>
          <w:rFonts w:ascii="arial" w:eastAsia="arial" w:hAnsi="arial" w:cs="arial"/>
          <w:b/>
          <w:i/>
          <w:color w:val="000000"/>
          <w:sz w:val="20"/>
          <w:lang w:val="en-US" w:eastAsia="en-US" w:bidi="ar-SA"/>
        </w:rPr>
        <w:t>Delgamuukw</w:t>
      </w:r>
      <w:r>
        <w:rPr>
          <w:rFonts w:ascii="arial" w:eastAsia="arial" w:hAnsi="arial" w:cs="arial"/>
          <w:color w:val="000000"/>
          <w:sz w:val="20"/>
          <w:lang w:val="en-US" w:eastAsia="en-US" w:bidi="ar-SA"/>
        </w:rPr>
        <w:t xml:space="preserv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it is a collective right to land held by all members of an aboriginal nation. Decisions with respect to that land are also made by that community.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508</w:t>
      </w:r>
      <w:r>
        <w:rPr>
          <w:rFonts w:ascii="arial" w:eastAsia="arial" w:hAnsi="arial" w:cs="arial"/>
          <w:color w:val="000000"/>
          <w:sz w:val="20"/>
          <w:lang w:val="en-US" w:eastAsia="en-US" w:bidi="ar-SA"/>
        </w:rPr>
        <w:t xml:space="preserve">  While those rights are held communally by the Aboriginal title holders, the underlying title remains vested in the Crown. The Supreme Court of Canada explained as follows in </w:t>
      </w:r>
      <w:r>
        <w:rPr>
          <w:rFonts w:ascii="arial" w:eastAsia="arial" w:hAnsi="arial" w:cs="arial"/>
          <w:b/>
          <w:i/>
          <w:color w:val="000000"/>
          <w:sz w:val="20"/>
          <w:lang w:val="en-US" w:eastAsia="en-US" w:bidi="ar-SA"/>
        </w:rPr>
        <w:t>Sparrow</w:t>
      </w:r>
      <w:r>
        <w:rPr>
          <w:rFonts w:ascii="arial" w:eastAsia="arial" w:hAnsi="arial" w:cs="arial"/>
          <w:color w:val="000000"/>
          <w:sz w:val="20"/>
          <w:lang w:val="en-US" w:eastAsia="en-US" w:bidi="ar-SA"/>
        </w:rPr>
        <w:t xml:space="preserve"> at p. 1103: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worth recalling that while British policy towards the native population was based on respect for their right to occupy their traditional lands, a proposition to which the Royal Proclamation of 1763 bears witness, there was from the outset never any doubt that sovereignty and legislative power, and indeed the underlying title, to such lands vested in the Crown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509</w:t>
      </w:r>
      <w:r>
        <w:rPr>
          <w:rFonts w:ascii="arial" w:eastAsia="arial" w:hAnsi="arial" w:cs="arial"/>
          <w:color w:val="000000"/>
          <w:sz w:val="20"/>
          <w:lang w:val="en-US" w:eastAsia="en-US" w:bidi="ar-SA"/>
        </w:rPr>
        <w:t xml:space="preserve">  One of the key challenges of Aboriginal law is reconciliation between present day Aboriginal title holders and the Crown. For there to be a lasting reconciliation, this relationship must be negotiated with reference to contemporary interests and needs, bearing in mind the realities of modern society. As the Court of Appeal in </w:t>
      </w:r>
      <w:r>
        <w:rPr>
          <w:rFonts w:ascii="arial" w:eastAsia="arial" w:hAnsi="arial" w:cs="arial"/>
          <w:b/>
          <w:i/>
          <w:color w:val="000000"/>
          <w:sz w:val="20"/>
          <w:lang w:val="en-US" w:eastAsia="en-US" w:bidi="ar-SA"/>
        </w:rPr>
        <w:t>R. v. Sparrow</w:t>
      </w:r>
      <w:r>
        <w:rPr>
          <w:rFonts w:ascii="arial" w:eastAsia="arial" w:hAnsi="arial" w:cs="arial"/>
          <w:color w:val="000000"/>
          <w:sz w:val="20"/>
          <w:lang w:val="en-US" w:eastAsia="en-US" w:bidi="ar-SA"/>
        </w:rPr>
        <w:t xml:space="preserve"> </w:t>
      </w:r>
      <w:hyperlink r:id="rId681" w:history="1">
        <w:r>
          <w:rPr>
            <w:rFonts w:ascii="arial" w:eastAsia="arial" w:hAnsi="arial" w:cs="arial"/>
            <w:i/>
            <w:color w:val="0077CC"/>
            <w:sz w:val="20"/>
            <w:u w:val="single"/>
            <w:shd w:val="clear" w:color="auto" w:fill="FFFFFF"/>
            <w:lang w:val="en-US" w:eastAsia="en-US" w:bidi="ar-SA"/>
          </w:rPr>
          <w:t>(1986), 32 C.C.C. (3d) 65</w:t>
        </w:r>
      </w:hyperlink>
      <w:r>
        <w:rPr>
          <w:rFonts w:ascii="arial" w:eastAsia="arial" w:hAnsi="arial" w:cs="arial"/>
          <w:color w:val="000000"/>
          <w:sz w:val="20"/>
          <w:lang w:val="en-US" w:eastAsia="en-US" w:bidi="ar-SA"/>
        </w:rPr>
        <w:t xml:space="preserve"> (B.C.C.A.), explained at pp. 90-1: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constitutional recognition of the right to fish cannot entail restoring the relationship between Indians and salmon as it existed 150 years ago. The world has changed. The right must now exist in the context of a parliamentary system of government and a federal division of powers. It cannot be defined as if the Musqueam Band had continued to be a self-governing entity, or as if its members were not citizens of Canada and residents of British Columbia. Any definition of the existing right must take into account that it exists in the context of an industrial society with all of its complexities and competing interests. The "existing right" in 1982 was one which had long been subject to regulation by the federal government. It must continue to be so because only government can regulate with due regard to the interests of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510</w:t>
      </w:r>
      <w:r>
        <w:rPr>
          <w:rFonts w:ascii="arial" w:eastAsia="arial" w:hAnsi="arial" w:cs="arial"/>
          <w:color w:val="000000"/>
          <w:sz w:val="20"/>
          <w:lang w:val="en-US" w:eastAsia="en-US" w:bidi="ar-SA"/>
        </w:rPr>
        <w:t xml:space="preserve">  A further </w:t>
      </w:r>
      <w:r>
        <w:rPr>
          <w:rFonts w:ascii="arial" w:eastAsia="arial" w:hAnsi="arial" w:cs="arial"/>
          <w:i/>
          <w:color w:val="000000"/>
          <w:sz w:val="20"/>
          <w:lang w:val="en-US" w:eastAsia="en-US" w:bidi="ar-SA"/>
        </w:rPr>
        <w:t>sui generis</w:t>
      </w:r>
      <w:r>
        <w:rPr>
          <w:rFonts w:ascii="arial" w:eastAsia="arial" w:hAnsi="arial" w:cs="arial"/>
          <w:color w:val="000000"/>
          <w:sz w:val="20"/>
          <w:lang w:val="en-US" w:eastAsia="en-US" w:bidi="ar-SA"/>
        </w:rPr>
        <w:t xml:space="preserve"> aspect of Aboriginal title is that it contains an inherent limit on the uses Aboriginal peoples can make of their lands. Thus "... lands held pursuant to title cannot be used in a manner that is irreconcilable with the nature of the claimants' attachment to those lands": </w:t>
      </w:r>
      <w:r>
        <w:rPr>
          <w:rFonts w:ascii="arial" w:eastAsia="arial" w:hAnsi="arial" w:cs="arial"/>
          <w:b/>
          <w:i/>
          <w:color w:val="000000"/>
          <w:sz w:val="20"/>
          <w:lang w:val="en-US" w:eastAsia="en-US" w:bidi="ar-SA"/>
        </w:rPr>
        <w:t>Delgamuukw</w:t>
      </w:r>
      <w:r>
        <w:rPr>
          <w:rFonts w:ascii="arial" w:eastAsia="arial" w:hAnsi="arial" w:cs="arial"/>
          <w:color w:val="000000"/>
          <w:sz w:val="20"/>
          <w:lang w:val="en-US" w:eastAsia="en-US" w:bidi="ar-SA"/>
        </w:rPr>
        <w:t xml:space="preserve"> (S.C.C.) at para. 125. The Supreme Court of Canada explained at para. 126 that the purpose of this limit is to:</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afford legal protection to prior occupation in the present-day. Implicit in the protection of historical patterns of occupation is a recognition of the importance of the continuity of the relationship of an aboriginal community to its land over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511</w:t>
      </w:r>
      <w:r>
        <w:rPr>
          <w:rFonts w:ascii="arial" w:eastAsia="arial" w:hAnsi="arial" w:cs="arial"/>
          <w:color w:val="000000"/>
          <w:sz w:val="20"/>
          <w:lang w:val="en-US" w:eastAsia="en-US" w:bidi="ar-SA"/>
        </w:rPr>
        <w:t>  As Brian Slattery points out in his article "The Metamorphosis of Aboriginal Title" ((2006) 85 Can. Bar Rev. 255), the common law has adapted in light of current circumstances. He states at p. 262: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adaptation was shaped by three needs: to ensure the continuity of aboriginal title and its recognition in a modern form; to supply appropriate remedies for the wrongs visited on Indigenous peoples; and to accommodate public and private interests in the lands concerned.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512</w:t>
      </w:r>
      <w:r>
        <w:rPr>
          <w:rFonts w:ascii="arial" w:eastAsia="arial" w:hAnsi="arial" w:cs="arial"/>
          <w:color w:val="000000"/>
          <w:sz w:val="20"/>
          <w:lang w:val="en-US" w:eastAsia="en-US" w:bidi="ar-SA"/>
        </w:rPr>
        <w:t xml:space="preserve">  The common law recognition of Aboriginal rights and title calls for a reconciliation of Aboriginal people's prior occupation of Canada and the sovereignty of the Crown. The </w:t>
      </w:r>
      <w:r>
        <w:rPr>
          <w:rFonts w:ascii="arial" w:eastAsia="arial" w:hAnsi="arial" w:cs="arial"/>
          <w:b/>
          <w:i/>
          <w:color w:val="000000"/>
          <w:sz w:val="20"/>
          <w:lang w:val="en-US" w:eastAsia="en-US" w:bidi="ar-SA"/>
        </w:rPr>
        <w:t>Constitution Act, 1982</w:t>
      </w:r>
      <w:r>
        <w:rPr>
          <w:rFonts w:ascii="arial" w:eastAsia="arial" w:hAnsi="arial" w:cs="arial"/>
          <w:color w:val="000000"/>
          <w:sz w:val="20"/>
          <w:lang w:val="en-US" w:eastAsia="en-US" w:bidi="ar-SA"/>
        </w:rPr>
        <w:t xml:space="preserve"> enshrined the principle of reconciliation by way of s. 35(1). Lamer C.J.C.'s majority decision in </w:t>
      </w:r>
      <w:r>
        <w:rPr>
          <w:rFonts w:ascii="arial" w:eastAsia="arial" w:hAnsi="arial" w:cs="arial"/>
          <w:b/>
          <w:i/>
          <w:color w:val="000000"/>
          <w:sz w:val="20"/>
          <w:lang w:val="en-US" w:eastAsia="en-US" w:bidi="ar-SA"/>
        </w:rPr>
        <w:t>Van der Peet</w:t>
      </w:r>
      <w:r>
        <w:rPr>
          <w:rFonts w:ascii="arial" w:eastAsia="arial" w:hAnsi="arial" w:cs="arial"/>
          <w:color w:val="000000"/>
          <w:sz w:val="20"/>
          <w:lang w:val="en-US" w:eastAsia="en-US" w:bidi="ar-SA"/>
        </w:rPr>
        <w:t xml:space="preserve"> clarified our current understanding of the origin and nature of these rights.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513</w:t>
      </w:r>
      <w:r>
        <w:rPr>
          <w:rFonts w:ascii="arial" w:eastAsia="arial" w:hAnsi="arial" w:cs="arial"/>
          <w:color w:val="000000"/>
          <w:sz w:val="20"/>
          <w:lang w:val="en-US" w:eastAsia="en-US" w:bidi="ar-SA"/>
        </w:rPr>
        <w:t>  </w:t>
      </w:r>
      <w:r>
        <w:rPr>
          <w:rFonts w:ascii="arial" w:eastAsia="arial" w:hAnsi="arial" w:cs="arial"/>
          <w:b/>
          <w:i/>
          <w:color w:val="000000"/>
          <w:sz w:val="20"/>
          <w:lang w:val="en-US" w:eastAsia="en-US" w:bidi="ar-SA"/>
        </w:rPr>
        <w:t>Van der Peet</w:t>
      </w:r>
      <w:r>
        <w:rPr>
          <w:rFonts w:ascii="arial" w:eastAsia="arial" w:hAnsi="arial" w:cs="arial"/>
          <w:color w:val="000000"/>
          <w:sz w:val="20"/>
          <w:lang w:val="en-US" w:eastAsia="en-US" w:bidi="ar-SA"/>
        </w:rPr>
        <w:t xml:space="preserve"> arose out of the prosecution of a regulatory offence pursuant to the </w:t>
      </w:r>
      <w:r>
        <w:rPr>
          <w:rFonts w:ascii="arial" w:eastAsia="arial" w:hAnsi="arial" w:cs="arial"/>
          <w:b/>
          <w:i/>
          <w:color w:val="000000"/>
          <w:sz w:val="20"/>
          <w:lang w:val="en-US" w:eastAsia="en-US" w:bidi="ar-SA"/>
        </w:rPr>
        <w:t>Fisheries Act</w:t>
      </w:r>
      <w:r>
        <w:rPr>
          <w:rFonts w:ascii="arial" w:eastAsia="arial" w:hAnsi="arial" w:cs="arial"/>
          <w:color w:val="000000"/>
          <w:sz w:val="20"/>
          <w:lang w:val="en-US" w:eastAsia="en-US" w:bidi="ar-SA"/>
        </w:rPr>
        <w:t xml:space="preserve">, R.S.C. 1970, c. F-14 and Regulations. Two members of the Sto:lo First Nation caught ten salmon in the Fraser River. They held an Indian food fishing licence which permitted them to catch fish for food. The federal fisheries Regulation specifically prohibited the sale or barter of any fish caught under the authority of such a licence. Ms. Van der Peet, the common law wife of one of the fishermen, sold the salmon for $50. She was charged under the </w:t>
      </w:r>
      <w:r>
        <w:rPr>
          <w:rFonts w:ascii="arial" w:eastAsia="arial" w:hAnsi="arial" w:cs="arial"/>
          <w:b/>
          <w:i/>
          <w:color w:val="000000"/>
          <w:sz w:val="20"/>
          <w:lang w:val="en-US" w:eastAsia="en-US" w:bidi="ar-SA"/>
        </w:rPr>
        <w:t>Fisheries Act</w:t>
      </w:r>
      <w:r>
        <w:rPr>
          <w:rFonts w:ascii="arial" w:eastAsia="arial" w:hAnsi="arial" w:cs="arial"/>
          <w:color w:val="000000"/>
          <w:sz w:val="20"/>
          <w:lang w:val="en-US" w:eastAsia="en-US" w:bidi="ar-SA"/>
        </w:rPr>
        <w:t>. She defended the charges against her on the basis that in selling the fish she was exercising an existing Aboriginal right to sell fish.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514</w:t>
      </w:r>
      <w:r>
        <w:rPr>
          <w:rFonts w:ascii="arial" w:eastAsia="arial" w:hAnsi="arial" w:cs="arial"/>
          <w:color w:val="000000"/>
          <w:sz w:val="20"/>
          <w:lang w:val="en-US" w:eastAsia="en-US" w:bidi="ar-SA"/>
        </w:rPr>
        <w:t>  In the result, the majority of the Supreme Court upheld Ms. Van der Peet's conviction. In doing so, Lamer C.J.C. confirmed that s. 35(1) did not create the legal doctrine of Aboriginal rights. Those rights existed and were recognized under the common law prior to 1982. Lamer C.J.C. explained the foundation of the modern doctrine of Aboriginal rights at para. 30,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doctrine of aboriginal rights exists, and is recognized and affirmed by s. 35(1), because of one simple fact: when Europeans arrived in North America, aboriginal peoples </w:t>
      </w:r>
      <w:r>
        <w:rPr>
          <w:rFonts w:ascii="arial" w:eastAsia="arial" w:hAnsi="arial" w:cs="arial"/>
          <w:color w:val="000000"/>
          <w:sz w:val="20"/>
          <w:u w:val="single"/>
          <w:lang w:val="en-US" w:eastAsia="en-US" w:bidi="ar-SA"/>
        </w:rPr>
        <w:t>were already here</w:t>
      </w:r>
      <w:r>
        <w:rPr>
          <w:rFonts w:ascii="arial" w:eastAsia="arial" w:hAnsi="arial" w:cs="arial"/>
          <w:color w:val="000000"/>
          <w:sz w:val="20"/>
          <w:lang w:val="en-US" w:eastAsia="en-US" w:bidi="ar-SA"/>
        </w:rPr>
        <w:t>, living in communities on the land, and participating in distinctive cultures, as they had done for centuries.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515</w:t>
      </w:r>
      <w:r>
        <w:rPr>
          <w:rFonts w:ascii="arial" w:eastAsia="arial" w:hAnsi="arial" w:cs="arial"/>
          <w:color w:val="000000"/>
          <w:sz w:val="20"/>
          <w:lang w:val="en-US" w:eastAsia="en-US" w:bidi="ar-SA"/>
        </w:rPr>
        <w:t>  Lamer C.J.C. also explored the purpose behind s. 35(1) and found it goes even further than simply recognizing the existence of Aboriginal rights. The Chief Justice explained in para. 31 that the purpose of s. 35(1) is to:</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provide the constitutional framework through which the fact that aboriginals lived on the land in distinctive societies, with their own practices, traditions and cultures, is acknowledged and reconciled with the sovereignty of the Crown. The substantive rights which fall within the provision must be defined in light of this purpose: the aboriginal rights recognized and affirmed by s. 35(1) must be directed towards the reconciliation of the pre-existence of aboriginal societies with the sovereignty of the Crown.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516</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Van der Peet</w:t>
      </w:r>
      <w:r>
        <w:rPr>
          <w:rFonts w:ascii="arial" w:eastAsia="arial" w:hAnsi="arial" w:cs="arial"/>
          <w:color w:val="000000"/>
          <w:sz w:val="20"/>
          <w:lang w:val="en-US" w:eastAsia="en-US" w:bidi="ar-SA"/>
        </w:rPr>
        <w:t xml:space="preserve"> the court also articulated a test for determining whether a particular activity is protected as an Aboriginal right, as follows: para. 44: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order to fulfill the purpose underlying s. 35(1) - </w:t>
      </w:r>
      <w:r>
        <w:rPr>
          <w:rFonts w:ascii="arial" w:eastAsia="arial" w:hAnsi="arial" w:cs="arial"/>
          <w:i/>
          <w:color w:val="000000"/>
          <w:sz w:val="20"/>
          <w:lang w:val="en-US" w:eastAsia="en-US" w:bidi="ar-SA"/>
        </w:rPr>
        <w:t>i.e.</w:t>
      </w:r>
      <w:r>
        <w:rPr>
          <w:rFonts w:ascii="arial" w:eastAsia="arial" w:hAnsi="arial" w:cs="arial"/>
          <w:color w:val="000000"/>
          <w:sz w:val="20"/>
          <w:lang w:val="en-US" w:eastAsia="en-US" w:bidi="ar-SA"/>
        </w:rPr>
        <w:t>, the protection and reconciliation of the interests which arise from the fact that prior to the arrival of Europeans in North America aboriginal peoples lived on the land in distinctive societies, with their own practices, customs and traditions - the test for identifying the aboriginal rights recognized and affirmed by s. 35(1) must be directed at identifying the crucial elements of those pre-existing distinctive societies. It must, in other words, aim at identifying the practices, traditions and customs central to the aboriginal societies that existed in North America prior to contact with the Europeans.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517</w:t>
      </w:r>
      <w:r>
        <w:rPr>
          <w:rFonts w:ascii="arial" w:eastAsia="arial" w:hAnsi="arial" w:cs="arial"/>
          <w:color w:val="000000"/>
          <w:sz w:val="20"/>
          <w:lang w:val="en-US" w:eastAsia="en-US" w:bidi="ar-SA"/>
        </w:rPr>
        <w:t xml:space="preserve">  What emerges from this is that prior to the 1990's, it was thought that fishing and hunting rights were derived from and were dependent upon the existence of a title, usually called Indian title, which existed throughout an Aboriginal group's traditional territory. This approach was summarized by the Quebec Court of Appeal in </w:t>
      </w:r>
      <w:r>
        <w:rPr>
          <w:rFonts w:ascii="arial" w:eastAsia="arial" w:hAnsi="arial" w:cs="arial"/>
          <w:b/>
          <w:i/>
          <w:color w:val="000000"/>
          <w:sz w:val="20"/>
          <w:lang w:val="en-US" w:eastAsia="en-US" w:bidi="ar-SA"/>
        </w:rPr>
        <w:t>R. v. Côté</w:t>
      </w:r>
      <w:r>
        <w:rPr>
          <w:rFonts w:ascii="arial" w:eastAsia="arial" w:hAnsi="arial" w:cs="arial"/>
          <w:color w:val="000000"/>
          <w:sz w:val="20"/>
          <w:lang w:val="en-US" w:eastAsia="en-US" w:bidi="ar-SA"/>
        </w:rPr>
        <w:t xml:space="preserve"> </w:t>
      </w:r>
      <w:hyperlink r:id="rId682" w:history="1">
        <w:r>
          <w:rPr>
            <w:rFonts w:ascii="arial" w:eastAsia="arial" w:hAnsi="arial" w:cs="arial"/>
            <w:i/>
            <w:color w:val="0077CC"/>
            <w:sz w:val="20"/>
            <w:u w:val="single"/>
            <w:shd w:val="clear" w:color="auto" w:fill="FFFFFF"/>
            <w:lang w:val="en-US" w:eastAsia="en-US" w:bidi="ar-SA"/>
          </w:rPr>
          <w:t>(1993), 107 D.L.R. (4th) 28</w:t>
        </w:r>
      </w:hyperlink>
      <w:r>
        <w:rPr>
          <w:rFonts w:ascii="arial" w:eastAsia="arial" w:hAnsi="arial" w:cs="arial"/>
          <w:color w:val="000000"/>
          <w:sz w:val="20"/>
          <w:lang w:val="en-US" w:eastAsia="en-US" w:bidi="ar-SA"/>
        </w:rPr>
        <w:t xml:space="preserve"> where Beaudouin J.A., at p. 43,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Aboriginal Indian title, let us recall, is a sort of </w:t>
      </w:r>
      <w:r>
        <w:rPr>
          <w:rFonts w:ascii="arial" w:eastAsia="arial" w:hAnsi="arial" w:cs="arial"/>
          <w:i/>
          <w:color w:val="000000"/>
          <w:sz w:val="20"/>
          <w:lang w:val="en-US" w:eastAsia="en-US" w:bidi="ar-SA"/>
        </w:rPr>
        <w:t>sui generis</w:t>
      </w:r>
      <w:r>
        <w:rPr>
          <w:rFonts w:ascii="arial" w:eastAsia="arial" w:hAnsi="arial" w:cs="arial"/>
          <w:color w:val="000000"/>
          <w:sz w:val="20"/>
          <w:lang w:val="en-US" w:eastAsia="en-US" w:bidi="ar-SA"/>
        </w:rPr>
        <w:t xml:space="preserve"> right of usufruct implying the right to hunt and fish for subsistence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518</w:t>
      </w:r>
      <w:r>
        <w:rPr>
          <w:rFonts w:ascii="arial" w:eastAsia="arial" w:hAnsi="arial" w:cs="arial"/>
          <w:color w:val="000000"/>
          <w:sz w:val="20"/>
          <w:lang w:val="en-US" w:eastAsia="en-US" w:bidi="ar-SA"/>
        </w:rPr>
        <w:t xml:space="preserve">  Today we no longer speak of an overarching Aboriginal title. It is more accurate to speak of a variety of Aboriginal rights. One of these rights is Aboriginal title to land. Aboriginal title is one manifestation of the broader concept of Aboriginal rights: </w:t>
      </w:r>
      <w:r>
        <w:rPr>
          <w:rFonts w:ascii="arial" w:eastAsia="arial" w:hAnsi="arial" w:cs="arial"/>
          <w:b/>
          <w:i/>
          <w:color w:val="000000"/>
          <w:sz w:val="20"/>
          <w:lang w:val="en-US" w:eastAsia="en-US" w:bidi="ar-SA"/>
        </w:rPr>
        <w:t>R. v. Adams</w:t>
      </w:r>
      <w:r>
        <w:rPr>
          <w:rFonts w:ascii="arial" w:eastAsia="arial" w:hAnsi="arial" w:cs="arial"/>
          <w:color w:val="000000"/>
          <w:sz w:val="20"/>
          <w:lang w:val="en-US" w:eastAsia="en-US" w:bidi="ar-SA"/>
        </w:rPr>
        <w:t xml:space="preserve">, </w:t>
      </w:r>
      <w:hyperlink r:id="rId683" w:history="1">
        <w:r>
          <w:rPr>
            <w:rFonts w:ascii="arial" w:eastAsia="arial" w:hAnsi="arial" w:cs="arial"/>
            <w:i/>
            <w:color w:val="0077CC"/>
            <w:sz w:val="20"/>
            <w:u w:val="single"/>
            <w:shd w:val="clear" w:color="auto" w:fill="FFFFFF"/>
            <w:lang w:val="en-US" w:eastAsia="en-US" w:bidi="ar-SA"/>
          </w:rPr>
          <w:t>[1996] 3 S.C.R. 101</w:t>
        </w:r>
      </w:hyperlink>
      <w:r>
        <w:rPr>
          <w:rFonts w:ascii="arial" w:eastAsia="arial" w:hAnsi="arial" w:cs="arial"/>
          <w:color w:val="000000"/>
          <w:sz w:val="20"/>
          <w:lang w:val="en-US" w:eastAsia="en-US" w:bidi="ar-SA"/>
        </w:rPr>
        <w:t xml:space="preserve"> at para. 25. Aboriginal rights are not a subset of Aboriginal title derived from or dependent upon proof of an overarching or underlying Aboriginal title. Lamer C.J.C. in </w:t>
      </w:r>
      <w:r>
        <w:rPr>
          <w:rFonts w:ascii="arial" w:eastAsia="arial" w:hAnsi="arial" w:cs="arial"/>
          <w:b/>
          <w:i/>
          <w:color w:val="000000"/>
          <w:sz w:val="20"/>
          <w:lang w:val="en-US" w:eastAsia="en-US" w:bidi="ar-SA"/>
        </w:rPr>
        <w:t>Van der Peet</w:t>
      </w:r>
      <w:r>
        <w:rPr>
          <w:rFonts w:ascii="arial" w:eastAsia="arial" w:hAnsi="arial" w:cs="arial"/>
          <w:color w:val="000000"/>
          <w:sz w:val="20"/>
          <w:lang w:val="en-US" w:eastAsia="en-US" w:bidi="ar-SA"/>
        </w:rPr>
        <w:t xml:space="preserve"> at para. 33 described Aboriginal title as a subcategory of Aboriginal rights: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Aboriginal title is the aspect of aboriginal rights related specifically to aboriginal claims to land; it is the way in which the common law recognizes aboriginal land rights.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 further, at para. 74: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aboriginal title is a sub-category of aboriginal rights which deals solely with claims of rights to 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519</w:t>
      </w:r>
      <w:r>
        <w:rPr>
          <w:rFonts w:ascii="arial" w:eastAsia="arial" w:hAnsi="arial" w:cs="arial"/>
          <w:color w:val="000000"/>
          <w:sz w:val="20"/>
          <w:lang w:val="en-US" w:eastAsia="en-US" w:bidi="ar-SA"/>
        </w:rPr>
        <w:t xml:space="preserve">  This refinement in the terminology used in modern Aboriginal rights and Aboriginal title cases has to be considered when discussing historic Canadian cases and foreign jurisprudence which use different terminology, or sometimes the same terminology, to describe different concepts. In </w:t>
      </w:r>
      <w:r>
        <w:rPr>
          <w:rFonts w:ascii="arial" w:eastAsia="arial" w:hAnsi="arial" w:cs="arial"/>
          <w:b/>
          <w:i/>
          <w:color w:val="000000"/>
          <w:sz w:val="20"/>
          <w:lang w:val="en-US" w:eastAsia="en-US" w:bidi="ar-SA"/>
        </w:rPr>
        <w:t>Van der Peet</w:t>
      </w:r>
      <w:r>
        <w:rPr>
          <w:rFonts w:ascii="arial" w:eastAsia="arial" w:hAnsi="arial" w:cs="arial"/>
          <w:color w:val="000000"/>
          <w:sz w:val="20"/>
          <w:lang w:val="en-US" w:eastAsia="en-US" w:bidi="ar-SA"/>
        </w:rPr>
        <w:t xml:space="preserve"> at para. 35, the Court recognized that Aboriginal law in the United States and Australia is "significantly different from Canadian aboriginal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520</w:t>
      </w:r>
      <w:r>
        <w:rPr>
          <w:rFonts w:ascii="arial" w:eastAsia="arial" w:hAnsi="arial" w:cs="arial"/>
          <w:color w:val="000000"/>
          <w:sz w:val="20"/>
          <w:lang w:val="en-US" w:eastAsia="en-US" w:bidi="ar-SA"/>
        </w:rPr>
        <w:t xml:space="preserve">  The Supreme Court of Canada made a similar observation regarding Australian jurisprudence in </w:t>
      </w:r>
      <w:r>
        <w:rPr>
          <w:rFonts w:ascii="arial" w:eastAsia="arial" w:hAnsi="arial" w:cs="arial"/>
          <w:b/>
          <w:i/>
          <w:color w:val="000000"/>
          <w:sz w:val="20"/>
          <w:lang w:val="en-US" w:eastAsia="en-US" w:bidi="ar-SA"/>
        </w:rPr>
        <w:t>Van der Peet</w:t>
      </w:r>
      <w:r>
        <w:rPr>
          <w:rFonts w:ascii="arial" w:eastAsia="arial" w:hAnsi="arial" w:cs="arial"/>
          <w:color w:val="000000"/>
          <w:sz w:val="20"/>
          <w:lang w:val="en-US" w:eastAsia="en-US" w:bidi="ar-SA"/>
        </w:rPr>
        <w:t xml:space="preserve"> at para. 38: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Like that of the United States, Australia's aboriginal law differs in significant respects from that of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521</w:t>
      </w:r>
      <w:r>
        <w:rPr>
          <w:rFonts w:ascii="arial" w:eastAsia="arial" w:hAnsi="arial" w:cs="arial"/>
          <w:color w:val="000000"/>
          <w:sz w:val="20"/>
          <w:lang w:val="en-US" w:eastAsia="en-US" w:bidi="ar-SA"/>
        </w:rPr>
        <w:t>  In the foregoing discussion I have attempted to demonstrate that our understanding of Aboriginal rights and title has evolved as particular issues have been addressed by the courts. In the pre-</w:t>
      </w:r>
      <w:r>
        <w:rPr>
          <w:rFonts w:ascii="arial" w:eastAsia="arial" w:hAnsi="arial" w:cs="arial"/>
          <w:b/>
          <w:i/>
          <w:color w:val="000000"/>
          <w:sz w:val="20"/>
          <w:lang w:val="en-US" w:eastAsia="en-US" w:bidi="ar-SA"/>
        </w:rPr>
        <w:t>Constitution Act, 1982</w:t>
      </w:r>
      <w:r>
        <w:rPr>
          <w:rFonts w:ascii="arial" w:eastAsia="arial" w:hAnsi="arial" w:cs="arial"/>
          <w:color w:val="000000"/>
          <w:sz w:val="20"/>
          <w:lang w:val="en-US" w:eastAsia="en-US" w:bidi="ar-SA"/>
        </w:rPr>
        <w:t xml:space="preserve"> era, claims were made that Aboriginal title existed throughout traditional territories and gave rise to a right to continue to use Crown lands that had not been granted to others, for traditional pursuits. The content of the Aboriginal title was commonly understood to be inclusive of Aboriginal rights to hunt and fish for food and subsistence with a geographic scope based on a territorial concept of occupation, existing throughout entire traditional territories.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522</w:t>
      </w:r>
      <w:r>
        <w:rPr>
          <w:rFonts w:ascii="arial" w:eastAsia="arial" w:hAnsi="arial" w:cs="arial"/>
          <w:color w:val="000000"/>
          <w:sz w:val="20"/>
          <w:lang w:val="en-US" w:eastAsia="en-US" w:bidi="ar-SA"/>
        </w:rPr>
        <w:t>  This view has been altered in the post-</w:t>
      </w:r>
      <w:r>
        <w:rPr>
          <w:rFonts w:ascii="arial" w:eastAsia="arial" w:hAnsi="arial" w:cs="arial"/>
          <w:b/>
          <w:i/>
          <w:color w:val="000000"/>
          <w:sz w:val="20"/>
          <w:lang w:val="en-US" w:eastAsia="en-US" w:bidi="ar-SA"/>
        </w:rPr>
        <w:t>Constitution Act, 1982</w:t>
      </w:r>
      <w:r>
        <w:rPr>
          <w:rFonts w:ascii="arial" w:eastAsia="arial" w:hAnsi="arial" w:cs="arial"/>
          <w:color w:val="000000"/>
          <w:sz w:val="20"/>
          <w:lang w:val="en-US" w:eastAsia="en-US" w:bidi="ar-SA"/>
        </w:rPr>
        <w:t xml:space="preserve"> jurisprudence. In the Supreme Court of Canada cases </w:t>
      </w:r>
      <w:r>
        <w:rPr>
          <w:rFonts w:ascii="arial" w:eastAsia="arial" w:hAnsi="arial" w:cs="arial"/>
          <w:b/>
          <w:i/>
          <w:color w:val="000000"/>
          <w:sz w:val="20"/>
          <w:lang w:val="en-US" w:eastAsia="en-US" w:bidi="ar-SA"/>
        </w:rPr>
        <w:t>Adams</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Côté</w:t>
      </w:r>
      <w:r>
        <w:rPr>
          <w:rFonts w:ascii="arial" w:eastAsia="arial" w:hAnsi="arial" w:cs="arial"/>
          <w:color w:val="000000"/>
          <w:sz w:val="20"/>
          <w:lang w:val="en-US" w:eastAsia="en-US" w:bidi="ar-SA"/>
        </w:rPr>
        <w:t xml:space="preserve">, the Court confirmed that "claims to title to the land are simply one manifestation of a broader-based conception of aboriginal rights": </w:t>
      </w:r>
      <w:r>
        <w:rPr>
          <w:rFonts w:ascii="arial" w:eastAsia="arial" w:hAnsi="arial" w:cs="arial"/>
          <w:b/>
          <w:i/>
          <w:color w:val="000000"/>
          <w:sz w:val="20"/>
          <w:lang w:val="en-US" w:eastAsia="en-US" w:bidi="ar-SA"/>
        </w:rPr>
        <w:t>Adams</w:t>
      </w:r>
      <w:r>
        <w:rPr>
          <w:rFonts w:ascii="arial" w:eastAsia="arial" w:hAnsi="arial" w:cs="arial"/>
          <w:color w:val="000000"/>
          <w:sz w:val="20"/>
          <w:lang w:val="en-US" w:eastAsia="en-US" w:bidi="ar-SA"/>
        </w:rPr>
        <w:t xml:space="preserve"> at para. 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523</w:t>
      </w:r>
      <w:r>
        <w:rPr>
          <w:rFonts w:ascii="arial" w:eastAsia="arial" w:hAnsi="arial" w:cs="arial"/>
          <w:color w:val="000000"/>
          <w:sz w:val="20"/>
          <w:lang w:val="en-US" w:eastAsia="en-US" w:bidi="ar-SA"/>
        </w:rPr>
        <w:t>  </w:t>
      </w:r>
      <w:r>
        <w:rPr>
          <w:rFonts w:ascii="arial" w:eastAsia="arial" w:hAnsi="arial" w:cs="arial"/>
          <w:b/>
          <w:i/>
          <w:color w:val="000000"/>
          <w:sz w:val="20"/>
          <w:lang w:val="en-US" w:eastAsia="en-US" w:bidi="ar-SA"/>
        </w:rPr>
        <w:t>Côté</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Adams</w:t>
      </w:r>
      <w:r>
        <w:rPr>
          <w:rFonts w:ascii="arial" w:eastAsia="arial" w:hAnsi="arial" w:cs="arial"/>
          <w:color w:val="000000"/>
          <w:sz w:val="20"/>
          <w:lang w:val="en-US" w:eastAsia="en-US" w:bidi="ar-SA"/>
        </w:rPr>
        <w:t xml:space="preserve"> confirmed that site-specific Aboriginal rights to fish and hunt may be established over some or all of a group's traditional territory even where a claim of Aboriginal title is not made out. Aboriginal title does not subsist everywhere that Aboriginal rights are carried out, and Aboriginal title does not exist everywhere in a group's exclusive traditional territory.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524</w:t>
      </w:r>
      <w:r>
        <w:rPr>
          <w:rFonts w:ascii="arial" w:eastAsia="arial" w:hAnsi="arial" w:cs="arial"/>
          <w:color w:val="000000"/>
          <w:sz w:val="20"/>
          <w:lang w:val="en-US" w:eastAsia="en-US" w:bidi="ar-SA"/>
        </w:rPr>
        <w:t>  This development shed new light upon previous arguments concerning the geographic extent of Aboriginal title. It was possible for an Aboriginal group to show that a particular practice, custom or tradition taking place on particular lands was integral to their distinctive culture so as to establish site-specific Aboriginal rights, but not establish Aboriginal title on those same lands. Thus, it was clear there were areas used by Aboriginal people upon which Aboriginal title did not exist.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525</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Adams</w:t>
      </w:r>
      <w:r>
        <w:rPr>
          <w:rFonts w:ascii="arial" w:eastAsia="arial" w:hAnsi="arial" w:cs="arial"/>
          <w:color w:val="000000"/>
          <w:sz w:val="20"/>
          <w:lang w:val="en-US" w:eastAsia="en-US" w:bidi="ar-SA"/>
        </w:rPr>
        <w:t xml:space="preserve">, the Supreme Court rejected the position of the Quebec government that an Aboriginal fishing right could not be found on land in relation to which the Indians had surrendered their Aboriginal title. In </w:t>
      </w:r>
      <w:r>
        <w:rPr>
          <w:rFonts w:ascii="arial" w:eastAsia="arial" w:hAnsi="arial" w:cs="arial"/>
          <w:b/>
          <w:i/>
          <w:color w:val="000000"/>
          <w:sz w:val="20"/>
          <w:lang w:val="en-US" w:eastAsia="en-US" w:bidi="ar-SA"/>
        </w:rPr>
        <w:t>Adams</w:t>
      </w:r>
      <w:r>
        <w:rPr>
          <w:rFonts w:ascii="arial" w:eastAsia="arial" w:hAnsi="arial" w:cs="arial"/>
          <w:color w:val="000000"/>
          <w:sz w:val="20"/>
          <w:lang w:val="en-US" w:eastAsia="en-US" w:bidi="ar-SA"/>
        </w:rPr>
        <w:t xml:space="preserve"> at paras. 26 and 27, it was noted "that some Aboriginal peoples were nomadic, varying the location of their settlements with the season and changing circumstances" and that these peoples' form of occupation and use of lands was not "sufficient to support a claim of title to the land" even though "many of the practices, customs and traditions of nomadic peoples that took place on the land were integral to their distinctive cultures".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526</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Côté</w:t>
      </w:r>
      <w:r>
        <w:rPr>
          <w:rFonts w:ascii="arial" w:eastAsia="arial" w:hAnsi="arial" w:cs="arial"/>
          <w:color w:val="000000"/>
          <w:sz w:val="20"/>
          <w:lang w:val="en-US" w:eastAsia="en-US" w:bidi="ar-SA"/>
        </w:rPr>
        <w:t xml:space="preserve"> the appellants, members of the Algonquin nation, were convicted of the offence of entering a controlled harvest zone in the Outaouais region of Quebec without paying a provincially required fee for motor vehicle access. Côté was also convicted of the offence of fishing within the zone without a valid licence. The appellants jointly challenged their convictions on the basis that they were exercising an Aboriginal right and concurrent treaty right to fish based on a claimed Aboriginal title to their ancestral lands.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527</w:t>
      </w:r>
      <w:r>
        <w:rPr>
          <w:rFonts w:ascii="arial" w:eastAsia="arial" w:hAnsi="arial" w:cs="arial"/>
          <w:color w:val="000000"/>
          <w:sz w:val="20"/>
          <w:lang w:val="en-US" w:eastAsia="en-US" w:bidi="ar-SA"/>
        </w:rPr>
        <w:t xml:space="preserve">  As with the other pre-1990 cases, throughout the lower court proceedings the appellants in </w:t>
      </w:r>
      <w:r>
        <w:rPr>
          <w:rFonts w:ascii="arial" w:eastAsia="arial" w:hAnsi="arial" w:cs="arial"/>
          <w:b/>
          <w:i/>
          <w:color w:val="000000"/>
          <w:sz w:val="20"/>
          <w:lang w:val="en-US" w:eastAsia="en-US" w:bidi="ar-SA"/>
        </w:rPr>
        <w:t>Côté</w:t>
      </w:r>
      <w:r>
        <w:rPr>
          <w:rFonts w:ascii="arial" w:eastAsia="arial" w:hAnsi="arial" w:cs="arial"/>
          <w:color w:val="000000"/>
          <w:sz w:val="20"/>
          <w:lang w:val="en-US" w:eastAsia="en-US" w:bidi="ar-SA"/>
        </w:rPr>
        <w:t xml:space="preserve"> framed their claim as a right to fish incidental to Indian title to their ancestral lands. They relied on the </w:t>
      </w:r>
      <w:r>
        <w:rPr>
          <w:rFonts w:ascii="arial" w:eastAsia="arial" w:hAnsi="arial" w:cs="arial"/>
          <w:b/>
          <w:i/>
          <w:color w:val="000000"/>
          <w:sz w:val="20"/>
          <w:lang w:val="en-US" w:eastAsia="en-US" w:bidi="ar-SA"/>
        </w:rPr>
        <w:t>Baker Lake</w:t>
      </w:r>
      <w:r>
        <w:rPr>
          <w:rFonts w:ascii="arial" w:eastAsia="arial" w:hAnsi="arial" w:cs="arial"/>
          <w:color w:val="000000"/>
          <w:sz w:val="20"/>
          <w:lang w:val="en-US" w:eastAsia="en-US" w:bidi="ar-SA"/>
        </w:rPr>
        <w:t xml:space="preserve"> test of occupation.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528</w:t>
      </w:r>
      <w:r>
        <w:rPr>
          <w:rFonts w:ascii="arial" w:eastAsia="arial" w:hAnsi="arial" w:cs="arial"/>
          <w:color w:val="000000"/>
          <w:sz w:val="20"/>
          <w:lang w:val="en-US" w:eastAsia="en-US" w:bidi="ar-SA"/>
        </w:rPr>
        <w:t xml:space="preserve">  The Supreme Court of Canada concluded in </w:t>
      </w:r>
      <w:r>
        <w:rPr>
          <w:rFonts w:ascii="arial" w:eastAsia="arial" w:hAnsi="arial" w:cs="arial"/>
          <w:b/>
          <w:i/>
          <w:color w:val="000000"/>
          <w:sz w:val="20"/>
          <w:lang w:val="en-US" w:eastAsia="en-US" w:bidi="ar-SA"/>
        </w:rPr>
        <w:t>Côté</w:t>
      </w:r>
      <w:r>
        <w:rPr>
          <w:rFonts w:ascii="arial" w:eastAsia="arial" w:hAnsi="arial" w:cs="arial"/>
          <w:color w:val="000000"/>
          <w:sz w:val="20"/>
          <w:lang w:val="en-US" w:eastAsia="en-US" w:bidi="ar-SA"/>
        </w:rPr>
        <w:t xml:space="preserve"> that fishing for food within the lakes of the relevant territory was a significant part of the life of the Algonquin people. This gave rise to an Aboriginal right exercisable in that territory even in the absence of Aboriginal title.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529</w:t>
      </w:r>
      <w:r>
        <w:rPr>
          <w:rFonts w:ascii="arial" w:eastAsia="arial" w:hAnsi="arial" w:cs="arial"/>
          <w:color w:val="000000"/>
          <w:sz w:val="20"/>
          <w:lang w:val="en-US" w:eastAsia="en-US" w:bidi="ar-SA"/>
        </w:rPr>
        <w:t xml:space="preserve">  At para. 67 of </w:t>
      </w:r>
      <w:r>
        <w:rPr>
          <w:rFonts w:ascii="arial" w:eastAsia="arial" w:hAnsi="arial" w:cs="arial"/>
          <w:b/>
          <w:i/>
          <w:color w:val="000000"/>
          <w:sz w:val="20"/>
          <w:lang w:val="en-US" w:eastAsia="en-US" w:bidi="ar-SA"/>
        </w:rPr>
        <w:t>Côté</w:t>
      </w:r>
      <w:r>
        <w:rPr>
          <w:rFonts w:ascii="arial" w:eastAsia="arial" w:hAnsi="arial" w:cs="arial"/>
          <w:color w:val="000000"/>
          <w:sz w:val="20"/>
          <w:lang w:val="en-US" w:eastAsia="en-US" w:bidi="ar-SA"/>
        </w:rPr>
        <w:t xml:space="preserve"> the Supreme Court of Canada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 conclude that Frenette J. made a finding of fact that ... the </w:t>
      </w:r>
      <w:r>
        <w:rPr>
          <w:rFonts w:ascii="arial" w:eastAsia="arial" w:hAnsi="arial" w:cs="arial"/>
          <w:i/>
          <w:color w:val="000000"/>
          <w:sz w:val="20"/>
          <w:lang w:val="en-US" w:eastAsia="en-US" w:bidi="ar-SA"/>
        </w:rPr>
        <w:t>ancestral lands</w:t>
      </w:r>
      <w:r>
        <w:rPr>
          <w:rFonts w:ascii="arial" w:eastAsia="arial" w:hAnsi="arial" w:cs="arial"/>
          <w:color w:val="000000"/>
          <w:sz w:val="20"/>
          <w:lang w:val="en-US" w:eastAsia="en-US" w:bidi="ar-SA"/>
        </w:rPr>
        <w:t xml:space="preserve"> of the Algonquins lay at the heart of the Ottawa River basin. These </w:t>
      </w:r>
      <w:r>
        <w:rPr>
          <w:rFonts w:ascii="arial" w:eastAsia="arial" w:hAnsi="arial" w:cs="arial"/>
          <w:i/>
          <w:color w:val="000000"/>
          <w:sz w:val="20"/>
          <w:lang w:val="en-US" w:eastAsia="en-US" w:bidi="ar-SA"/>
        </w:rPr>
        <w:t>ancestral lands</w:t>
      </w:r>
      <w:r>
        <w:rPr>
          <w:rFonts w:ascii="arial" w:eastAsia="arial" w:hAnsi="arial" w:cs="arial"/>
          <w:color w:val="000000"/>
          <w:sz w:val="20"/>
          <w:lang w:val="en-US" w:eastAsia="en-US" w:bidi="ar-SA"/>
        </w:rPr>
        <w:t xml:space="preserve"> included the territory demarked by the Z.E.C. ... The Algonquins, as a socially organized but nomadic people, moved frequently within these lands. The traditional diet of the Algonquins depended on the season, but Parent concluded on the basis of the available anthropological evidence that the Algonquins predominantly relied on fish to survive during the fall season prior to winter.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530</w:t>
      </w:r>
      <w:r>
        <w:rPr>
          <w:rFonts w:ascii="arial" w:eastAsia="arial" w:hAnsi="arial" w:cs="arial"/>
          <w:color w:val="000000"/>
          <w:sz w:val="20"/>
          <w:lang w:val="en-US" w:eastAsia="en-US" w:bidi="ar-SA"/>
        </w:rPr>
        <w:t>  Not all the ancestral lands or traditional territory used by an Aboriginal people are subject to Aboriginal title. Freestanding Aboriginal rights may be exercised within those ancestral lands without establishing Aboriginal title. An Aboriginal people may demonstrate that an activity on a specific tract of land gives rise to an Aboriginal right, but this will not be sufficient to satisfy the further hurdle to establish Aboriginal title.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531</w:t>
      </w:r>
      <w:r>
        <w:rPr>
          <w:rFonts w:ascii="arial" w:eastAsia="arial" w:hAnsi="arial" w:cs="arial"/>
          <w:color w:val="000000"/>
          <w:sz w:val="20"/>
          <w:lang w:val="en-US" w:eastAsia="en-US" w:bidi="ar-SA"/>
        </w:rPr>
        <w:t xml:space="preserve">  The developments in </w:t>
      </w:r>
      <w:r>
        <w:rPr>
          <w:rFonts w:ascii="arial" w:eastAsia="arial" w:hAnsi="arial" w:cs="arial"/>
          <w:b/>
          <w:i/>
          <w:color w:val="000000"/>
          <w:sz w:val="20"/>
          <w:lang w:val="en-US" w:eastAsia="en-US" w:bidi="ar-SA"/>
        </w:rPr>
        <w:t>Adams</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Côté</w:t>
      </w:r>
      <w:r>
        <w:rPr>
          <w:rFonts w:ascii="arial" w:eastAsia="arial" w:hAnsi="arial" w:cs="arial"/>
          <w:color w:val="000000"/>
          <w:sz w:val="20"/>
          <w:lang w:val="en-US" w:eastAsia="en-US" w:bidi="ar-SA"/>
        </w:rPr>
        <w:t xml:space="preserve"> were described in an article written by Kent McNeil titled "Aboriginal Title and Aboriginal Rights: What's the Connection?" (1997), 36 Alta. L.R. 117. At p. 121 he said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picture which emerges from Lamer C.J.C.'s discussions of the relationship between Aboriginal title and Aboriginal rights in </w:t>
      </w:r>
      <w:r>
        <w:rPr>
          <w:rFonts w:ascii="arial" w:eastAsia="arial" w:hAnsi="arial" w:cs="arial"/>
          <w:i/>
          <w:color w:val="000000"/>
          <w:sz w:val="20"/>
          <w:lang w:val="en-US" w:eastAsia="en-US" w:bidi="ar-SA"/>
        </w:rPr>
        <w:t>Adams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Côté</w:t>
      </w:r>
      <w:r>
        <w:rPr>
          <w:rFonts w:ascii="arial" w:eastAsia="arial" w:hAnsi="arial" w:cs="arial"/>
          <w:color w:val="000000"/>
          <w:sz w:val="20"/>
          <w:lang w:val="en-US" w:eastAsia="en-US" w:bidi="ar-SA"/>
        </w:rPr>
        <w:t xml:space="preserve"> can be summarized as follows. Aboriginal title depends on proof of a connection with specific land that meets an as yet undefined threshold of sufficient occupation, one aspect of which is a degree of permanence that is also undefined.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532</w:t>
      </w:r>
      <w:r>
        <w:rPr>
          <w:rFonts w:ascii="arial" w:eastAsia="arial" w:hAnsi="arial" w:cs="arial"/>
          <w:color w:val="000000"/>
          <w:sz w:val="20"/>
          <w:lang w:val="en-US" w:eastAsia="en-US" w:bidi="ar-SA"/>
        </w:rPr>
        <w:t xml:space="preserve">  Since this comment was made, the Supreme Court of Canada has delivered several important decisions that have provided further guidance on the nature and content of Aboriginal title. Perhaps the most significant Aboriginal title case to be decided to date is </w:t>
      </w:r>
      <w:r>
        <w:rPr>
          <w:rFonts w:ascii="arial" w:eastAsia="arial" w:hAnsi="arial" w:cs="arial"/>
          <w:b/>
          <w:i/>
          <w:color w:val="000000"/>
          <w:sz w:val="20"/>
          <w:lang w:val="en-US" w:eastAsia="en-US" w:bidi="ar-SA"/>
        </w:rPr>
        <w:t>Delgamuukw</w:t>
      </w:r>
      <w:r>
        <w:rPr>
          <w:rFonts w:ascii="arial" w:eastAsia="arial" w:hAnsi="arial" w:cs="arial"/>
          <w:color w:val="000000"/>
          <w:sz w:val="20"/>
          <w:lang w:val="en-US" w:eastAsia="en-US" w:bidi="ar-SA"/>
        </w:rPr>
        <w:t>. That case involved a claim by the Gitksan and Wet'suwet'en people to ownership or title to lands traditionally occupied by their ancestors. In it, the Court provided the current definition of Aboriginal title and explained how that title could be proven.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533</w:t>
      </w:r>
      <w:r>
        <w:rPr>
          <w:rFonts w:ascii="arial" w:eastAsia="arial" w:hAnsi="arial" w:cs="arial"/>
          <w:color w:val="000000"/>
          <w:sz w:val="20"/>
          <w:lang w:val="en-US" w:eastAsia="en-US" w:bidi="ar-SA"/>
        </w:rPr>
        <w:t xml:space="preserve">  The Court examined in abstract terms: the content of Aboriginal title, how it is protected by s. 35(1) and what is required for its proof. Although the majority of the judgment is considered </w:t>
      </w:r>
      <w:r>
        <w:rPr>
          <w:rFonts w:ascii="arial" w:eastAsia="arial" w:hAnsi="arial" w:cs="arial"/>
          <w:i/>
          <w:color w:val="000000"/>
          <w:sz w:val="20"/>
          <w:lang w:val="en-US" w:eastAsia="en-US" w:bidi="ar-SA"/>
        </w:rPr>
        <w:t>obiter dicta</w:t>
      </w:r>
      <w:r>
        <w:rPr>
          <w:rFonts w:ascii="arial" w:eastAsia="arial" w:hAnsi="arial" w:cs="arial"/>
          <w:color w:val="000000"/>
          <w:sz w:val="20"/>
          <w:lang w:val="en-US" w:eastAsia="en-US" w:bidi="ar-SA"/>
        </w:rPr>
        <w:t xml:space="preserve">, it is, as Lambert J.A. has observed, "very persuasive </w:t>
      </w:r>
      <w:r>
        <w:rPr>
          <w:rFonts w:ascii="arial" w:eastAsia="arial" w:hAnsi="arial" w:cs="arial"/>
          <w:i/>
          <w:color w:val="000000"/>
          <w:sz w:val="20"/>
          <w:lang w:val="en-US" w:eastAsia="en-US" w:bidi="ar-SA"/>
        </w:rPr>
        <w:t>obiter</w:t>
      </w:r>
      <w:r>
        <w:rPr>
          <w:rFonts w:ascii="arial" w:eastAsia="arial" w:hAnsi="arial" w:cs="arial"/>
          <w:color w:val="000000"/>
          <w:sz w:val="20"/>
          <w:lang w:val="en-US" w:eastAsia="en-US" w:bidi="ar-SA"/>
        </w:rPr>
        <w:t xml:space="preserve">": D. Lambert, "Van der Peet and Delgamuukw: Ten Unresolved Issues" </w:t>
      </w:r>
      <w:hyperlink r:id="rId684" w:history="1">
        <w:r>
          <w:rPr>
            <w:rFonts w:ascii="arial" w:eastAsia="arial" w:hAnsi="arial" w:cs="arial"/>
            <w:i/>
            <w:color w:val="0077CC"/>
            <w:sz w:val="20"/>
            <w:u w:val="single"/>
            <w:shd w:val="clear" w:color="auto" w:fill="FFFFFF"/>
            <w:lang w:val="en-US" w:eastAsia="en-US" w:bidi="ar-SA"/>
          </w:rPr>
          <w:t>(1998) 32 U.B.C. Law Rev. 249</w:t>
        </w:r>
      </w:hyperlink>
      <w:r>
        <w:rPr>
          <w:rFonts w:ascii="arial" w:eastAsia="arial" w:hAnsi="arial" w:cs="arial"/>
          <w:color w:val="000000"/>
          <w:sz w:val="20"/>
          <w:lang w:val="en-US" w:eastAsia="en-US" w:bidi="ar-SA"/>
        </w:rPr>
        <w:t xml:space="preserve"> at p. 255.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534</w:t>
      </w:r>
      <w:r>
        <w:rPr>
          <w:rFonts w:ascii="arial" w:eastAsia="arial" w:hAnsi="arial" w:cs="arial"/>
          <w:color w:val="000000"/>
          <w:sz w:val="20"/>
          <w:lang w:val="en-US" w:eastAsia="en-US" w:bidi="ar-SA"/>
        </w:rPr>
        <w:t xml:space="preserve">  Lamer C.J.C. wrote the principle judgment in </w:t>
      </w:r>
      <w:r>
        <w:rPr>
          <w:rFonts w:ascii="arial" w:eastAsia="arial" w:hAnsi="arial" w:cs="arial"/>
          <w:b/>
          <w:i/>
          <w:color w:val="000000"/>
          <w:sz w:val="20"/>
          <w:lang w:val="en-US" w:eastAsia="en-US" w:bidi="ar-SA"/>
        </w:rPr>
        <w:t>Delgamuukw</w:t>
      </w:r>
      <w:r>
        <w:rPr>
          <w:rFonts w:ascii="arial" w:eastAsia="arial" w:hAnsi="arial" w:cs="arial"/>
          <w:color w:val="000000"/>
          <w:sz w:val="20"/>
          <w:lang w:val="en-US" w:eastAsia="en-US" w:bidi="ar-SA"/>
        </w:rPr>
        <w:t xml:space="preserve"> (S.C.C.). He repeated at para. 2 that the court in </w:t>
      </w:r>
      <w:r>
        <w:rPr>
          <w:rFonts w:ascii="arial" w:eastAsia="arial" w:hAnsi="arial" w:cs="arial"/>
          <w:b/>
          <w:i/>
          <w:color w:val="000000"/>
          <w:sz w:val="20"/>
          <w:lang w:val="en-US" w:eastAsia="en-US" w:bidi="ar-SA"/>
        </w:rPr>
        <w:t>Adams</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Côté</w:t>
      </w:r>
      <w:r>
        <w:rPr>
          <w:rFonts w:ascii="arial" w:eastAsia="arial" w:hAnsi="arial" w:cs="arial"/>
          <w:color w:val="000000"/>
          <w:sz w:val="20"/>
          <w:lang w:val="en-US" w:eastAsia="en-US" w:bidi="ar-SA"/>
        </w:rPr>
        <w:t xml:space="preserve"> had "rejected the proposition that claims to Aboriginal rights must also be grounded in an underlying claim to </w:t>
      </w:r>
      <w:r>
        <w:rPr>
          <w:rFonts w:ascii="arial" w:eastAsia="arial" w:hAnsi="arial" w:cs="arial"/>
          <w:b/>
          <w:i/>
          <w:color w:val="000000"/>
          <w:sz w:val="20"/>
          <w:lang w:val="en-US" w:eastAsia="en-US" w:bidi="ar-SA"/>
        </w:rPr>
        <w:t>Tsilhqot'in Nation v. British Columbia Page 169</w:t>
      </w:r>
      <w:r>
        <w:rPr>
          <w:rFonts w:ascii="arial" w:eastAsia="arial" w:hAnsi="arial" w:cs="arial"/>
          <w:color w:val="000000"/>
          <w:sz w:val="20"/>
          <w:lang w:val="en-US" w:eastAsia="en-US" w:bidi="ar-SA"/>
        </w:rPr>
        <w:t xml:space="preserve"> aboriginal title". He also affirmed that Aboriginal title is a "distinct species of aboriginal right that was recognized and affirmed by s. 35(1)": </w:t>
      </w:r>
      <w:r>
        <w:rPr>
          <w:rFonts w:ascii="arial" w:eastAsia="arial" w:hAnsi="arial" w:cs="arial"/>
          <w:b/>
          <w:i/>
          <w:color w:val="000000"/>
          <w:sz w:val="20"/>
          <w:lang w:val="en-US" w:eastAsia="en-US" w:bidi="ar-SA"/>
        </w:rPr>
        <w:t>Delgamuukw</w:t>
      </w:r>
      <w:r>
        <w:rPr>
          <w:rFonts w:ascii="arial" w:eastAsia="arial" w:hAnsi="arial" w:cs="arial"/>
          <w:color w:val="000000"/>
          <w:sz w:val="20"/>
          <w:lang w:val="en-US" w:eastAsia="en-US" w:bidi="ar-SA"/>
        </w:rPr>
        <w:t>, para. 2. Lamer C.J.C. then authored a theory of Aboriginal rights in which those rights fall along a spectrum, depending on their degree of connection to the 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535</w:t>
      </w:r>
      <w:r>
        <w:rPr>
          <w:rFonts w:ascii="arial" w:eastAsia="arial" w:hAnsi="arial" w:cs="arial"/>
          <w:color w:val="000000"/>
          <w:sz w:val="20"/>
          <w:lang w:val="en-US" w:eastAsia="en-US" w:bidi="ar-SA"/>
        </w:rPr>
        <w:t xml:space="preserve">  Lamer C.J.C. adopted Dickson J.'s characterization of Aboriginal title in </w:t>
      </w:r>
      <w:r>
        <w:rPr>
          <w:rFonts w:ascii="arial" w:eastAsia="arial" w:hAnsi="arial" w:cs="arial"/>
          <w:b/>
          <w:i/>
          <w:color w:val="000000"/>
          <w:sz w:val="20"/>
          <w:lang w:val="en-US" w:eastAsia="en-US" w:bidi="ar-SA"/>
        </w:rPr>
        <w:t>Guerin</w:t>
      </w:r>
      <w:r>
        <w:rPr>
          <w:rFonts w:ascii="arial" w:eastAsia="arial" w:hAnsi="arial" w:cs="arial"/>
          <w:color w:val="000000"/>
          <w:sz w:val="20"/>
          <w:lang w:val="en-US" w:eastAsia="en-US" w:bidi="ar-SA"/>
        </w:rPr>
        <w:t xml:space="preserve"> as </w:t>
      </w:r>
      <w:r>
        <w:rPr>
          <w:rFonts w:ascii="arial" w:eastAsia="arial" w:hAnsi="arial" w:cs="arial"/>
          <w:i/>
          <w:color w:val="000000"/>
          <w:sz w:val="20"/>
          <w:lang w:val="en-US" w:eastAsia="en-US" w:bidi="ar-SA"/>
        </w:rPr>
        <w:t>sui generis</w:t>
      </w:r>
      <w:r>
        <w:rPr>
          <w:rFonts w:ascii="arial" w:eastAsia="arial" w:hAnsi="arial" w:cs="arial"/>
          <w:color w:val="000000"/>
          <w:sz w:val="20"/>
          <w:lang w:val="en-US" w:eastAsia="en-US" w:bidi="ar-SA"/>
        </w:rPr>
        <w:t>. Lamer C.J.C. further stated at para. 111: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Aboriginal title is a right in land and, as such, is more than the right to engage in specific activities which may be themselves aboriginal rights. Rather, it confers the right to use land for a variety of activities, not all of which need be aspects of practices, customs and traditions which are integral to the distinctive culture of aboriginal societies. Those activities do not constitute the right </w:t>
      </w:r>
      <w:r>
        <w:rPr>
          <w:rFonts w:ascii="arial" w:eastAsia="arial" w:hAnsi="arial" w:cs="arial"/>
          <w:i/>
          <w:color w:val="000000"/>
          <w:sz w:val="20"/>
          <w:lang w:val="en-US" w:eastAsia="en-US" w:bidi="ar-SA"/>
        </w:rPr>
        <w:t>per se</w:t>
      </w:r>
      <w:r>
        <w:rPr>
          <w:rFonts w:ascii="arial" w:eastAsia="arial" w:hAnsi="arial" w:cs="arial"/>
          <w:color w:val="000000"/>
          <w:sz w:val="20"/>
          <w:lang w:val="en-US" w:eastAsia="en-US" w:bidi="ar-SA"/>
        </w:rPr>
        <w:t xml:space="preserve">; rather, they are parasitic on the underlying title. However, that range of uses is subject to the limitation that they must not be irreconcilable with the nature of the attachment to the land which forms the basis of the particular group's aboriginal title. This inherent limit, to be explained more fully below, flows from the definition of aboriginal title as a </w:t>
      </w:r>
      <w:r>
        <w:rPr>
          <w:rFonts w:ascii="arial" w:eastAsia="arial" w:hAnsi="arial" w:cs="arial"/>
          <w:i/>
          <w:color w:val="000000"/>
          <w:sz w:val="20"/>
          <w:lang w:val="en-US" w:eastAsia="en-US" w:bidi="ar-SA"/>
        </w:rPr>
        <w:t>sui generis</w:t>
      </w:r>
      <w:r>
        <w:rPr>
          <w:rFonts w:ascii="arial" w:eastAsia="arial" w:hAnsi="arial" w:cs="arial"/>
          <w:color w:val="000000"/>
          <w:sz w:val="20"/>
          <w:lang w:val="en-US" w:eastAsia="en-US" w:bidi="ar-SA"/>
        </w:rPr>
        <w:t xml:space="preserve"> interest in land, and is one way in which aboriginal title is distinct from a fee simple.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536</w:t>
      </w:r>
      <w:r>
        <w:rPr>
          <w:rFonts w:ascii="arial" w:eastAsia="arial" w:hAnsi="arial" w:cs="arial"/>
          <w:color w:val="000000"/>
          <w:sz w:val="20"/>
          <w:lang w:val="en-US" w:eastAsia="en-US" w:bidi="ar-SA"/>
        </w:rPr>
        <w:t xml:space="preserve">  The Court pointed out that Aboriginal title cannot be explained by reference to only the common law rules about real property or to property rules found in Aboriginal legal systems. It must be understood with reference to both: </w:t>
      </w:r>
      <w:r>
        <w:rPr>
          <w:rFonts w:ascii="arial" w:eastAsia="arial" w:hAnsi="arial" w:cs="arial"/>
          <w:b/>
          <w:i/>
          <w:color w:val="000000"/>
          <w:sz w:val="20"/>
          <w:lang w:val="en-US" w:eastAsia="en-US" w:bidi="ar-SA"/>
        </w:rPr>
        <w:t>Delgamuukw</w:t>
      </w:r>
      <w:r>
        <w:rPr>
          <w:rFonts w:ascii="arial" w:eastAsia="arial" w:hAnsi="arial" w:cs="arial"/>
          <w:color w:val="000000"/>
          <w:sz w:val="20"/>
          <w:lang w:val="en-US" w:eastAsia="en-US" w:bidi="ar-SA"/>
        </w:rPr>
        <w:t xml:space="preserve"> at para. 112.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537</w:t>
      </w:r>
      <w:r>
        <w:rPr>
          <w:rFonts w:ascii="arial" w:eastAsia="arial" w:hAnsi="arial" w:cs="arial"/>
          <w:color w:val="000000"/>
          <w:sz w:val="20"/>
          <w:lang w:val="en-US" w:eastAsia="en-US" w:bidi="ar-SA"/>
        </w:rPr>
        <w:t>  Lamer C.J.C. then provided the following explanation for the content of Aboriginal title at para. 117: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...first, that aboriginal title encompasses the right to exclusive use and occupation of the land held pursuant to that title for a variety of purposes, which need not be aspects of those aboriginal practices, customs and traditions which are integral to distinctive aboriginal cultures; and second, that those protected uses must not be irreconcilable with the nature of the group's attachment to that 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538</w:t>
      </w:r>
      <w:r>
        <w:rPr>
          <w:rFonts w:ascii="arial" w:eastAsia="arial" w:hAnsi="arial" w:cs="arial"/>
          <w:color w:val="000000"/>
          <w:sz w:val="20"/>
          <w:lang w:val="en-US" w:eastAsia="en-US" w:bidi="ar-SA"/>
        </w:rPr>
        <w:t xml:space="preserve">  To summarize, Aboriginal title is a species of Aboriginal right which differs from Aboriginal rights to engage in particular activities. It confers a </w:t>
      </w:r>
      <w:r>
        <w:rPr>
          <w:rFonts w:ascii="arial" w:eastAsia="arial" w:hAnsi="arial" w:cs="arial"/>
          <w:i/>
          <w:color w:val="000000"/>
          <w:sz w:val="20"/>
          <w:lang w:val="en-US" w:eastAsia="en-US" w:bidi="ar-SA"/>
        </w:rPr>
        <w:t>sui generis</w:t>
      </w:r>
      <w:r>
        <w:rPr>
          <w:rFonts w:ascii="arial" w:eastAsia="arial" w:hAnsi="arial" w:cs="arial"/>
          <w:color w:val="000000"/>
          <w:sz w:val="20"/>
          <w:lang w:val="en-US" w:eastAsia="en-US" w:bidi="ar-SA"/>
        </w:rPr>
        <w:t xml:space="preserve"> interest in land, that is, a "right to the land itself". That interest can "compete on an equal footing with other proprietary interests": </w:t>
      </w:r>
      <w:r>
        <w:rPr>
          <w:rFonts w:ascii="arial" w:eastAsia="arial" w:hAnsi="arial" w:cs="arial"/>
          <w:b/>
          <w:i/>
          <w:color w:val="000000"/>
          <w:sz w:val="20"/>
          <w:lang w:val="en-US" w:eastAsia="en-US" w:bidi="ar-SA"/>
        </w:rPr>
        <w:t>Delgamuukw</w:t>
      </w:r>
      <w:r>
        <w:rPr>
          <w:rFonts w:ascii="arial" w:eastAsia="arial" w:hAnsi="arial" w:cs="arial"/>
          <w:color w:val="000000"/>
          <w:sz w:val="20"/>
          <w:lang w:val="en-US" w:eastAsia="en-US" w:bidi="ar-SA"/>
        </w:rPr>
        <w:t>, para. 113.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539</w:t>
      </w:r>
      <w:r>
        <w:rPr>
          <w:rFonts w:ascii="arial" w:eastAsia="arial" w:hAnsi="arial" w:cs="arial"/>
          <w:color w:val="000000"/>
          <w:sz w:val="20"/>
          <w:lang w:val="en-US" w:eastAsia="en-US" w:bidi="ar-SA"/>
        </w:rPr>
        <w:t xml:space="preserve">  Aboriginal title confers a right to exclusive use, occupation and possession to use the land for the general welfare and present-day needs of the Aboriginal community: </w:t>
      </w:r>
      <w:r>
        <w:rPr>
          <w:rFonts w:ascii="arial" w:eastAsia="arial" w:hAnsi="arial" w:cs="arial"/>
          <w:b/>
          <w:i/>
          <w:color w:val="000000"/>
          <w:sz w:val="20"/>
          <w:lang w:val="en-US" w:eastAsia="en-US" w:bidi="ar-SA"/>
        </w:rPr>
        <w:t>Delgamuukw</w:t>
      </w:r>
      <w:r>
        <w:rPr>
          <w:rFonts w:ascii="arial" w:eastAsia="arial" w:hAnsi="arial" w:cs="arial"/>
          <w:color w:val="000000"/>
          <w:sz w:val="20"/>
          <w:lang w:val="en-US" w:eastAsia="en-US" w:bidi="ar-SA"/>
        </w:rPr>
        <w:t xml:space="preserve">, para. 121. Aboriginal title also includes a proprietary-type right to choose what uses Aboriginal title holders can make of their title lands. Title is subject to an inherent limit which is defined by "the nature of the attachment to the land which forms the basis of the particular group's aboriginal title": </w:t>
      </w:r>
      <w:r>
        <w:rPr>
          <w:rFonts w:ascii="arial" w:eastAsia="arial" w:hAnsi="arial" w:cs="arial"/>
          <w:b/>
          <w:i/>
          <w:color w:val="000000"/>
          <w:sz w:val="20"/>
          <w:lang w:val="en-US" w:eastAsia="en-US" w:bidi="ar-SA"/>
        </w:rPr>
        <w:t>Delgamuukw</w:t>
      </w:r>
      <w:r>
        <w:rPr>
          <w:rFonts w:ascii="arial" w:eastAsia="arial" w:hAnsi="arial" w:cs="arial"/>
          <w:color w:val="000000"/>
          <w:sz w:val="20"/>
          <w:lang w:val="en-US" w:eastAsia="en-US" w:bidi="ar-SA"/>
        </w:rPr>
        <w:t xml:space="preserve">, para. 111. Such inherent limits prohibit those uses that would destroy the ability of the land to sustain future generations of Aboriginal peoples: </w:t>
      </w:r>
      <w:r>
        <w:rPr>
          <w:rFonts w:ascii="arial" w:eastAsia="arial" w:hAnsi="arial" w:cs="arial"/>
          <w:b/>
          <w:i/>
          <w:color w:val="000000"/>
          <w:sz w:val="20"/>
          <w:lang w:val="en-US" w:eastAsia="en-US" w:bidi="ar-SA"/>
        </w:rPr>
        <w:t>Delgamuukw</w:t>
      </w:r>
      <w:r>
        <w:rPr>
          <w:rFonts w:ascii="arial" w:eastAsia="arial" w:hAnsi="arial" w:cs="arial"/>
          <w:color w:val="000000"/>
          <w:sz w:val="20"/>
          <w:lang w:val="en-US" w:eastAsia="en-US" w:bidi="ar-SA"/>
        </w:rPr>
        <w:t>, para. 128.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540</w:t>
      </w:r>
      <w:r>
        <w:rPr>
          <w:rFonts w:ascii="arial" w:eastAsia="arial" w:hAnsi="arial" w:cs="arial"/>
          <w:color w:val="000000"/>
          <w:sz w:val="20"/>
          <w:lang w:val="en-US" w:eastAsia="en-US" w:bidi="ar-SA"/>
        </w:rPr>
        <w:t xml:space="preserve">  Aboriginal title also has an economic component, which will ordinarily give rise to fair compensation when Aboriginal title is infringed, varying in amount with the nature and severity of the infringement "and the extent to which Aboriginal interests were accommodated": </w:t>
      </w:r>
      <w:r>
        <w:rPr>
          <w:rFonts w:ascii="arial" w:eastAsia="arial" w:hAnsi="arial" w:cs="arial"/>
          <w:b/>
          <w:i/>
          <w:color w:val="000000"/>
          <w:sz w:val="20"/>
          <w:lang w:val="en-US" w:eastAsia="en-US" w:bidi="ar-SA"/>
        </w:rPr>
        <w:t>Delgamuukw</w:t>
      </w:r>
      <w:r>
        <w:rPr>
          <w:rFonts w:ascii="arial" w:eastAsia="arial" w:hAnsi="arial" w:cs="arial"/>
          <w:color w:val="000000"/>
          <w:sz w:val="20"/>
          <w:lang w:val="en-US" w:eastAsia="en-US" w:bidi="ar-SA"/>
        </w:rPr>
        <w:t>, para. 169.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541</w:t>
      </w:r>
      <w:r>
        <w:rPr>
          <w:rFonts w:ascii="arial" w:eastAsia="arial" w:hAnsi="arial" w:cs="arial"/>
          <w:color w:val="000000"/>
          <w:sz w:val="20"/>
          <w:lang w:val="en-US" w:eastAsia="en-US" w:bidi="ar-SA"/>
        </w:rPr>
        <w:t xml:space="preserve">  Aboriginal title, like Aboriginal rights more generally, is held communally: </w:t>
      </w:r>
      <w:r>
        <w:rPr>
          <w:rFonts w:ascii="arial" w:eastAsia="arial" w:hAnsi="arial" w:cs="arial"/>
          <w:b/>
          <w:i/>
          <w:color w:val="000000"/>
          <w:sz w:val="20"/>
          <w:lang w:val="en-US" w:eastAsia="en-US" w:bidi="ar-SA"/>
        </w:rPr>
        <w:t>Delgamuukw</w:t>
      </w:r>
      <w:r>
        <w:rPr>
          <w:rFonts w:ascii="arial" w:eastAsia="arial" w:hAnsi="arial" w:cs="arial"/>
          <w:color w:val="000000"/>
          <w:sz w:val="20"/>
          <w:lang w:val="en-US" w:eastAsia="en-US" w:bidi="ar-SA"/>
        </w:rPr>
        <w:t xml:space="preserve">, para. 115. It is inalienable to third parties, but can be surrendered to the Crown: </w:t>
      </w:r>
      <w:r>
        <w:rPr>
          <w:rFonts w:ascii="arial" w:eastAsia="arial" w:hAnsi="arial" w:cs="arial"/>
          <w:b/>
          <w:i/>
          <w:color w:val="000000"/>
          <w:sz w:val="20"/>
          <w:lang w:val="en-US" w:eastAsia="en-US" w:bidi="ar-SA"/>
        </w:rPr>
        <w:t>Delgamuukw</w:t>
      </w:r>
      <w:r>
        <w:rPr>
          <w:rFonts w:ascii="arial" w:eastAsia="arial" w:hAnsi="arial" w:cs="arial"/>
          <w:color w:val="000000"/>
          <w:sz w:val="20"/>
          <w:lang w:val="en-US" w:eastAsia="en-US" w:bidi="ar-SA"/>
        </w:rPr>
        <w:t>, paras. 129-131. It must be surrendered in order to use the lands in a way contrary to the inherent limit.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 Test for Aboriginal Title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i. Pre-sovereignty Occupation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542</w:t>
      </w:r>
      <w:r>
        <w:rPr>
          <w:rFonts w:ascii="arial" w:eastAsia="arial" w:hAnsi="arial" w:cs="arial"/>
          <w:color w:val="000000"/>
          <w:sz w:val="20"/>
          <w:lang w:val="en-US" w:eastAsia="en-US" w:bidi="ar-SA"/>
        </w:rPr>
        <w:t xml:space="preserve">  Aboriginal title is proven by demonstrating three critical elements, all of which are concerned with occupation of the land, and all of which must be met in order to make out a successful claim. The Aboriginal people must establish that they occupied the lands in question at the time when the Crown asserted sovereignty over those lands. "If present occupation is relied on as proof of occupation pre-sovereignty, there must be continuity between present and pre-sovereignty occupation." And finally, "occupation must have been exclusive": </w:t>
      </w:r>
      <w:r>
        <w:rPr>
          <w:rFonts w:ascii="arial" w:eastAsia="arial" w:hAnsi="arial" w:cs="arial"/>
          <w:b/>
          <w:i/>
          <w:color w:val="000000"/>
          <w:sz w:val="20"/>
          <w:lang w:val="en-US" w:eastAsia="en-US" w:bidi="ar-SA"/>
        </w:rPr>
        <w:t>Delgamuukw</w:t>
      </w:r>
      <w:r>
        <w:rPr>
          <w:rFonts w:ascii="arial" w:eastAsia="arial" w:hAnsi="arial" w:cs="arial"/>
          <w:color w:val="000000"/>
          <w:sz w:val="20"/>
          <w:lang w:val="en-US" w:eastAsia="en-US" w:bidi="ar-SA"/>
        </w:rPr>
        <w:t>, para. 143.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543</w:t>
      </w:r>
      <w:r>
        <w:rPr>
          <w:rFonts w:ascii="arial" w:eastAsia="arial" w:hAnsi="arial" w:cs="arial"/>
          <w:color w:val="000000"/>
          <w:sz w:val="20"/>
          <w:lang w:val="en-US" w:eastAsia="en-US" w:bidi="ar-SA"/>
        </w:rPr>
        <w:t xml:space="preserve">  Aboriginal title arises out of the claimant's connection to their ancestral lands. The particular lands must have been occupied by the claimants prior to sovereignty. Although the Court notes that the group's connection with the land must have been integral to the distinctive culture of the claimants, Lamer C.J.C. also directed that "any land that was occupied pre-sovereignty, and which the parties have maintained a substantial connection with since then, is sufficiently important to be of central significance to the culture of the claimants": </w:t>
      </w:r>
      <w:r>
        <w:rPr>
          <w:rFonts w:ascii="arial" w:eastAsia="arial" w:hAnsi="arial" w:cs="arial"/>
          <w:b/>
          <w:i/>
          <w:color w:val="000000"/>
          <w:sz w:val="20"/>
          <w:lang w:val="en-US" w:eastAsia="en-US" w:bidi="ar-SA"/>
        </w:rPr>
        <w:t>Delgamuukw</w:t>
      </w:r>
      <w:r>
        <w:rPr>
          <w:rFonts w:ascii="arial" w:eastAsia="arial" w:hAnsi="arial" w:cs="arial"/>
          <w:color w:val="000000"/>
          <w:sz w:val="20"/>
          <w:lang w:val="en-US" w:eastAsia="en-US" w:bidi="ar-SA"/>
        </w:rPr>
        <w:t>, para. 151.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544</w:t>
      </w:r>
      <w:r>
        <w:rPr>
          <w:rFonts w:ascii="arial" w:eastAsia="arial" w:hAnsi="arial" w:cs="arial"/>
          <w:color w:val="000000"/>
          <w:sz w:val="20"/>
          <w:lang w:val="en-US" w:eastAsia="en-US" w:bidi="ar-SA"/>
        </w:rPr>
        <w:t>  Lamer C.J.C. explained at para. 149 that the standard of occupation required to prove Aboriginal title may be established in a variety of ways: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ranging from the construction of dwellings through cultivation and enclosure of fields to regular use of definite tracts of land for hunting, fishing or otherwise exploiting its resources: see McNeil, </w:t>
      </w:r>
      <w:r>
        <w:rPr>
          <w:rFonts w:ascii="arial" w:eastAsia="arial" w:hAnsi="arial" w:cs="arial"/>
          <w:i/>
          <w:color w:val="000000"/>
          <w:sz w:val="20"/>
          <w:lang w:val="en-US" w:eastAsia="en-US" w:bidi="ar-SA"/>
        </w:rPr>
        <w:t>Common Law Aboriginal Title</w:t>
      </w:r>
      <w:r>
        <w:rPr>
          <w:rFonts w:ascii="arial" w:eastAsia="arial" w:hAnsi="arial" w:cs="arial"/>
          <w:color w:val="000000"/>
          <w:sz w:val="20"/>
          <w:lang w:val="en-US" w:eastAsia="en-US" w:bidi="ar-SA"/>
        </w:rPr>
        <w:t>, at pp. 201-2. In considering whether occupation sufficient to ground title is established, "one must take into account the group's size, manner of life, material resources, and technological abilities, and the character of the lands claimed": Brian Slattery, "Understanding Aboriginal Rights", at p. 758.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545</w:t>
      </w:r>
      <w:r>
        <w:rPr>
          <w:rFonts w:ascii="arial" w:eastAsia="arial" w:hAnsi="arial" w:cs="arial"/>
          <w:color w:val="000000"/>
          <w:sz w:val="20"/>
          <w:lang w:val="en-US" w:eastAsia="en-US" w:bidi="ar-SA"/>
        </w:rPr>
        <w:t>  The cultural relationships between the claimant Aboriginal group and the land, and the ceremonial and cultural significance of the land will also be relevant to this inquiry.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ii. Exclusivity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546</w:t>
      </w:r>
      <w:r>
        <w:rPr>
          <w:rFonts w:ascii="arial" w:eastAsia="arial" w:hAnsi="arial" w:cs="arial"/>
          <w:color w:val="000000"/>
          <w:sz w:val="20"/>
          <w:lang w:val="en-US" w:eastAsia="en-US" w:bidi="ar-SA"/>
        </w:rPr>
        <w:t xml:space="preserve">  Exclusive occupation may be demonstrated by the ability to exclude others, including "the intention and capacity to retain exclusive control" of the lands: </w:t>
      </w:r>
      <w:r>
        <w:rPr>
          <w:rFonts w:ascii="arial" w:eastAsia="arial" w:hAnsi="arial" w:cs="arial"/>
          <w:b/>
          <w:i/>
          <w:color w:val="000000"/>
          <w:sz w:val="20"/>
          <w:lang w:val="en-US" w:eastAsia="en-US" w:bidi="ar-SA"/>
        </w:rPr>
        <w:t>Delgamuukw</w:t>
      </w:r>
      <w:r>
        <w:rPr>
          <w:rFonts w:ascii="arial" w:eastAsia="arial" w:hAnsi="arial" w:cs="arial"/>
          <w:color w:val="000000"/>
          <w:sz w:val="20"/>
          <w:lang w:val="en-US" w:eastAsia="en-US" w:bidi="ar-SA"/>
        </w:rPr>
        <w:t>, paras. 155-156. Proof of exclusivity must rely on both the perspective of the common law and the Aboriginal perspective, placing equal weight on each. The Court went on to explain at para. 156: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exclusive occupation can be demonstrated even if other aboriginal groups were present, or frequented the claimed lands. Under those circumstances, exclusivity would be demonstrated by "the intention and capacity to retain exclusive control" (McNeil, </w:t>
      </w:r>
      <w:r>
        <w:rPr>
          <w:rFonts w:ascii="arial" w:eastAsia="arial" w:hAnsi="arial" w:cs="arial"/>
          <w:i/>
          <w:color w:val="000000"/>
          <w:sz w:val="20"/>
          <w:lang w:val="en-US" w:eastAsia="en-US" w:bidi="ar-SA"/>
        </w:rPr>
        <w:t>Common Law Aboriginal Title, supra</w:t>
      </w:r>
      <w:r>
        <w:rPr>
          <w:rFonts w:ascii="arial" w:eastAsia="arial" w:hAnsi="arial" w:cs="arial"/>
          <w:color w:val="000000"/>
          <w:sz w:val="20"/>
          <w:lang w:val="en-US" w:eastAsia="en-US" w:bidi="ar-SA"/>
        </w:rPr>
        <w:t xml:space="preserve"> at p. 204). Thus, an act of trespass, if isolated, would not undermine a general finding of exclusivity, if aboriginal groups intended to and attempted to enforce their exclusive occupation.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iii. Continuity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547</w:t>
      </w:r>
      <w:r>
        <w:rPr>
          <w:rFonts w:ascii="arial" w:eastAsia="arial" w:hAnsi="arial" w:cs="arial"/>
          <w:color w:val="000000"/>
          <w:sz w:val="20"/>
          <w:lang w:val="en-US" w:eastAsia="en-US" w:bidi="ar-SA"/>
        </w:rPr>
        <w:t>  Continuity is not a mandatory element for proof of Aboriginal title. It becomes an aspect of the test where an Aboriginal claimant relies on present occupation to raise an inference of pre-sovereignty occupation of the claimed territory. Establishing continuity may be difficult for some claimants where their occupation shifted due to colonial settlement, disease and other post-sovereignty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548</w:t>
      </w:r>
      <w:r>
        <w:rPr>
          <w:rFonts w:ascii="arial" w:eastAsia="arial" w:hAnsi="arial" w:cs="arial"/>
          <w:color w:val="000000"/>
          <w:sz w:val="20"/>
          <w:lang w:val="en-US" w:eastAsia="en-US" w:bidi="ar-SA"/>
        </w:rPr>
        <w:t>  Where an Aboriginal group provides direct evidence of pre-sovereignty use and occupation of land to the exclusion of others, such evidence establishes Aboriginal title. There is no additional requirement that the claimant group show continuous occupation from sovereignty to the present-day. Upon the assertion of sovereignty, Aboriginal title crystallized into a right at common law, and it subsists until it is surrendered or extinguished.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549</w:t>
      </w:r>
      <w:r>
        <w:rPr>
          <w:rFonts w:ascii="arial" w:eastAsia="arial" w:hAnsi="arial" w:cs="arial"/>
          <w:color w:val="000000"/>
          <w:sz w:val="20"/>
          <w:lang w:val="en-US" w:eastAsia="en-US" w:bidi="ar-SA"/>
        </w:rPr>
        <w:t xml:space="preserve">  Aboriginal claimants do not need to establish an unbroken chain of continuity between present and prior occupation: </w:t>
      </w:r>
      <w:r>
        <w:rPr>
          <w:rFonts w:ascii="arial" w:eastAsia="arial" w:hAnsi="arial" w:cs="arial"/>
          <w:b/>
          <w:i/>
          <w:color w:val="000000"/>
          <w:sz w:val="20"/>
          <w:lang w:val="en-US" w:eastAsia="en-US" w:bidi="ar-SA"/>
        </w:rPr>
        <w:t>Van der Peet</w:t>
      </w:r>
      <w:r>
        <w:rPr>
          <w:rFonts w:ascii="arial" w:eastAsia="arial" w:hAnsi="arial" w:cs="arial"/>
          <w:color w:val="000000"/>
          <w:sz w:val="20"/>
          <w:lang w:val="en-US" w:eastAsia="en-US" w:bidi="ar-SA"/>
        </w:rPr>
        <w:t xml:space="preserve">, para. 65. Aboriginal occupation may have been disrupted "perhaps as a result of the unwillingness of European colonizers to recognize aboriginal title": </w:t>
      </w:r>
      <w:r>
        <w:rPr>
          <w:rFonts w:ascii="arial" w:eastAsia="arial" w:hAnsi="arial" w:cs="arial"/>
          <w:b/>
          <w:i/>
          <w:color w:val="000000"/>
          <w:sz w:val="20"/>
          <w:lang w:val="en-US" w:eastAsia="en-US" w:bidi="ar-SA"/>
        </w:rPr>
        <w:t>Delgamuukw</w:t>
      </w:r>
      <w:r>
        <w:rPr>
          <w:rFonts w:ascii="arial" w:eastAsia="arial" w:hAnsi="arial" w:cs="arial"/>
          <w:color w:val="000000"/>
          <w:sz w:val="20"/>
          <w:lang w:val="en-US" w:eastAsia="en-US" w:bidi="ar-SA"/>
        </w:rPr>
        <w:t xml:space="preserve"> (S.C.C.), para. 153. Claimants must demonstrate that a substantial connection between the people and the land has been maintained: </w:t>
      </w:r>
      <w:r>
        <w:rPr>
          <w:rFonts w:ascii="arial" w:eastAsia="arial" w:hAnsi="arial" w:cs="arial"/>
          <w:b/>
          <w:i/>
          <w:color w:val="000000"/>
          <w:sz w:val="20"/>
          <w:lang w:val="en-US" w:eastAsia="en-US" w:bidi="ar-SA"/>
        </w:rPr>
        <w:t>Delgamuuukw</w:t>
      </w:r>
      <w:r>
        <w:rPr>
          <w:rFonts w:ascii="arial" w:eastAsia="arial" w:hAnsi="arial" w:cs="arial"/>
          <w:color w:val="000000"/>
          <w:sz w:val="20"/>
          <w:lang w:val="en-US" w:eastAsia="en-US" w:bidi="ar-SA"/>
        </w:rPr>
        <w:t xml:space="preserve"> (S.C.C), para. 154.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550</w:t>
      </w:r>
      <w:r>
        <w:rPr>
          <w:rFonts w:ascii="arial" w:eastAsia="arial" w:hAnsi="arial" w:cs="arial"/>
          <w:color w:val="000000"/>
          <w:sz w:val="20"/>
          <w:lang w:val="en-US" w:eastAsia="en-US" w:bidi="ar-SA"/>
        </w:rPr>
        <w:t>  Because Aboriginal title is grounded in the continuing relationship between Aboriginal people and the land, it cannot be made the subject of a transfer. This common law principle meant settlers had to derive their title from the Crown, not from Aboriginal inhabitants.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551</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Delgamuukw</w:t>
      </w:r>
      <w:r>
        <w:rPr>
          <w:rFonts w:ascii="arial" w:eastAsia="arial" w:hAnsi="arial" w:cs="arial"/>
          <w:color w:val="000000"/>
          <w:sz w:val="20"/>
          <w:lang w:val="en-US" w:eastAsia="en-US" w:bidi="ar-SA"/>
        </w:rPr>
        <w:t xml:space="preserve"> (S.C.C.) Lamer C.J.C. said at para. 126: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Implicit in the protection of historic patterns of occupation is a recognition of the importance of the continuity of the relationship of an aboriginal community to its land over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552</w:t>
      </w:r>
      <w:r>
        <w:rPr>
          <w:rFonts w:ascii="arial" w:eastAsia="arial" w:hAnsi="arial" w:cs="arial"/>
          <w:color w:val="000000"/>
          <w:sz w:val="20"/>
          <w:lang w:val="en-US" w:eastAsia="en-US" w:bidi="ar-SA"/>
        </w:rPr>
        <w:t>  And further, at para. 127: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relevance of the continuity of the relationship of an aboriginal community with its land here is that it applies not only to the past, but to the future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553</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Delgamuukw</w:t>
      </w:r>
      <w:r>
        <w:rPr>
          <w:rFonts w:ascii="arial" w:eastAsia="arial" w:hAnsi="arial" w:cs="arial"/>
          <w:color w:val="000000"/>
          <w:sz w:val="20"/>
          <w:lang w:val="en-US" w:eastAsia="en-US" w:bidi="ar-SA"/>
        </w:rPr>
        <w:t xml:space="preserve"> (S.C.C.) Lamer C.J.C. clarified that changes in land use would not typically undermine the continuity element of the test for Aboriginal title. He stated at para. 154: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should also note that there is a strong possibility that the precise nature of occupation will have changed between the time of sovereignty and the present. I would like to make it clear that the fact that the nature of occupation has changed would not ordinarily preclude a claim for aboriginal title, as long as a substantial connection between the people and the land is maintained. The only limitation on this principle might be the internal limits on uses which land that is subject to aboriginal title may be put, i.e., uses which are inconsistent with continued use by future generations of aboriginals.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c. </w:t>
      </w:r>
      <w:r>
        <w:rPr>
          <w:rFonts w:ascii="arial" w:eastAsia="arial" w:hAnsi="arial" w:cs="arial"/>
          <w:b/>
          <w:i/>
          <w:color w:val="000000"/>
          <w:sz w:val="20"/>
          <w:lang w:val="en-US" w:eastAsia="en-US" w:bidi="ar-SA"/>
        </w:rPr>
        <w:t>R. v. Marshall</w:t>
      </w:r>
      <w:r>
        <w:rPr>
          <w:rFonts w:ascii="arial" w:eastAsia="arial" w:hAnsi="arial" w:cs="arial"/>
          <w:b/>
          <w:color w:val="000000"/>
          <w:sz w:val="20"/>
          <w:lang w:val="en-US" w:eastAsia="en-US" w:bidi="ar-SA"/>
        </w:rPr>
        <w:t xml:space="preserve">; </w:t>
      </w:r>
      <w:r>
        <w:rPr>
          <w:rFonts w:ascii="arial" w:eastAsia="arial" w:hAnsi="arial" w:cs="arial"/>
          <w:b/>
          <w:i/>
          <w:color w:val="000000"/>
          <w:sz w:val="20"/>
          <w:lang w:val="en-US" w:eastAsia="en-US" w:bidi="ar-SA"/>
        </w:rPr>
        <w:t>R. v. Bernard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554</w:t>
      </w:r>
      <w:r>
        <w:rPr>
          <w:rFonts w:ascii="arial" w:eastAsia="arial" w:hAnsi="arial" w:cs="arial"/>
          <w:color w:val="000000"/>
          <w:sz w:val="20"/>
          <w:lang w:val="en-US" w:eastAsia="en-US" w:bidi="ar-SA"/>
        </w:rPr>
        <w:t>  </w:t>
      </w:r>
      <w:r>
        <w:rPr>
          <w:rFonts w:ascii="arial" w:eastAsia="arial" w:hAnsi="arial" w:cs="arial"/>
          <w:b/>
          <w:i/>
          <w:color w:val="000000"/>
          <w:sz w:val="20"/>
          <w:lang w:val="en-US" w:eastAsia="en-US" w:bidi="ar-SA"/>
        </w:rPr>
        <w:t>Marshall; Bernard</w:t>
      </w:r>
      <w:r>
        <w:rPr>
          <w:rFonts w:ascii="arial" w:eastAsia="arial" w:hAnsi="arial" w:cs="arial"/>
          <w:color w:val="000000"/>
          <w:sz w:val="20"/>
          <w:lang w:val="en-US" w:eastAsia="en-US" w:bidi="ar-SA"/>
        </w:rPr>
        <w:t xml:space="preserve"> is the Supreme Court of Canada's most recent decision on Aboriginal title. That case stands for the proposition that Aboriginal title is not co-extensive with any particular Aboriginal group's traditional territory. The parties in the case at bar appear to accept that proposition but fail to agree upon what that means, taking into account the facts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555</w:t>
      </w:r>
      <w:r>
        <w:rPr>
          <w:rFonts w:ascii="arial" w:eastAsia="arial" w:hAnsi="arial" w:cs="arial"/>
          <w:color w:val="000000"/>
          <w:sz w:val="20"/>
          <w:lang w:val="en-US" w:eastAsia="en-US" w:bidi="ar-SA"/>
        </w:rPr>
        <w:t xml:space="preserve">  The parties in this case agree that the modern cases have defined Aboriginal title as an Aboriginal right, grounded in the continuing relationship between the Aboriginal people themselves and the land. They are divided on the application of the principles and in particular on the impact of the Supreme Court's decision in </w:t>
      </w:r>
      <w:r>
        <w:rPr>
          <w:rFonts w:ascii="arial" w:eastAsia="arial" w:hAnsi="arial" w:cs="arial"/>
          <w:b/>
          <w:i/>
          <w:color w:val="000000"/>
          <w:sz w:val="20"/>
          <w:lang w:val="en-US" w:eastAsia="en-US" w:bidi="ar-SA"/>
        </w:rPr>
        <w:t>Marshall; Bernard</w:t>
      </w:r>
      <w:r>
        <w:rPr>
          <w:rFonts w:ascii="arial" w:eastAsia="arial" w:hAnsi="arial" w:cs="arial"/>
          <w:color w:val="000000"/>
          <w:sz w:val="20"/>
          <w:lang w:val="en-US" w:eastAsia="en-US" w:bidi="ar-SA"/>
        </w:rPr>
        <w:t>. The plaintiff is accused of misconceiving Aboriginal title as an over arching title, alleged to exist throughout the entire traditional territory of the Tsilhqot'in Nation. The defendants say the plaintiff arbitrarily defines the Claim Area, as one part of the larger traditional territory.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556</w:t>
      </w:r>
      <w:r>
        <w:rPr>
          <w:rFonts w:ascii="arial" w:eastAsia="arial" w:hAnsi="arial" w:cs="arial"/>
          <w:color w:val="000000"/>
          <w:sz w:val="20"/>
          <w:lang w:val="en-US" w:eastAsia="en-US" w:bidi="ar-SA"/>
        </w:rPr>
        <w:t xml:space="preserve">  The plaintiff says that the above characterization of his claim is entirely incorrect. He says the defendants have taken an untenably narrow view of Aboriginal title, completely divorced from the realities of Aboriginal life. The plaintiff argues that the defendants misunderstand the characterization of definite tracts of land used by the Tsilhqot'in people for hunting, fishing and gathering, and are attempting to confine Aboriginal title to narrowly defined pinpoint sites. He says British Columbia's acknowledgement that Aboriginal title might be established in some exceptional circumstances to a specific "salt lick" or a "narrow defile" where game concentrate each year as opposed to a more broadly used area for hunting, fishing and gathering, is entirely incorrect. In the submission of the plaintiff, this is not the promise of Aboriginal title foretold by the foregoing decisions. Due to the importance of the </w:t>
      </w:r>
      <w:r>
        <w:rPr>
          <w:rFonts w:ascii="arial" w:eastAsia="arial" w:hAnsi="arial" w:cs="arial"/>
          <w:b/>
          <w:i/>
          <w:color w:val="000000"/>
          <w:sz w:val="20"/>
          <w:lang w:val="en-US" w:eastAsia="en-US" w:bidi="ar-SA"/>
        </w:rPr>
        <w:t>Marshall; Bernard</w:t>
      </w:r>
      <w:r>
        <w:rPr>
          <w:rFonts w:ascii="arial" w:eastAsia="arial" w:hAnsi="arial" w:cs="arial"/>
          <w:color w:val="000000"/>
          <w:sz w:val="20"/>
          <w:lang w:val="en-US" w:eastAsia="en-US" w:bidi="ar-SA"/>
        </w:rPr>
        <w:t xml:space="preserve"> decision, I must consider in detail the decisions of the lower courts and the Supreme Court of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557</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R. v. Bernard</w:t>
      </w:r>
      <w:r>
        <w:rPr>
          <w:rFonts w:ascii="arial" w:eastAsia="arial" w:hAnsi="arial" w:cs="arial"/>
          <w:color w:val="000000"/>
          <w:sz w:val="20"/>
          <w:lang w:val="en-US" w:eastAsia="en-US" w:bidi="ar-SA"/>
        </w:rPr>
        <w:t xml:space="preserve">, </w:t>
      </w:r>
      <w:hyperlink r:id="rId685" w:history="1">
        <w:r>
          <w:rPr>
            <w:rFonts w:ascii="arial" w:eastAsia="arial" w:hAnsi="arial" w:cs="arial"/>
            <w:i/>
            <w:color w:val="0077CC"/>
            <w:sz w:val="20"/>
            <w:u w:val="single"/>
            <w:shd w:val="clear" w:color="auto" w:fill="FFFFFF"/>
            <w:lang w:val="en-US" w:eastAsia="en-US" w:bidi="ar-SA"/>
          </w:rPr>
          <w:t>[2000] 3 C.N.L.R. 184</w:t>
        </w:r>
      </w:hyperlink>
      <w:r>
        <w:rPr>
          <w:rFonts w:ascii="arial" w:eastAsia="arial" w:hAnsi="arial" w:cs="arial"/>
          <w:color w:val="000000"/>
          <w:sz w:val="20"/>
          <w:lang w:val="en-US" w:eastAsia="en-US" w:bidi="ar-SA"/>
        </w:rPr>
        <w:t xml:space="preserve"> (N.B. Prov. Ct.), Mr. Bernard, a Mi'kmaq person, cut timber on Crown lands near Miramichi, New Brunswick. He was charged under the provincial statute. In his defence he claimed treaty rights and Aboriginal title to a watershed area that included the Crown lands where the particular cut blocks were located.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558</w:t>
      </w:r>
      <w:r>
        <w:rPr>
          <w:rFonts w:ascii="arial" w:eastAsia="arial" w:hAnsi="arial" w:cs="arial"/>
          <w:color w:val="000000"/>
          <w:sz w:val="20"/>
          <w:lang w:val="en-US" w:eastAsia="en-US" w:bidi="ar-SA"/>
        </w:rPr>
        <w:t>  In rejecting the Aboriginal title claim to the Miramichi watershed, Lordon P.C.J. made the following findings at paras. 98-100 and 103-110:</w:t>
      </w:r>
      <w:r>
        <w:rPr>
          <w:rFonts w:ascii="arial" w:eastAsia="arial" w:hAnsi="arial" w:cs="arial"/>
          <w:sz w:val="20"/>
          <w:lang w:val="en-US" w:eastAsia="en-US" w:bidi="ar-SA"/>
        </w:rPr>
        <w:cr/>
      </w:r>
    </w:p>
    <w:p>
      <w:pPr>
        <w:numPr>
          <w:numId w:val="20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time of sovereignty, the Miramichi Mi'kmaq were a hunting, fishing, and gathering people who would migrate up and down the Miramichi River seasonally. "In summer they would congregate in large numbers in summer villages." In winter they moved inland, particularly to the area of the confluence of the Little Southwest Miramichi and the Northwest Miramichi. Settlements there had some permanency to them. These areas of permanent or semi-permanent occupation were well-established and well-defined and are now included in Indian reserves;</w:t>
      </w:r>
    </w:p>
    <w:p>
      <w:pPr>
        <w:numPr>
          <w:numId w:val="20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what extent they would disperse from these areas and to where was uncertain;</w:t>
      </w:r>
    </w:p>
    <w:p>
      <w:pPr>
        <w:numPr>
          <w:numId w:val="20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entire geographic area of present-day New Brunswick was considered to be the traditional territory of either the Mi'kmaq, the Maliseet or the Passamaquoddy;</w:t>
      </w:r>
    </w:p>
    <w:p>
      <w:pPr>
        <w:numPr>
          <w:numId w:val="20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were large areas of the province that were considered vacant and available to be granted by the Crown without interfering with any land that was actually occupied by Indians;</w:t>
      </w:r>
    </w:p>
    <w:p>
      <w:pPr>
        <w:numPr>
          <w:numId w:val="20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was no evidence of recent use of the particular area of the cut blocks;</w:t>
      </w:r>
    </w:p>
    <w:p>
      <w:pPr>
        <w:numPr>
          <w:numId w:val="20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trial judge was unable to conclude that the cutting site was used on a regular basis. Such trips made there at the time of sovereignty would have been occasional;</w:t>
      </w:r>
    </w:p>
    <w:p>
      <w:pPr>
        <w:numPr>
          <w:numId w:val="20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was no evidence of capacity to retain exclusive control and, given the vast area of the land and the small population, the Mi'kmaq did not have the capacity nor the intent to exercise exclusive control, which was held by the trial judge to be fatal to the claim for Aboriginal title.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559</w:t>
      </w:r>
      <w:r>
        <w:rPr>
          <w:rFonts w:ascii="arial" w:eastAsia="arial" w:hAnsi="arial" w:cs="arial"/>
          <w:color w:val="000000"/>
          <w:sz w:val="20"/>
          <w:lang w:val="en-US" w:eastAsia="en-US" w:bidi="ar-SA"/>
        </w:rPr>
        <w:t xml:space="preserve">  In the trial judge's view "[o]ccasional forays for hunting, fishing and gathering are not sufficient to establish Aboriginal title in the land": </w:t>
      </w:r>
      <w:r>
        <w:rPr>
          <w:rFonts w:ascii="arial" w:eastAsia="arial" w:hAnsi="arial" w:cs="arial"/>
          <w:b/>
          <w:i/>
          <w:color w:val="000000"/>
          <w:sz w:val="20"/>
          <w:lang w:val="en-US" w:eastAsia="en-US" w:bidi="ar-SA"/>
        </w:rPr>
        <w:t>R. v. Bernard</w:t>
      </w:r>
      <w:r>
        <w:rPr>
          <w:rFonts w:ascii="arial" w:eastAsia="arial" w:hAnsi="arial" w:cs="arial"/>
          <w:color w:val="000000"/>
          <w:sz w:val="20"/>
          <w:lang w:val="en-US" w:eastAsia="en-US" w:bidi="ar-SA"/>
        </w:rPr>
        <w:t>, para. 107. The accused were convicted.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560</w:t>
      </w:r>
      <w:r>
        <w:rPr>
          <w:rFonts w:ascii="arial" w:eastAsia="arial" w:hAnsi="arial" w:cs="arial"/>
          <w:color w:val="000000"/>
          <w:sz w:val="20"/>
          <w:lang w:val="en-US" w:eastAsia="en-US" w:bidi="ar-SA"/>
        </w:rPr>
        <w:t xml:space="preserve">  An appeal to the Court of Queen's Bench sitting as a Summary Conviction Appeal Court confirmed Mr. Bernard's conviction: </w:t>
      </w:r>
      <w:r>
        <w:rPr>
          <w:rFonts w:ascii="arial" w:eastAsia="arial" w:hAnsi="arial" w:cs="arial"/>
          <w:b/>
          <w:i/>
          <w:color w:val="000000"/>
          <w:sz w:val="20"/>
          <w:lang w:val="en-US" w:eastAsia="en-US" w:bidi="ar-SA"/>
        </w:rPr>
        <w:t>R. v. Bernard</w:t>
      </w:r>
      <w:r>
        <w:rPr>
          <w:rFonts w:ascii="arial" w:eastAsia="arial" w:hAnsi="arial" w:cs="arial"/>
          <w:color w:val="000000"/>
          <w:sz w:val="20"/>
          <w:lang w:val="en-US" w:eastAsia="en-US" w:bidi="ar-SA"/>
        </w:rPr>
        <w:t xml:space="preserve">, </w:t>
      </w:r>
      <w:hyperlink r:id="rId686" w:history="1">
        <w:r>
          <w:rPr>
            <w:rFonts w:ascii="arial" w:eastAsia="arial" w:hAnsi="arial" w:cs="arial"/>
            <w:i/>
            <w:color w:val="0077CC"/>
            <w:sz w:val="20"/>
            <w:u w:val="single"/>
            <w:shd w:val="clear" w:color="auto" w:fill="FFFFFF"/>
            <w:lang w:val="en-US" w:eastAsia="en-US" w:bidi="ar-SA"/>
          </w:rPr>
          <w:t>2001 NBQB 82</w:t>
        </w:r>
      </w:hyperlink>
      <w:r>
        <w:rPr>
          <w:rFonts w:ascii="arial" w:eastAsia="arial" w:hAnsi="arial" w:cs="arial"/>
          <w:color w:val="000000"/>
          <w:sz w:val="20"/>
          <w:lang w:val="en-US" w:eastAsia="en-US" w:bidi="ar-SA"/>
        </w:rPr>
        <w:t xml:space="preserve">, </w:t>
      </w:r>
      <w:hyperlink r:id="rId686" w:history="1">
        <w:r>
          <w:rPr>
            <w:rFonts w:ascii="arial" w:eastAsia="arial" w:hAnsi="arial" w:cs="arial"/>
            <w:i/>
            <w:color w:val="0077CC"/>
            <w:sz w:val="20"/>
            <w:u w:val="single"/>
            <w:shd w:val="clear" w:color="auto" w:fill="FFFFFF"/>
            <w:lang w:val="en-US" w:eastAsia="en-US" w:bidi="ar-SA"/>
          </w:rPr>
          <w:t>239 N.B.R. (2d) 173</w:t>
        </w:r>
      </w:hyperlink>
      <w:r>
        <w:rPr>
          <w:rFonts w:ascii="arial" w:eastAsia="arial" w:hAnsi="arial" w:cs="arial"/>
          <w:color w:val="000000"/>
          <w:sz w:val="20"/>
          <w:lang w:val="en-US" w:eastAsia="en-US" w:bidi="ar-SA"/>
        </w:rPr>
        <w:t xml:space="preserve">. The defendant then appealed to the Court of Appeal, where the majority set aside the conviction and entered an acquittal: </w:t>
      </w:r>
      <w:r>
        <w:rPr>
          <w:rFonts w:ascii="arial" w:eastAsia="arial" w:hAnsi="arial" w:cs="arial"/>
          <w:b/>
          <w:i/>
          <w:color w:val="000000"/>
          <w:sz w:val="20"/>
          <w:lang w:val="en-US" w:eastAsia="en-US" w:bidi="ar-SA"/>
        </w:rPr>
        <w:t>R. v. Bernard</w:t>
      </w:r>
      <w:r>
        <w:rPr>
          <w:rFonts w:ascii="arial" w:eastAsia="arial" w:hAnsi="arial" w:cs="arial"/>
          <w:color w:val="000000"/>
          <w:sz w:val="20"/>
          <w:lang w:val="en-US" w:eastAsia="en-US" w:bidi="ar-SA"/>
        </w:rPr>
        <w:t xml:space="preserve">, </w:t>
      </w:r>
      <w:hyperlink r:id="rId687" w:history="1">
        <w:r>
          <w:rPr>
            <w:rFonts w:ascii="arial" w:eastAsia="arial" w:hAnsi="arial" w:cs="arial"/>
            <w:i/>
            <w:color w:val="0077CC"/>
            <w:sz w:val="20"/>
            <w:u w:val="single"/>
            <w:shd w:val="clear" w:color="auto" w:fill="FFFFFF"/>
            <w:lang w:val="en-US" w:eastAsia="en-US" w:bidi="ar-SA"/>
          </w:rPr>
          <w:t>2003 NBCA 55</w:t>
        </w:r>
      </w:hyperlink>
      <w:r>
        <w:rPr>
          <w:rFonts w:ascii="arial" w:eastAsia="arial" w:hAnsi="arial" w:cs="arial"/>
          <w:color w:val="000000"/>
          <w:sz w:val="20"/>
          <w:lang w:val="en-US" w:eastAsia="en-US" w:bidi="ar-SA"/>
        </w:rPr>
        <w:t xml:space="preserve">, </w:t>
      </w:r>
      <w:hyperlink r:id="rId687" w:history="1">
        <w:r>
          <w:rPr>
            <w:rFonts w:ascii="arial" w:eastAsia="arial" w:hAnsi="arial" w:cs="arial"/>
            <w:i/>
            <w:color w:val="0077CC"/>
            <w:sz w:val="20"/>
            <w:u w:val="single"/>
            <w:shd w:val="clear" w:color="auto" w:fill="FFFFFF"/>
            <w:lang w:val="en-US" w:eastAsia="en-US" w:bidi="ar-SA"/>
          </w:rPr>
          <w:t>262 N.B.R. (2d) 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561</w:t>
      </w:r>
      <w:r>
        <w:rPr>
          <w:rFonts w:ascii="arial" w:eastAsia="arial" w:hAnsi="arial" w:cs="arial"/>
          <w:color w:val="000000"/>
          <w:sz w:val="20"/>
          <w:lang w:val="en-US" w:eastAsia="en-US" w:bidi="ar-SA"/>
        </w:rPr>
        <w:t>  In the New Brunswick Court of Appeal, Daigle J.A. disagreed with the trial judge on the standard of occupation required to establish Aboriginal title. Daigle J.A. was satisfied that the claimed area was subject to Miramichi Mi'kmaq Aboriginal title. Daigle J.A. also upheld the treaty defence, finding the harvesting of logs to be the contemporary form of a treaty right. Robertson J.A. also disagreed with the trial judge on the standard of occupation required to establish Aboriginal title. Robertson J.A. refrained from answering the question as to whether the evidence was sufficient to support a declaration of Aboriginal title, concluding it was unnecessary in the circumstances. Instead he overturned the conviction on the basis of the existence of a treaty right to harvest and sell logs. Deschenes J.A., dissenting, would not have interfered with the trial judge's findings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562</w:t>
      </w:r>
      <w:r>
        <w:rPr>
          <w:rFonts w:ascii="arial" w:eastAsia="arial" w:hAnsi="arial" w:cs="arial"/>
          <w:color w:val="000000"/>
          <w:sz w:val="20"/>
          <w:lang w:val="en-US" w:eastAsia="en-US" w:bidi="ar-SA"/>
        </w:rPr>
        <w:t>  In expressing his disagreement with the trial judge, Daigle J.A. said the following at paras. 86-88: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my view, the trial judge's statement in para. 107 that "occasional" use or "occasional forays for hunting, fishing and gathering are not sufficient to establish aboriginal title in the land" is incorrect and exhibits a fundamental misunderstanding of what </w:t>
      </w:r>
      <w:r>
        <w:rPr>
          <w:rFonts w:ascii="arial" w:eastAsia="arial" w:hAnsi="arial" w:cs="arial"/>
          <w:i/>
          <w:color w:val="000000"/>
          <w:sz w:val="20"/>
          <w:lang w:val="en-US" w:eastAsia="en-US" w:bidi="ar-SA"/>
        </w:rPr>
        <w:t>Delgamuukw</w:t>
      </w:r>
      <w:r>
        <w:rPr>
          <w:rFonts w:ascii="arial" w:eastAsia="arial" w:hAnsi="arial" w:cs="arial"/>
          <w:color w:val="000000"/>
          <w:sz w:val="20"/>
          <w:lang w:val="en-US" w:eastAsia="en-US" w:bidi="ar-SA"/>
        </w:rPr>
        <w:t xml:space="preserve"> requires as sufficient elements of physical occupation to ground title. In para. 74, above, I quoted a passage from </w:t>
      </w:r>
      <w:r>
        <w:rPr>
          <w:rFonts w:ascii="arial" w:eastAsia="arial" w:hAnsi="arial" w:cs="arial"/>
          <w:i/>
          <w:color w:val="000000"/>
          <w:sz w:val="20"/>
          <w:lang w:val="en-US" w:eastAsia="en-US" w:bidi="ar-SA"/>
        </w:rPr>
        <w:t>Delgamuukw</w:t>
      </w:r>
      <w:r>
        <w:rPr>
          <w:rFonts w:ascii="arial" w:eastAsia="arial" w:hAnsi="arial" w:cs="arial"/>
          <w:color w:val="000000"/>
          <w:sz w:val="20"/>
          <w:lang w:val="en-US" w:eastAsia="en-US" w:bidi="ar-SA"/>
        </w:rPr>
        <w:t xml:space="preserve"> in which Lamer C.J. refers specifically to a number of factors to be taken into account in determining the sufficiency of physical occupation. In providing guidance concerning the concept of occupation he first states that physical occupation can be established in a variety of ways, one of which is the "regular use of definite tracts of land for hunting, fishing or otherwise exploiting resources". On this point, he references the work of Prof. McNeil, excerpts of which I have quoted in para. 77 above.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relevant factors emphasized are the group's size, manner of life, material resources and the character of the lands claimed. In particular, the inclusion of "manner of life" in the list of factors to be considered for occupation at common law would undoubtedly include consideration of the seasonal pattern of exploitation of the resources of the entire Northwest Miramichi watershed by the Mi'kmaq. I pointed out earlier the overarching principle set out in </w:t>
      </w:r>
      <w:r>
        <w:rPr>
          <w:rFonts w:ascii="arial" w:eastAsia="arial" w:hAnsi="arial" w:cs="arial"/>
          <w:i/>
          <w:color w:val="000000"/>
          <w:sz w:val="20"/>
          <w:lang w:val="en-US" w:eastAsia="en-US" w:bidi="ar-SA"/>
        </w:rPr>
        <w:t>Delgamuukw</w:t>
      </w:r>
      <w:r>
        <w:rPr>
          <w:rFonts w:ascii="arial" w:eastAsia="arial" w:hAnsi="arial" w:cs="arial"/>
          <w:color w:val="000000"/>
          <w:sz w:val="20"/>
          <w:lang w:val="en-US" w:eastAsia="en-US" w:bidi="ar-SA"/>
        </w:rPr>
        <w:t xml:space="preserve"> that the aboriginal perspective must be taken into account alongside the perspective of the common law. Therefore, as a matter of law, the same factor of the Mi'kmaq subsistence pattern, which represents the essential feature of their perspective on the occupation of their lands, must be taken into account in determining the requisite degree of occupation.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to the meaning of "regular use" of land, the following comments by Prof.McNeil, tacitly adopted although not quoted by Lamer C.J. in </w:t>
      </w:r>
      <w:r>
        <w:rPr>
          <w:rFonts w:ascii="arial" w:eastAsia="arial" w:hAnsi="arial" w:cs="arial"/>
          <w:i/>
          <w:color w:val="000000"/>
          <w:sz w:val="20"/>
          <w:lang w:val="en-US" w:eastAsia="en-US" w:bidi="ar-SA"/>
        </w:rPr>
        <w:t>Delgamuukw</w:t>
      </w:r>
      <w:r>
        <w:rPr>
          <w:rFonts w:ascii="arial" w:eastAsia="arial" w:hAnsi="arial" w:cs="arial"/>
          <w:color w:val="000000"/>
          <w:sz w:val="20"/>
          <w:lang w:val="en-US" w:eastAsia="en-US" w:bidi="ar-SA"/>
        </w:rPr>
        <w:t>, shed light on the nature of the use of land that amounts to physical occupation at common law (p. 202):</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Probably even outlying areas that were visited occasionally, and regarded as being under their exclusive control, would also be occupied by them in much the same way as the waste of a manor would be occupied by the lord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to occupation of land by a hunter-gatherer aboriginal group such as the Miramichi Mi'kmaq, it was the author's opinion that such a group "who habitually and exclusively ranged over a definite tract of land ... exploiting natural resources in accordance with their own interests and way of life, would have been in occupation of that land ... As to the extent of their occupation, it would include not just land in actual use by them at any given moment, but all land within their habitual range" (p. 204).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563</w:t>
      </w:r>
      <w:r>
        <w:rPr>
          <w:rFonts w:ascii="arial" w:eastAsia="arial" w:hAnsi="arial" w:cs="arial"/>
          <w:color w:val="000000"/>
          <w:sz w:val="20"/>
          <w:lang w:val="en-US" w:eastAsia="en-US" w:bidi="ar-SA"/>
        </w:rPr>
        <w:t>  </w:t>
      </w:r>
      <w:r>
        <w:rPr>
          <w:rFonts w:ascii="arial" w:eastAsia="arial" w:hAnsi="arial" w:cs="arial"/>
          <w:b/>
          <w:i/>
          <w:color w:val="000000"/>
          <w:sz w:val="20"/>
          <w:lang w:val="en-US" w:eastAsia="en-US" w:bidi="ar-SA"/>
        </w:rPr>
        <w:t>R. v. Marshall</w:t>
      </w:r>
      <w:r>
        <w:rPr>
          <w:rFonts w:ascii="arial" w:eastAsia="arial" w:hAnsi="arial" w:cs="arial"/>
          <w:color w:val="000000"/>
          <w:sz w:val="20"/>
          <w:lang w:val="en-US" w:eastAsia="en-US" w:bidi="ar-SA"/>
        </w:rPr>
        <w:t xml:space="preserve"> also involved a consideration of the standard of occupation required to prove Aboriginal title. This time, a number of status Mi'kmaq persons cut timber on Crown lands without provincial authorization. They too were charged under the provincial statute. In this case the cutting had taken place in five counties on mainland Nova Scotia and three counties on Cape Breton Island. All the sites were near reserves. In admitting the cutting the defendants sought acquittal on the basis that they were entitled to cut timber for commercial purposes by virtue of their Aboriginal title to Nova Scotia.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564</w:t>
      </w:r>
      <w:r>
        <w:rPr>
          <w:rFonts w:ascii="arial" w:eastAsia="arial" w:hAnsi="arial" w:cs="arial"/>
          <w:color w:val="000000"/>
          <w:sz w:val="20"/>
          <w:lang w:val="en-US" w:eastAsia="en-US" w:bidi="ar-SA"/>
        </w:rPr>
        <w:t>  The trial judge recognized that Nova Scotia was Mi'kmaq territory, unchallenged by any other Aboriginal group. He concluded that the Mi'kmaq probably had Aboriginal title to lands around their local communities but not to the cutting sites. In reaching that conclusion, the trial judge explored the degree of occupancy necessary to establish Aboriginal title saying at para. 139: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problem for the defendant is that mere occupancy of land does not necessarily establish aboriginal title: (see </w:t>
      </w:r>
      <w:r>
        <w:rPr>
          <w:rFonts w:ascii="arial" w:eastAsia="arial" w:hAnsi="arial" w:cs="arial"/>
          <w:i/>
          <w:color w:val="000000"/>
          <w:sz w:val="20"/>
          <w:lang w:val="en-US" w:eastAsia="en-US" w:bidi="ar-SA"/>
        </w:rPr>
        <w:t>Delgamuukw, supra</w:t>
      </w:r>
      <w:r>
        <w:rPr>
          <w:rFonts w:ascii="arial" w:eastAsia="arial" w:hAnsi="arial" w:cs="arial"/>
          <w:color w:val="000000"/>
          <w:sz w:val="20"/>
          <w:lang w:val="en-US" w:eastAsia="en-US" w:bidi="ar-SA"/>
        </w:rPr>
        <w:t xml:space="preserve">, at paragraph 138, where Lamer C.J. commented on </w:t>
      </w:r>
      <w:r>
        <w:rPr>
          <w:rFonts w:ascii="arial" w:eastAsia="arial" w:hAnsi="arial" w:cs="arial"/>
          <w:i/>
          <w:color w:val="000000"/>
          <w:sz w:val="20"/>
          <w:lang w:val="en-US" w:eastAsia="en-US" w:bidi="ar-SA"/>
        </w:rPr>
        <w:t>R. v. Adams</w:t>
      </w:r>
      <w:r>
        <w:rPr>
          <w:rFonts w:ascii="arial" w:eastAsia="arial" w:hAnsi="arial" w:cs="arial"/>
          <w:color w:val="000000"/>
          <w:sz w:val="20"/>
          <w:lang w:val="en-US" w:eastAsia="en-US" w:bidi="ar-SA"/>
        </w:rPr>
        <w:t xml:space="preserve">, </w:t>
      </w:r>
      <w:hyperlink r:id="rId683" w:history="1">
        <w:r>
          <w:rPr>
            <w:rFonts w:ascii="arial" w:eastAsia="arial" w:hAnsi="arial" w:cs="arial"/>
            <w:i/>
            <w:color w:val="0077CC"/>
            <w:sz w:val="20"/>
            <w:u w:val="single"/>
            <w:shd w:val="clear" w:color="auto" w:fill="FFFFFF"/>
            <w:lang w:val="en-US" w:eastAsia="en-US" w:bidi="ar-SA"/>
          </w:rPr>
          <w:t>[1996] 3 S.C.R. 101</w:t>
        </w:r>
      </w:hyperlink>
      <w:r>
        <w:rPr>
          <w:rFonts w:ascii="arial" w:eastAsia="arial" w:hAnsi="arial" w:cs="arial"/>
          <w:color w:val="000000"/>
          <w:sz w:val="20"/>
          <w:lang w:val="en-US" w:eastAsia="en-US" w:bidi="ar-SA"/>
        </w:rPr>
        <w:t>). If an aboriginal group has used lands only for certain limited activities and not intensively, the group might have an aboriginal right to carry on those activities, but it doesn't have title.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565</w:t>
      </w:r>
      <w:r>
        <w:rPr>
          <w:rFonts w:ascii="arial" w:eastAsia="arial" w:hAnsi="arial" w:cs="arial"/>
          <w:color w:val="000000"/>
          <w:sz w:val="20"/>
          <w:lang w:val="en-US" w:eastAsia="en-US" w:bidi="ar-SA"/>
        </w:rPr>
        <w:t>  The trial judge described the line separating sufficient and insufficient occupancy for title at para. 141,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line separating sufficient and insufficient occupancy for title seems to be between nomadic and irregular use of undefined lands on the one hand and regular use of defined lands on the other. Settlements constitute regular use of defined lands, but they are only one instance of it. There is no persuasive evidence that the Mi'kmaq used the cutting sites at all, let alone regularly.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566</w:t>
      </w:r>
      <w:r>
        <w:rPr>
          <w:rFonts w:ascii="arial" w:eastAsia="arial" w:hAnsi="arial" w:cs="arial"/>
          <w:color w:val="000000"/>
          <w:sz w:val="20"/>
          <w:lang w:val="en-US" w:eastAsia="en-US" w:bidi="ar-SA"/>
        </w:rPr>
        <w:t>  The convictions were appealed to the Queen's Bench. Scanlan J. agreed with the approach taken by the trial judge to the proof of Aboriginal title, stating at para. 108: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Occasional use of land prior to contact or at the time of sovereignty is not enough to establish Aboriginal title. I reject the submission as put forth by the Appellants that the Mi'kmaq occupied all of Nova Scotia prior to contact to the extent required to prove title. The term occupation is not an absolute term as it applies to the concept Aboriginal title. There are degrees of occupation. Some use and occupation of the lands may be sufficient to establish particular rights short of title. As noted by Judge Curran, given the rather small number of Mi'kmaq at the time of contact and at the time of sovereignty they simply could not use all of the land in Nova Scotia at the same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567</w:t>
      </w:r>
      <w:r>
        <w:rPr>
          <w:rFonts w:ascii="arial" w:eastAsia="arial" w:hAnsi="arial" w:cs="arial"/>
          <w:color w:val="000000"/>
          <w:sz w:val="20"/>
          <w:lang w:val="en-US" w:eastAsia="en-US" w:bidi="ar-SA"/>
        </w:rPr>
        <w:t>  Scanlan J. rejected the Mi'kmaq argument that treaties made by Canada in other areas covered vast tracts of land and by so doing Canada must have been recognizing Aboriginal title to those areas. He acknowledged that the Mi'kmaq were a formidable military force. He considered the fact that there are varying degrees of occupation and said at para. 117: "some are sufficient to establish title and some are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568</w:t>
      </w:r>
      <w:r>
        <w:rPr>
          <w:rFonts w:ascii="arial" w:eastAsia="arial" w:hAnsi="arial" w:cs="arial"/>
          <w:color w:val="000000"/>
          <w:sz w:val="20"/>
          <w:lang w:val="en-US" w:eastAsia="en-US" w:bidi="ar-SA"/>
        </w:rPr>
        <w:t xml:space="preserve">  The Nova Scotia Court of Appeal allowed the appeal, set aside the convictions and ordered new trials: </w:t>
      </w:r>
      <w:r>
        <w:rPr>
          <w:rFonts w:ascii="arial" w:eastAsia="arial" w:hAnsi="arial" w:cs="arial"/>
          <w:b/>
          <w:i/>
          <w:color w:val="000000"/>
          <w:sz w:val="20"/>
          <w:lang w:val="en-US" w:eastAsia="en-US" w:bidi="ar-SA"/>
        </w:rPr>
        <w:t>R. v. Marshall</w:t>
      </w:r>
      <w:r>
        <w:rPr>
          <w:rFonts w:ascii="arial" w:eastAsia="arial" w:hAnsi="arial" w:cs="arial"/>
          <w:color w:val="000000"/>
          <w:sz w:val="20"/>
          <w:lang w:val="en-US" w:eastAsia="en-US" w:bidi="ar-SA"/>
        </w:rPr>
        <w:t xml:space="preserve">, </w:t>
      </w:r>
      <w:hyperlink r:id="rId688" w:history="1">
        <w:r>
          <w:rPr>
            <w:rFonts w:ascii="arial" w:eastAsia="arial" w:hAnsi="arial" w:cs="arial"/>
            <w:i/>
            <w:color w:val="0077CC"/>
            <w:sz w:val="20"/>
            <w:u w:val="single"/>
            <w:shd w:val="clear" w:color="auto" w:fill="FFFFFF"/>
            <w:lang w:val="en-US" w:eastAsia="en-US" w:bidi="ar-SA"/>
          </w:rPr>
          <w:t>2003 NSCA 105</w:t>
        </w:r>
      </w:hyperlink>
      <w:r>
        <w:rPr>
          <w:rFonts w:ascii="arial" w:eastAsia="arial" w:hAnsi="arial" w:cs="arial"/>
          <w:color w:val="000000"/>
          <w:sz w:val="20"/>
          <w:lang w:val="en-US" w:eastAsia="en-US" w:bidi="ar-SA"/>
        </w:rPr>
        <w:t xml:space="preserve">, </w:t>
      </w:r>
      <w:hyperlink r:id="rId688" w:history="1">
        <w:r>
          <w:rPr>
            <w:rFonts w:ascii="arial" w:eastAsia="arial" w:hAnsi="arial" w:cs="arial"/>
            <w:i/>
            <w:color w:val="0077CC"/>
            <w:sz w:val="20"/>
            <w:u w:val="single"/>
            <w:shd w:val="clear" w:color="auto" w:fill="FFFFFF"/>
            <w:lang w:val="en-US" w:eastAsia="en-US" w:bidi="ar-SA"/>
          </w:rPr>
          <w:t>[2003] N.S.J. No. 361</w:t>
        </w:r>
      </w:hyperlink>
      <w:r>
        <w:rPr>
          <w:rFonts w:ascii="arial" w:eastAsia="arial" w:hAnsi="arial" w:cs="arial"/>
          <w:color w:val="000000"/>
          <w:sz w:val="20"/>
          <w:lang w:val="en-US" w:eastAsia="en-US" w:bidi="ar-SA"/>
        </w:rPr>
        <w:t>. Cromwell J.A. and Oland J.A. concluded that the Supreme Court of Canada had only provided limited guidance on the nature of Aboriginal occupancy that must be proven to establish Aboriginal title. They concluded at paras. 135-138 that:</w:t>
      </w:r>
      <w:r>
        <w:rPr>
          <w:rFonts w:ascii="arial" w:eastAsia="arial" w:hAnsi="arial" w:cs="arial"/>
          <w:sz w:val="20"/>
          <w:lang w:val="en-US" w:eastAsia="en-US" w:bidi="ar-SA"/>
        </w:rPr>
        <w:cr/>
      </w:r>
    </w:p>
    <w:p>
      <w:pPr>
        <w:numPr>
          <w:numId w:val="2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appropriate standard of occupation for aboriginal title, from the common law perspective, is that of a "general occupant", "a person asserting possession of land over which no one else has a present interest or with respect to which title is uncertain", not the test applied to a trespasser under the doctrine of adverse possession;</w:t>
      </w:r>
    </w:p>
    <w:p>
      <w:pPr>
        <w:numPr>
          <w:numId w:val="2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"dealing with a large expanse of territory which was not cultivated, acts such as continual, though changing, settlement and wide-ranging use for fishing, hunting and gathering" as part of a seasonal pattern of subsistence living should be given more weight than they would be if dealing with enclosed, cultivated 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569</w:t>
      </w:r>
      <w:r>
        <w:rPr>
          <w:rFonts w:ascii="arial" w:eastAsia="arial" w:hAnsi="arial" w:cs="arial"/>
          <w:color w:val="000000"/>
          <w:sz w:val="20"/>
          <w:lang w:val="en-US" w:eastAsia="en-US" w:bidi="ar-SA"/>
        </w:rPr>
        <w:t xml:space="preserve">  The Nova Scotia Court of Appeal in </w:t>
      </w:r>
      <w:r>
        <w:rPr>
          <w:rFonts w:ascii="arial" w:eastAsia="arial" w:hAnsi="arial" w:cs="arial"/>
          <w:b/>
          <w:i/>
          <w:color w:val="000000"/>
          <w:sz w:val="20"/>
          <w:lang w:val="en-US" w:eastAsia="en-US" w:bidi="ar-SA"/>
        </w:rPr>
        <w:t>Marshall</w:t>
      </w:r>
      <w:r>
        <w:rPr>
          <w:rFonts w:ascii="arial" w:eastAsia="arial" w:hAnsi="arial" w:cs="arial"/>
          <w:color w:val="000000"/>
          <w:sz w:val="20"/>
          <w:lang w:val="en-US" w:eastAsia="en-US" w:bidi="ar-SA"/>
        </w:rPr>
        <w:t xml:space="preserve"> concluded that the lower courts had erred in requiring proof of regular, intensive use of the specific cutting sites to establish Aboriginal title. Cromwell J.A. stated at paras. 183-184 (Saunders J.A. also concurring on this point):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test as expressed in </w:t>
      </w:r>
      <w:r>
        <w:rPr>
          <w:rFonts w:ascii="arial" w:eastAsia="arial" w:hAnsi="arial" w:cs="arial"/>
          <w:i/>
          <w:color w:val="000000"/>
          <w:sz w:val="20"/>
          <w:lang w:val="en-US" w:eastAsia="en-US" w:bidi="ar-SA"/>
        </w:rPr>
        <w:t>Delgamuukw</w:t>
      </w:r>
      <w:r>
        <w:rPr>
          <w:rFonts w:ascii="arial" w:eastAsia="arial" w:hAnsi="arial" w:cs="arial"/>
          <w:color w:val="000000"/>
          <w:sz w:val="20"/>
          <w:lang w:val="en-US" w:eastAsia="en-US" w:bidi="ar-SA"/>
        </w:rPr>
        <w:t xml:space="preserve"> is whether the claimant has established exclusive occupation at sovereignty of the lands claimed. The question, in my opinion, is not whether exclusive occupation of the cutting sites was established, but whether exclusive occupation of a reasonably defined territory which includes the cutting sites, was established. Insistence on proof of acts of occupation of the specific cutting sites within that territory is, in my opinion, not consistent with either the common law or the aboriginal perspective on occupation.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have not overlooked the Crown submission that the appellants have not established the boundaries of their occupation with sufficient certainty to demonstrate occupation of the whole present day province of Nova Scotia. In my view, that is not an issue which it is necessary for us to resolve in this case. To make out the defence on which they rely (and putting aside questions of whether proof of exclusive occupancy at sovereignty would afford a defence), the appellants do not have to establish Mi'kmaq aboriginal title to the whole province (although that is their claim); they have to show aboriginal title to the cutting sites. The question, therefore, is not whether the outer limits of the area of title have been established, but whether the cutting sites fall within an area to which aboriginal title has been proved.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570</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Marshall; Bernard</w:t>
      </w:r>
      <w:r>
        <w:rPr>
          <w:rFonts w:ascii="arial" w:eastAsia="arial" w:hAnsi="arial" w:cs="arial"/>
          <w:color w:val="000000"/>
          <w:sz w:val="20"/>
          <w:lang w:val="en-US" w:eastAsia="en-US" w:bidi="ar-SA"/>
        </w:rPr>
        <w:t>, the Supreme Court of Canada rejected the approaches taken by the appellate courts of Nova Scotia and New Brunswick and restored the convictions on the grounds that Aboriginal title had not been established. McLachlin C.J.C., speaking for five of seven justices, concluded that the trial judges had correctly rejected the claim for Aboriginal title in the relevant areas.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571</w:t>
      </w:r>
      <w:r>
        <w:rPr>
          <w:rFonts w:ascii="arial" w:eastAsia="arial" w:hAnsi="arial" w:cs="arial"/>
          <w:color w:val="000000"/>
          <w:sz w:val="20"/>
          <w:lang w:val="en-US" w:eastAsia="en-US" w:bidi="ar-SA"/>
        </w:rPr>
        <w:t>  At para. 53, McLachlin C.J.C. confirmed the modern concept of a variety of independent Aboriginal rights. She went on to say the following at para. 54: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One of these rights is aboriginal title to land. It is established by aboriginal practices that indicate possession similar to that associated with title at common law. In matching common law property rules to aboriginal practice we must be sensitive to the context-specific nature of common law title, as well as the aboriginal perspective. The common law recognizes that possession sufficient to ground title is a matter of fact, depending on all the circumstances, in particular the nature of the land and the manner in which the land is commonly enjoyed: </w:t>
      </w:r>
      <w:r>
        <w:rPr>
          <w:rFonts w:ascii="arial" w:eastAsia="arial" w:hAnsi="arial" w:cs="arial"/>
          <w:i/>
          <w:color w:val="000000"/>
          <w:sz w:val="20"/>
          <w:lang w:val="en-US" w:eastAsia="en-US" w:bidi="ar-SA"/>
        </w:rPr>
        <w:t>Powell v. McFarlane</w:t>
      </w:r>
      <w:r>
        <w:rPr>
          <w:rFonts w:ascii="arial" w:eastAsia="arial" w:hAnsi="arial" w:cs="arial"/>
          <w:color w:val="000000"/>
          <w:sz w:val="20"/>
          <w:lang w:val="en-US" w:eastAsia="en-US" w:bidi="ar-SA"/>
        </w:rPr>
        <w:t xml:space="preserve"> (1977), 38 P. &amp; C.R. 452 (Ch. D.), at p. 471. For example, where marshy land is virtually useless except for shooting, shooting over it may amount to adverse possession: </w:t>
      </w:r>
      <w:r>
        <w:rPr>
          <w:rFonts w:ascii="arial" w:eastAsia="arial" w:hAnsi="arial" w:cs="arial"/>
          <w:i/>
          <w:color w:val="000000"/>
          <w:sz w:val="20"/>
          <w:lang w:val="en-US" w:eastAsia="en-US" w:bidi="ar-SA"/>
        </w:rPr>
        <w:t>Red House Farms (Thorndon) Ltd. v. Catchpole</w:t>
      </w:r>
      <w:r>
        <w:rPr>
          <w:rFonts w:ascii="arial" w:eastAsia="arial" w:hAnsi="arial" w:cs="arial"/>
          <w:color w:val="000000"/>
          <w:sz w:val="20"/>
          <w:lang w:val="en-US" w:eastAsia="en-US" w:bidi="ar-SA"/>
        </w:rPr>
        <w:t xml:space="preserve">, [1977] E.G.D. 798 (Eng. C.A.). The common law also recognizes that a person with adequate possession for title may choose to use it intermittently or sporadically: </w:t>
      </w:r>
      <w:r>
        <w:rPr>
          <w:rFonts w:ascii="arial" w:eastAsia="arial" w:hAnsi="arial" w:cs="arial"/>
          <w:i/>
          <w:color w:val="000000"/>
          <w:sz w:val="20"/>
          <w:lang w:val="en-US" w:eastAsia="en-US" w:bidi="ar-SA"/>
        </w:rPr>
        <w:t>Keefer v. Arillotta</w:t>
      </w:r>
      <w:r>
        <w:rPr>
          <w:rFonts w:ascii="arial" w:eastAsia="arial" w:hAnsi="arial" w:cs="arial"/>
          <w:color w:val="000000"/>
          <w:sz w:val="20"/>
          <w:lang w:val="en-US" w:eastAsia="en-US" w:bidi="ar-SA"/>
        </w:rPr>
        <w:t xml:space="preserve"> </w:t>
      </w:r>
      <w:hyperlink r:id="rId689" w:history="1">
        <w:r>
          <w:rPr>
            <w:rFonts w:ascii="arial" w:eastAsia="arial" w:hAnsi="arial" w:cs="arial"/>
            <w:i/>
            <w:color w:val="0077CC"/>
            <w:sz w:val="20"/>
            <w:u w:val="single"/>
            <w:shd w:val="clear" w:color="auto" w:fill="FFFFFF"/>
            <w:lang w:val="en-US" w:eastAsia="en-US" w:bidi="ar-SA"/>
          </w:rPr>
          <w:t>(1976), 13 O.R. (2d) 680</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Wilson J.A. Finally, the common law recognizes that exclusivity does not preclude consensual arrangements that recognize shared title to the same parcel of land: </w:t>
      </w:r>
      <w:r>
        <w:rPr>
          <w:rFonts w:ascii="arial" w:eastAsia="arial" w:hAnsi="arial" w:cs="arial"/>
          <w:i/>
          <w:color w:val="000000"/>
          <w:sz w:val="20"/>
          <w:lang w:val="en-US" w:eastAsia="en-US" w:bidi="ar-SA"/>
        </w:rPr>
        <w:t>Delgamuukw</w:t>
      </w:r>
      <w:r>
        <w:rPr>
          <w:rFonts w:ascii="arial" w:eastAsia="arial" w:hAnsi="arial" w:cs="arial"/>
          <w:color w:val="000000"/>
          <w:sz w:val="20"/>
          <w:lang w:val="en-US" w:eastAsia="en-US" w:bidi="ar-SA"/>
        </w:rPr>
        <w:t>, at para. 158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572</w:t>
      </w:r>
      <w:r>
        <w:rPr>
          <w:rFonts w:ascii="arial" w:eastAsia="arial" w:hAnsi="arial" w:cs="arial"/>
          <w:color w:val="000000"/>
          <w:sz w:val="20"/>
          <w:lang w:val="en-US" w:eastAsia="en-US" w:bidi="ar-SA"/>
        </w:rPr>
        <w:t>  On the subject of occupation and exclusivity, McLachlin C.J.C. said the following at paras. 55-57: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review of the general principles underlying the issue of aboriginal title to land brings us to the specific requirements for title set out in </w:t>
      </w:r>
      <w:r>
        <w:rPr>
          <w:rFonts w:ascii="arial" w:eastAsia="arial" w:hAnsi="arial" w:cs="arial"/>
          <w:i/>
          <w:color w:val="000000"/>
          <w:sz w:val="20"/>
          <w:lang w:val="en-US" w:eastAsia="en-US" w:bidi="ar-SA"/>
        </w:rPr>
        <w:t>Delgamuukw</w:t>
      </w:r>
      <w:r>
        <w:rPr>
          <w:rFonts w:ascii="arial" w:eastAsia="arial" w:hAnsi="arial" w:cs="arial"/>
          <w:color w:val="000000"/>
          <w:sz w:val="20"/>
          <w:lang w:val="en-US" w:eastAsia="en-US" w:bidi="ar-SA"/>
        </w:rPr>
        <w:t xml:space="preserve">. To establish title, claimants must prove "exclusive" pre-sovereignty "occupation" of the land by their forebears: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Lamer C.J.C., at para. 143.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"Occupation" means "physical occupation". This "may be established in a variety of ways, ranging from the construction of dwellings through cultivation and enclosure of fields to regular use of definite tracts of land for hunting, fishing or otherwise exploiting its resources": </w:t>
      </w:r>
      <w:r>
        <w:rPr>
          <w:rFonts w:ascii="arial" w:eastAsia="arial" w:hAnsi="arial" w:cs="arial"/>
          <w:i/>
          <w:color w:val="000000"/>
          <w:sz w:val="20"/>
          <w:lang w:val="en-US" w:eastAsia="en-US" w:bidi="ar-SA"/>
        </w:rPr>
        <w:t>Delgamuukw, per</w:t>
      </w:r>
      <w:r>
        <w:rPr>
          <w:rFonts w:ascii="arial" w:eastAsia="arial" w:hAnsi="arial" w:cs="arial"/>
          <w:color w:val="000000"/>
          <w:sz w:val="20"/>
          <w:lang w:val="en-US" w:eastAsia="en-US" w:bidi="ar-SA"/>
        </w:rPr>
        <w:t xml:space="preserve"> Lamer C.J., at para. 149.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"Exclusive" occupation flows from the definition of aboriginal title as "the right to </w:t>
      </w:r>
      <w:r>
        <w:rPr>
          <w:rFonts w:ascii="arial" w:eastAsia="arial" w:hAnsi="arial" w:cs="arial"/>
          <w:i/>
          <w:color w:val="000000"/>
          <w:sz w:val="20"/>
          <w:lang w:val="en-US" w:eastAsia="en-US" w:bidi="ar-SA"/>
        </w:rPr>
        <w:t>exclusive</w:t>
      </w:r>
      <w:r>
        <w:rPr>
          <w:rFonts w:ascii="arial" w:eastAsia="arial" w:hAnsi="arial" w:cs="arial"/>
          <w:color w:val="000000"/>
          <w:sz w:val="20"/>
          <w:lang w:val="en-US" w:eastAsia="en-US" w:bidi="ar-SA"/>
        </w:rPr>
        <w:t xml:space="preserve"> use and occupation of land": </w:t>
      </w:r>
      <w:r>
        <w:rPr>
          <w:rFonts w:ascii="arial" w:eastAsia="arial" w:hAnsi="arial" w:cs="arial"/>
          <w:i/>
          <w:color w:val="000000"/>
          <w:sz w:val="20"/>
          <w:lang w:val="en-US" w:eastAsia="en-US" w:bidi="ar-SA"/>
        </w:rPr>
        <w:t>Delgamuukw, per</w:t>
      </w:r>
      <w:r>
        <w:rPr>
          <w:rFonts w:ascii="arial" w:eastAsia="arial" w:hAnsi="arial" w:cs="arial"/>
          <w:color w:val="000000"/>
          <w:sz w:val="20"/>
          <w:lang w:val="en-US" w:eastAsia="en-US" w:bidi="ar-SA"/>
        </w:rPr>
        <w:t xml:space="preserve"> Lamer C.J., at para. 155 (emphasis in original). It is consistent with the concept of title to land at common law. Exclusive occupation means "the intention and capacity to retain exclusive control", and is not negated by occasional acts of trespass or the presence of other aboriginal groups with consent (</w:t>
      </w:r>
      <w:r>
        <w:rPr>
          <w:rFonts w:ascii="arial" w:eastAsia="arial" w:hAnsi="arial" w:cs="arial"/>
          <w:i/>
          <w:color w:val="000000"/>
          <w:sz w:val="20"/>
          <w:lang w:val="en-US" w:eastAsia="en-US" w:bidi="ar-SA"/>
        </w:rPr>
        <w:t>Delgamuukw</w:t>
      </w:r>
      <w:r>
        <w:rPr>
          <w:rFonts w:ascii="arial" w:eastAsia="arial" w:hAnsi="arial" w:cs="arial"/>
          <w:color w:val="000000"/>
          <w:sz w:val="20"/>
          <w:lang w:val="en-US" w:eastAsia="en-US" w:bidi="ar-SA"/>
        </w:rPr>
        <w:t>, at para. 156, citing McNeil, at p. 204). Shared exclusivity may result in joint title (para. 158). Non-exclusive occupation may establish aboriginal rights "short of title" (para. 159).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573</w:t>
      </w:r>
      <w:r>
        <w:rPr>
          <w:rFonts w:ascii="arial" w:eastAsia="arial" w:hAnsi="arial" w:cs="arial"/>
          <w:color w:val="000000"/>
          <w:sz w:val="20"/>
          <w:lang w:val="en-US" w:eastAsia="en-US" w:bidi="ar-SA"/>
        </w:rPr>
        <w:t>  At para. 58, McLachlin C.J.C. emphasized the need to satisfy the common law requirement of title, saying: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follows from the requirement of exclusive occupation that exploiting the land, rivers or seaside for hunting, fishing or other resources may translate into aboriginal title to the land if the activity was sufficiently regular and exclusive to comport with title at common law. However, more typically, seasonal hunting and fishing rights exercised in a particular area will translate to a hunting or fishing right. This is plain from this Court's decisions in </w:t>
      </w:r>
      <w:r>
        <w:rPr>
          <w:rFonts w:ascii="arial" w:eastAsia="arial" w:hAnsi="arial" w:cs="arial"/>
          <w:i/>
          <w:color w:val="000000"/>
          <w:sz w:val="20"/>
          <w:lang w:val="en-US" w:eastAsia="en-US" w:bidi="ar-SA"/>
        </w:rPr>
        <w:t xml:space="preserve">Van der Peet, Nikal, </w:t>
      </w:r>
      <w:hyperlink r:id="rId690" w:history="1">
        <w:r>
          <w:rPr>
            <w:rFonts w:ascii="arial" w:eastAsia="arial" w:hAnsi="arial" w:cs="arial"/>
            <w:i/>
            <w:color w:val="0077CC"/>
            <w:sz w:val="20"/>
            <w:u w:val="single"/>
            <w:shd w:val="clear" w:color="auto" w:fill="FFFFFF"/>
            <w:lang w:val="en-US" w:eastAsia="en-US" w:bidi="ar-SA"/>
          </w:rPr>
          <w:t>[1996] 1 S.C.R. 1013</w:t>
        </w:r>
      </w:hyperlink>
      <w:r>
        <w:rPr>
          <w:rFonts w:ascii="arial" w:eastAsia="arial" w:hAnsi="arial" w:cs="arial"/>
          <w:i/>
          <w:color w:val="000000"/>
          <w:sz w:val="20"/>
          <w:lang w:val="en-US" w:eastAsia="en-US" w:bidi="ar-SA"/>
        </w:rPr>
        <w:t>, Adams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Côté</w:t>
      </w:r>
      <w:r>
        <w:rPr>
          <w:rFonts w:ascii="arial" w:eastAsia="arial" w:hAnsi="arial" w:cs="arial"/>
          <w:color w:val="000000"/>
          <w:sz w:val="20"/>
          <w:lang w:val="en-US" w:eastAsia="en-US" w:bidi="ar-SA"/>
        </w:rPr>
        <w:t>. In those cases, aboriginal peoples asserted and proved ancestral utilization of particular sites for fishing and harvesting the products of the sea. Their forebears had come back to the same place to fish or harvest each year since time immemorial. However, the season over, they left, and the land could be traversed and used by anyone. These facts gave rise not to aboriginal title, but to aboriginal hunting and fishing rights.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574</w:t>
      </w:r>
      <w:r>
        <w:rPr>
          <w:rFonts w:ascii="arial" w:eastAsia="arial" w:hAnsi="arial" w:cs="arial"/>
          <w:color w:val="000000"/>
          <w:sz w:val="20"/>
          <w:lang w:val="en-US" w:eastAsia="en-US" w:bidi="ar-SA"/>
        </w:rPr>
        <w:t>  McLachlin C.J.C. points out at para. 60, when title is at issue, the question 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whether the pre-sovereignty practices established on the evidence correspond to the right of title to land. These practices must be assessed from the aboriginal perspective. But, as discussed above, the right claimed also invokes the common law perspective. The question is whether the practices established by the evidence, viewed from the aboriginal perspective, correspond to the core of the common law right claimed.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575</w:t>
      </w:r>
      <w:r>
        <w:rPr>
          <w:rFonts w:ascii="arial" w:eastAsia="arial" w:hAnsi="arial" w:cs="arial"/>
          <w:color w:val="000000"/>
          <w:sz w:val="20"/>
          <w:lang w:val="en-US" w:eastAsia="en-US" w:bidi="ar-SA"/>
        </w:rPr>
        <w:t>  At para. 61 McLachlin C.J.C. cautions that it is wrong to apply a Eurocentric perspective on an issue of Aboriginal title. She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common law, over the centuries, has formalized title through a complicated matrix of legal edicts and conventions. The search for aboriginal title, by contrast, takes us back to the beginnings of the notion of title. Unaided by formal legal documents and written edicts, we are required to consider whether the practices of aboriginal peoples at the time of sovereignty compare with the core notions of common law title to land. It would be wrong to look for indicia of aboriginal title in deeds or Euro-centric assertions of ownership. Rather, we must look for the equivalent in the aboriginal culture at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576</w:t>
      </w:r>
      <w:r>
        <w:rPr>
          <w:rFonts w:ascii="arial" w:eastAsia="arial" w:hAnsi="arial" w:cs="arial"/>
          <w:color w:val="000000"/>
          <w:sz w:val="20"/>
          <w:lang w:val="en-US" w:eastAsia="en-US" w:bidi="ar-SA"/>
        </w:rPr>
        <w:t>  At para. 62 she continued by saying: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Aboriginal societies were not strangers to the notions of exclusive physical possession equivalent to common law notions of title: </w:t>
      </w:r>
      <w:r>
        <w:rPr>
          <w:rFonts w:ascii="arial" w:eastAsia="arial" w:hAnsi="arial" w:cs="arial"/>
          <w:i/>
          <w:color w:val="000000"/>
          <w:sz w:val="20"/>
          <w:lang w:val="en-US" w:eastAsia="en-US" w:bidi="ar-SA"/>
        </w:rPr>
        <w:t>Delgamuukw</w:t>
      </w:r>
      <w:r>
        <w:rPr>
          <w:rFonts w:ascii="arial" w:eastAsia="arial" w:hAnsi="arial" w:cs="arial"/>
          <w:color w:val="000000"/>
          <w:sz w:val="20"/>
          <w:lang w:val="en-US" w:eastAsia="en-US" w:bidi="ar-SA"/>
        </w:rPr>
        <w:t>, at para. 156. They often exercised such control over their village sites and larger areas of land which they exploited for agriculture, hunting, fishing or gathering. The question is whether the evidence here establishes this sort of possession.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577</w:t>
      </w:r>
      <w:r>
        <w:rPr>
          <w:rFonts w:ascii="arial" w:eastAsia="arial" w:hAnsi="arial" w:cs="arial"/>
          <w:color w:val="000000"/>
          <w:sz w:val="20"/>
          <w:lang w:val="en-US" w:eastAsia="en-US" w:bidi="ar-SA"/>
        </w:rPr>
        <w:t>  At paras. 64-65, she continues: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first of these sub-issues is the concept of exclusion. The right to control the land and, if necessary, to exclude others from using it is basic to the notion of title at common law. In European-based systems, this right is assumed by dint of law. Determining whether it was present in a pre-sovereignty aboriginal society, however, can pose difficulties. Often, no right to exclude arises by convention or law. So one must look to evidence. But evidence may be hard to find. The area may have been sparsely populated, with the result that clashes and the need to exclude strangers seldom if ever occurred. Or the people may have been peaceful and have chosen to exercise their control by sharing rather than exclusion. It is therefore critical to view the question of exclusion from the aboriginal perspective. To insist on evidence of overt acts of exclusion in such circumstances may, depending on the circumstances, be unfair. The problem is compounded by the difficulty of producing evidence of what happened hundreds of years ago where no tradition of written history exists.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follows that evidence of acts of exclusion is not required to establish aboriginal title. All that is required is demonstration of effective control of the land by the group, from which a reasonable inference can be drawn that it could have excluded others had it chosen to do so. The fact that history, insofar as it can be ascertained, discloses no adverse claimants may support this inference. This is what is meant by the requirement of aboriginal title that the lands have been occupied in an exclusive manner.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578</w:t>
      </w:r>
      <w:r>
        <w:rPr>
          <w:rFonts w:ascii="arial" w:eastAsia="arial" w:hAnsi="arial" w:cs="arial"/>
          <w:color w:val="000000"/>
          <w:sz w:val="20"/>
          <w:lang w:val="en-US" w:eastAsia="en-US" w:bidi="ar-SA"/>
        </w:rPr>
        <w:t>  As to whether a nomadic or semi-nomadic people would ever be able to claim Aboriginal title, McLachlin C.J.C. said, at para. 66, that was entirely dependant on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579</w:t>
      </w:r>
      <w:r>
        <w:rPr>
          <w:rFonts w:ascii="arial" w:eastAsia="arial" w:hAnsi="arial" w:cs="arial"/>
          <w:color w:val="000000"/>
          <w:sz w:val="20"/>
          <w:lang w:val="en-US" w:eastAsia="en-US" w:bidi="ar-SA"/>
        </w:rPr>
        <w:t>  At para. 67, she addressed the issue of continuity, saying: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requirement of continuity in its most basic sense simply means that claimants must establish they are right holders. Modern-day claimants must establish a connection with the pre-sovereignty group upon whose practices they rely to assert title or claim to a more restricted aboriginal right. The right is based on pre-sovereignty aboriginal practices. To claim it, a modern people must show that the right is the descendant of those practices. Continuity may also be raised in this sense. To claim title, the group's connection with the land must be shown to have been "of a central significance to their distinctive culture": </w:t>
      </w:r>
      <w:r>
        <w:rPr>
          <w:rFonts w:ascii="arial" w:eastAsia="arial" w:hAnsi="arial" w:cs="arial"/>
          <w:i/>
          <w:color w:val="000000"/>
          <w:sz w:val="20"/>
          <w:lang w:val="en-US" w:eastAsia="en-US" w:bidi="ar-SA"/>
        </w:rPr>
        <w:t>Adams</w:t>
      </w:r>
      <w:r>
        <w:rPr>
          <w:rFonts w:ascii="arial" w:eastAsia="arial" w:hAnsi="arial" w:cs="arial"/>
          <w:color w:val="000000"/>
          <w:sz w:val="20"/>
          <w:lang w:val="en-US" w:eastAsia="en-US" w:bidi="ar-SA"/>
        </w:rPr>
        <w:t xml:space="preserve">, at para. 26. If the group has "maintained a substantial connection" with the land since sovereignty, this establishes the required "central significance": </w:t>
      </w:r>
      <w:r>
        <w:rPr>
          <w:rFonts w:ascii="arial" w:eastAsia="arial" w:hAnsi="arial" w:cs="arial"/>
          <w:i/>
          <w:color w:val="000000"/>
          <w:sz w:val="20"/>
          <w:lang w:val="en-US" w:eastAsia="en-US" w:bidi="ar-SA"/>
        </w:rPr>
        <w:t>Delgamuukw, per</w:t>
      </w:r>
      <w:r>
        <w:rPr>
          <w:rFonts w:ascii="arial" w:eastAsia="arial" w:hAnsi="arial" w:cs="arial"/>
          <w:color w:val="000000"/>
          <w:sz w:val="20"/>
          <w:lang w:val="en-US" w:eastAsia="en-US" w:bidi="ar-SA"/>
        </w:rPr>
        <w:t xml:space="preserve"> Lamer C.J., at paras. 150-51.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580</w:t>
      </w:r>
      <w:r>
        <w:rPr>
          <w:rFonts w:ascii="arial" w:eastAsia="arial" w:hAnsi="arial" w:cs="arial"/>
          <w:color w:val="000000"/>
          <w:sz w:val="20"/>
          <w:lang w:val="en-US" w:eastAsia="en-US" w:bidi="ar-SA"/>
        </w:rPr>
        <w:t>  At paras. 68-69 she reminds the trier of fact to take a sensitive and generous approach to the evidence, evaluating it from the Aboriginal perspective. Then, having evaluated the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final step is to translate the facts found and thus interpreted into a modern common law right. The right must be accurately delineated in a way that reflects common law traditions, while respecting the aboriginal perspective.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581</w:t>
      </w:r>
      <w:r>
        <w:rPr>
          <w:rFonts w:ascii="arial" w:eastAsia="arial" w:hAnsi="arial" w:cs="arial"/>
          <w:color w:val="000000"/>
          <w:sz w:val="20"/>
          <w:lang w:val="en-US" w:eastAsia="en-US" w:bidi="ar-SA"/>
        </w:rPr>
        <w:t>  To conclude, she says at para. 70: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summary, exclusive possession in the sense of intention and capacity to control is required to establish aboriginal title. Typically, this is established by showing regular occupancy or use of definite tracts of land for hunting, fishing or exploiting resources: </w:t>
      </w:r>
      <w:r>
        <w:rPr>
          <w:rFonts w:ascii="arial" w:eastAsia="arial" w:hAnsi="arial" w:cs="arial"/>
          <w:i/>
          <w:color w:val="000000"/>
          <w:sz w:val="20"/>
          <w:lang w:val="en-US" w:eastAsia="en-US" w:bidi="ar-SA"/>
        </w:rPr>
        <w:t>Delgamuukw</w:t>
      </w:r>
      <w:r>
        <w:rPr>
          <w:rFonts w:ascii="arial" w:eastAsia="arial" w:hAnsi="arial" w:cs="arial"/>
          <w:color w:val="000000"/>
          <w:sz w:val="20"/>
          <w:lang w:val="en-US" w:eastAsia="en-US" w:bidi="ar-SA"/>
        </w:rPr>
        <w:t xml:space="preserve">, at para. 149. Less intensive uses may give rise to different rights. The requirement of physical occupation must be generously interpreted taking into account both the aboriginal perspective and the perspective of the common law: </w:t>
      </w:r>
      <w:r>
        <w:rPr>
          <w:rFonts w:ascii="arial" w:eastAsia="arial" w:hAnsi="arial" w:cs="arial"/>
          <w:i/>
          <w:color w:val="000000"/>
          <w:sz w:val="20"/>
          <w:lang w:val="en-US" w:eastAsia="en-US" w:bidi="ar-SA"/>
        </w:rPr>
        <w:t>Delgamuukw</w:t>
      </w:r>
      <w:r>
        <w:rPr>
          <w:rFonts w:ascii="arial" w:eastAsia="arial" w:hAnsi="arial" w:cs="arial"/>
          <w:color w:val="000000"/>
          <w:sz w:val="20"/>
          <w:lang w:val="en-US" w:eastAsia="en-US" w:bidi="ar-SA"/>
        </w:rPr>
        <w:t>, at para. 156. These principles apply to nomadic and semi-nomadic aboriginal groups; the right in each case depends on what the evidence establishes. Continuity is required, in the sense of showing the group's descent from the pre-sovereignty group whose practices are relied on for the right. On all these matters, evidence of oral history is admissible, provided it meets the requisite standards of usefulness and reasonable reliability. The ultimate goal is to translate the pre-sovereignty aboriginal right to a modern common law right. This must be approached with sensitivity to the aboriginal perspective as well as fidelity to the common law concepts involved.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582</w:t>
      </w:r>
      <w:r>
        <w:rPr>
          <w:rFonts w:ascii="arial" w:eastAsia="arial" w:hAnsi="arial" w:cs="arial"/>
          <w:color w:val="000000"/>
          <w:sz w:val="20"/>
          <w:lang w:val="en-US" w:eastAsia="en-US" w:bidi="ar-SA"/>
        </w:rPr>
        <w:t xml:space="preserve">  The case at bar turns on an application of the principles enunciated by the Supreme Court of Canada in </w:t>
      </w:r>
      <w:r>
        <w:rPr>
          <w:rFonts w:ascii="arial" w:eastAsia="arial" w:hAnsi="arial" w:cs="arial"/>
          <w:b/>
          <w:i/>
          <w:color w:val="000000"/>
          <w:sz w:val="20"/>
          <w:lang w:val="en-US" w:eastAsia="en-US" w:bidi="ar-SA"/>
        </w:rPr>
        <w:t>Marshall; Bernard</w:t>
      </w:r>
      <w:r>
        <w:rPr>
          <w:rFonts w:ascii="arial" w:eastAsia="arial" w:hAnsi="arial" w:cs="arial"/>
          <w:color w:val="000000"/>
          <w:sz w:val="20"/>
          <w:lang w:val="en-US" w:eastAsia="en-US" w:bidi="ar-SA"/>
        </w:rPr>
        <w:t xml:space="preserve">. While this case clearly raises similar issues with respect to the land use patterns of semi-nomadic people, there are differences. In </w:t>
      </w:r>
      <w:r>
        <w:rPr>
          <w:rFonts w:ascii="arial" w:eastAsia="arial" w:hAnsi="arial" w:cs="arial"/>
          <w:b/>
          <w:i/>
          <w:color w:val="000000"/>
          <w:sz w:val="20"/>
          <w:lang w:val="en-US" w:eastAsia="en-US" w:bidi="ar-SA"/>
        </w:rPr>
        <w:t>Marshall; Bernard</w:t>
      </w:r>
      <w:r>
        <w:rPr>
          <w:rFonts w:ascii="arial" w:eastAsia="arial" w:hAnsi="arial" w:cs="arial"/>
          <w:color w:val="000000"/>
          <w:sz w:val="20"/>
          <w:lang w:val="en-US" w:eastAsia="en-US" w:bidi="ar-SA"/>
        </w:rPr>
        <w:t xml:space="preserve"> the persons accused both attempted to prove Aboriginal title at specific sites. Here the plaintiff's evidence is not limited to site specific use and occupation. The evidence ranges over tracts of land. The plaintiff argues the evidence proves a regular use of these tracts of land as well as use of site specific locations, sufficient to warrant a declaration of Aboriginal title.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583</w:t>
      </w:r>
      <w:r>
        <w:rPr>
          <w:rFonts w:ascii="arial" w:eastAsia="arial" w:hAnsi="arial" w:cs="arial"/>
          <w:color w:val="000000"/>
          <w:sz w:val="20"/>
          <w:lang w:val="en-US" w:eastAsia="en-US" w:bidi="ar-SA"/>
        </w:rPr>
        <w:t xml:space="preserve">  It appears to me that The Supreme Court of Canada has set a high standard, requiring "regular use or occupancy of definite tracts of land". The Supreme Court has now clearly stated that "[t]o say that title flows from occasional entry and use is inconsistent with [...] the approach to aboriginal title which this Court has consistently maintained": </w:t>
      </w:r>
      <w:r>
        <w:rPr>
          <w:rFonts w:ascii="arial" w:eastAsia="arial" w:hAnsi="arial" w:cs="arial"/>
          <w:b/>
          <w:i/>
          <w:color w:val="000000"/>
          <w:sz w:val="20"/>
          <w:lang w:val="en-US" w:eastAsia="en-US" w:bidi="ar-SA"/>
        </w:rPr>
        <w:t>Marshall; Bernard</w:t>
      </w:r>
      <w:r>
        <w:rPr>
          <w:rFonts w:ascii="arial" w:eastAsia="arial" w:hAnsi="arial" w:cs="arial"/>
          <w:color w:val="000000"/>
          <w:sz w:val="20"/>
          <w:lang w:val="en-US" w:eastAsia="en-US" w:bidi="ar-SA"/>
        </w:rPr>
        <w:t>, at para. 59.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584</w:t>
      </w:r>
      <w:r>
        <w:rPr>
          <w:rFonts w:ascii="arial" w:eastAsia="arial" w:hAnsi="arial" w:cs="arial"/>
          <w:color w:val="000000"/>
          <w:sz w:val="20"/>
          <w:lang w:val="en-US" w:eastAsia="en-US" w:bidi="ar-SA"/>
        </w:rPr>
        <w:t>  Bearing in mind the directions I have set out above, I must now consider the evidence in the manner directed by the Supreme Court to see whether this is an appropriate case for a declaration of Aboriginal title.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 DATE OF SOVEREIGNTY ASSERTION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585</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Delgamuukw</w:t>
      </w:r>
      <w:r>
        <w:rPr>
          <w:rFonts w:ascii="arial" w:eastAsia="arial" w:hAnsi="arial" w:cs="arial"/>
          <w:color w:val="000000"/>
          <w:sz w:val="20"/>
          <w:lang w:val="en-US" w:eastAsia="en-US" w:bidi="ar-SA"/>
        </w:rPr>
        <w:t xml:space="preserve"> (B.C.S.C.), McEachern C.J., said at p. 309: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Oregon Boundary Treaty, 1846 has been judicially accepted as establishing, conclusively, British sovereignty over what is now British Columbia: </w:t>
      </w:r>
      <w:r>
        <w:rPr>
          <w:rFonts w:ascii="arial" w:eastAsia="arial" w:hAnsi="arial" w:cs="arial"/>
          <w:i/>
          <w:color w:val="000000"/>
          <w:sz w:val="20"/>
          <w:lang w:val="en-US" w:eastAsia="en-US" w:bidi="ar-SA"/>
        </w:rPr>
        <w:t>Re A.-G. Can. and A.-G. B.C.</w:t>
      </w:r>
      <w:r>
        <w:rPr>
          <w:rFonts w:ascii="arial" w:eastAsia="arial" w:hAnsi="arial" w:cs="arial"/>
          <w:color w:val="000000"/>
          <w:sz w:val="20"/>
          <w:lang w:val="en-US" w:eastAsia="en-US" w:bidi="ar-SA"/>
        </w:rPr>
        <w:t xml:space="preserve"> </w:t>
      </w:r>
      <w:hyperlink r:id="rId691" w:history="1">
        <w:r>
          <w:rPr>
            <w:rFonts w:ascii="arial" w:eastAsia="arial" w:hAnsi="arial" w:cs="arial"/>
            <w:i/>
            <w:color w:val="0077CC"/>
            <w:sz w:val="20"/>
            <w:u w:val="single"/>
            <w:shd w:val="clear" w:color="auto" w:fill="FFFFFF"/>
            <w:lang w:val="en-US" w:eastAsia="en-US" w:bidi="ar-SA"/>
          </w:rPr>
          <w:t>(1984), 8 D.L.R. (4th) 161</w:t>
        </w:r>
      </w:hyperlink>
      <w:r>
        <w:rPr>
          <w:rFonts w:ascii="arial" w:eastAsia="arial" w:hAnsi="arial" w:cs="arial"/>
          <w:color w:val="000000"/>
          <w:sz w:val="20"/>
          <w:lang w:val="en-US" w:eastAsia="en-US" w:bidi="ar-SA"/>
        </w:rPr>
        <w:t xml:space="preserve"> at pp. 173-6, </w:t>
      </w:r>
      <w:hyperlink r:id="rId691" w:history="1">
        <w:r>
          <w:rPr>
            <w:rFonts w:ascii="arial" w:eastAsia="arial" w:hAnsi="arial" w:cs="arial"/>
            <w:i/>
            <w:color w:val="0077CC"/>
            <w:sz w:val="20"/>
            <w:u w:val="single"/>
            <w:shd w:val="clear" w:color="auto" w:fill="FFFFFF"/>
            <w:lang w:val="en-US" w:eastAsia="en-US" w:bidi="ar-SA"/>
          </w:rPr>
          <w:t>[1984] 1 S.C.R. 388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sub nom. Reference re Ownership of the Bed of the Strait of Georgia</w:t>
      </w:r>
      <w:r>
        <w:rPr>
          <w:rFonts w:ascii="arial" w:eastAsia="arial" w:hAnsi="arial" w:cs="arial"/>
          <w:color w:val="000000"/>
          <w:sz w:val="20"/>
          <w:lang w:val="en-US" w:eastAsia="en-US" w:bidi="ar-SA"/>
        </w:rPr>
        <w:t>, 54 B.C.L.R. 97. Occupation of sorts started in New Caledonia, as has been mentioned, in 1805-06 with the establishment of posts by Simon Fraser.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 continuing at p. 310,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Because of the view I have of this case, I do not think it is necessary to make a specific finding about a date of British sovereignty over the northern part of the province. No specific argument was made by counsel on this question. For practical purposes, especially in the territory it could well have been as early as the 1820's but legally it may not have been until the creation of the colony in 1858. 1846 was the date chosen by Judson J. in </w:t>
      </w:r>
      <w:r>
        <w:rPr>
          <w:rFonts w:ascii="arial" w:eastAsia="arial" w:hAnsi="arial" w:cs="arial"/>
          <w:i/>
          <w:color w:val="000000"/>
          <w:sz w:val="20"/>
          <w:lang w:val="en-US" w:eastAsia="en-US" w:bidi="ar-SA"/>
        </w:rPr>
        <w:t>Calder</w:t>
      </w:r>
      <w:r>
        <w:rPr>
          <w:rFonts w:ascii="arial" w:eastAsia="arial" w:hAnsi="arial" w:cs="arial"/>
          <w:color w:val="000000"/>
          <w:sz w:val="20"/>
          <w:lang w:val="en-US" w:eastAsia="en-US" w:bidi="ar-SA"/>
        </w:rPr>
        <w:t>. In my view the actual date of British sovereignty, whether it be the earliest date of 1803 or the latest date of 1858, or somewhere in between makes no difference.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586</w:t>
      </w:r>
      <w:r>
        <w:rPr>
          <w:rFonts w:ascii="arial" w:eastAsia="arial" w:hAnsi="arial" w:cs="arial"/>
          <w:color w:val="000000"/>
          <w:sz w:val="20"/>
          <w:lang w:val="en-US" w:eastAsia="en-US" w:bidi="ar-SA"/>
        </w:rPr>
        <w:t xml:space="preserve">  On appeal in the Court of Appeal in </w:t>
      </w:r>
      <w:r>
        <w:rPr>
          <w:rFonts w:ascii="arial" w:eastAsia="arial" w:hAnsi="arial" w:cs="arial"/>
          <w:b/>
          <w:i/>
          <w:color w:val="000000"/>
          <w:sz w:val="20"/>
          <w:lang w:val="en-US" w:eastAsia="en-US" w:bidi="ar-SA"/>
        </w:rPr>
        <w:t>Delgamuukw</w:t>
      </w:r>
      <w:r>
        <w:rPr>
          <w:rFonts w:ascii="arial" w:eastAsia="arial" w:hAnsi="arial" w:cs="arial"/>
          <w:color w:val="000000"/>
          <w:sz w:val="20"/>
          <w:lang w:val="en-US" w:eastAsia="en-US" w:bidi="ar-SA"/>
        </w:rPr>
        <w:t xml:space="preserve"> and again in the Supreme Court of Canada, all counsel appear to have agreed to treat 1846 as the date of British sovereignty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587</w:t>
      </w:r>
      <w:r>
        <w:rPr>
          <w:rFonts w:ascii="arial" w:eastAsia="arial" w:hAnsi="arial" w:cs="arial"/>
          <w:color w:val="000000"/>
          <w:sz w:val="20"/>
          <w:lang w:val="en-US" w:eastAsia="en-US" w:bidi="ar-SA"/>
        </w:rPr>
        <w:t xml:space="preserve">  In these proceedings, both the plaintiff and British Columbia are content to accept the date of sovereignty assertion as 1846, the date of the Oregon Treaty. The Oregon Boundary Treaty, 1846 is also referred to as the Washington Treaty. As noted by McEachern C.J. in </w:t>
      </w:r>
      <w:r>
        <w:rPr>
          <w:rFonts w:ascii="arial" w:eastAsia="arial" w:hAnsi="arial" w:cs="arial"/>
          <w:b/>
          <w:i/>
          <w:color w:val="000000"/>
          <w:sz w:val="20"/>
          <w:lang w:val="en-US" w:eastAsia="en-US" w:bidi="ar-SA"/>
        </w:rPr>
        <w:t>Delgamuukw</w:t>
      </w:r>
      <w:r>
        <w:rPr>
          <w:rFonts w:ascii="arial" w:eastAsia="arial" w:hAnsi="arial" w:cs="arial"/>
          <w:color w:val="000000"/>
          <w:sz w:val="20"/>
          <w:lang w:val="en-US" w:eastAsia="en-US" w:bidi="ar-SA"/>
        </w:rPr>
        <w:t xml:space="preserve"> (B.C.S.C.) at p. 309: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Oregon Treaty divided the United States and British territory west of the Rockies at the 49th parallel, but the treaty left Vancouver's Island in British hands (although the actual boundary through the inland sea was not settled until 1898).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588</w:t>
      </w:r>
      <w:r>
        <w:rPr>
          <w:rFonts w:ascii="arial" w:eastAsia="arial" w:hAnsi="arial" w:cs="arial"/>
          <w:color w:val="000000"/>
          <w:sz w:val="20"/>
          <w:lang w:val="en-US" w:eastAsia="en-US" w:bidi="ar-SA"/>
        </w:rPr>
        <w:t>  Canada argues that the most compelling date for the assertion of British sovereignty is 1792; the date Captain George Vancouver made a formal assertion on behalf of King George III.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589</w:t>
      </w:r>
      <w:r>
        <w:rPr>
          <w:rFonts w:ascii="arial" w:eastAsia="arial" w:hAnsi="arial" w:cs="arial"/>
          <w:color w:val="000000"/>
          <w:sz w:val="20"/>
          <w:lang w:val="en-US" w:eastAsia="en-US" w:bidi="ar-SA"/>
        </w:rPr>
        <w:t xml:space="preserve">  The plaintiff and Canada point out that in </w:t>
      </w:r>
      <w:r>
        <w:rPr>
          <w:rFonts w:ascii="arial" w:eastAsia="arial" w:hAnsi="arial" w:cs="arial"/>
          <w:b/>
          <w:i/>
          <w:color w:val="000000"/>
          <w:sz w:val="20"/>
          <w:lang w:val="en-US" w:eastAsia="en-US" w:bidi="ar-SA"/>
        </w:rPr>
        <w:t>Delgamuukw</w:t>
      </w:r>
      <w:r>
        <w:rPr>
          <w:rFonts w:ascii="arial" w:eastAsia="arial" w:hAnsi="arial" w:cs="arial"/>
          <w:color w:val="000000"/>
          <w:sz w:val="20"/>
          <w:lang w:val="en-US" w:eastAsia="en-US" w:bidi="ar-SA"/>
        </w:rPr>
        <w:t xml:space="preserve"> (S.C.C.), Lamer C.J.C., in three separate places, referred to the "assertion of sovereignty", to "sovereignty" and to the "conclusive establishment of sovereignty". The plaintiff says that Lamer C.J.C. drew no distinction between these three terms and treated them as the same event. Canada disagrees. Canada says that this court must distinguish between the date that sovereignty was "conclusively established" (Canada suggests this date is 1846) and the date that sovereignty was "asserted".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590</w:t>
      </w:r>
      <w:r>
        <w:rPr>
          <w:rFonts w:ascii="arial" w:eastAsia="arial" w:hAnsi="arial" w:cs="arial"/>
          <w:color w:val="000000"/>
          <w:sz w:val="20"/>
          <w:lang w:val="en-US" w:eastAsia="en-US" w:bidi="ar-SA"/>
        </w:rPr>
        <w:t>  Canada suggests the following possible dates of sovereignty assertion:</w:t>
      </w:r>
      <w:r>
        <w:rPr>
          <w:rFonts w:ascii="arial" w:eastAsia="arial" w:hAnsi="arial" w:cs="arial"/>
          <w:sz w:val="20"/>
          <w:lang w:val="en-US" w:eastAsia="en-US" w:bidi="ar-SA"/>
        </w:rPr>
        <w:cr/>
      </w:r>
    </w:p>
    <w:p>
      <w:pPr>
        <w:numPr>
          <w:numId w:val="211"/>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1579</w:t>
      </w:r>
      <w:r>
        <w:rPr>
          <w:rFonts w:ascii="arial" w:eastAsia="arial" w:hAnsi="arial" w:cs="arial"/>
          <w:color w:val="000000"/>
          <w:sz w:val="20"/>
          <w:lang w:val="en-US" w:eastAsia="en-US" w:bidi="ar-SA"/>
        </w:rPr>
        <w:t>: The date of Sir Francis Drake's voyage along the Pacific coast and his alleged claim to New Albion (Drake's name for the coast of Northwest America).</w:t>
      </w:r>
    </w:p>
    <w:p>
      <w:pPr>
        <w:numPr>
          <w:numId w:val="212"/>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1606</w:t>
      </w:r>
      <w:r>
        <w:rPr>
          <w:rFonts w:ascii="arial" w:eastAsia="arial" w:hAnsi="arial" w:cs="arial"/>
          <w:color w:val="000000"/>
          <w:sz w:val="20"/>
          <w:lang w:val="en-US" w:eastAsia="en-US" w:bidi="ar-SA"/>
        </w:rPr>
        <w:t xml:space="preserve">: The Charter of Virginia, as noted by Norris J.A. in </w:t>
      </w:r>
      <w:r>
        <w:rPr>
          <w:rFonts w:ascii="arial" w:eastAsia="arial" w:hAnsi="arial" w:cs="arial"/>
          <w:b/>
          <w:i/>
          <w:color w:val="000000"/>
          <w:sz w:val="20"/>
          <w:lang w:val="en-US" w:eastAsia="en-US" w:bidi="ar-SA"/>
        </w:rPr>
        <w:t>R. v. White and Bob</w:t>
      </w:r>
      <w:r>
        <w:rPr>
          <w:rFonts w:ascii="arial" w:eastAsia="arial" w:hAnsi="arial" w:cs="arial"/>
          <w:color w:val="000000"/>
          <w:sz w:val="20"/>
          <w:lang w:val="en-US" w:eastAsia="en-US" w:bidi="ar-SA"/>
        </w:rPr>
        <w:t xml:space="preserve">, see para. 220,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w:t>
      </w:r>
    </w:p>
    <w:p>
      <w:pPr>
        <w:numPr>
          <w:numId w:val="213"/>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1763</w:t>
      </w:r>
      <w:r>
        <w:rPr>
          <w:rFonts w:ascii="arial" w:eastAsia="arial" w:hAnsi="arial" w:cs="arial"/>
          <w:color w:val="000000"/>
          <w:sz w:val="20"/>
          <w:lang w:val="en-US" w:eastAsia="en-US" w:bidi="ar-SA"/>
        </w:rPr>
        <w:t>: The signing of the Treaty of Paris, whereby France ceded to the British Crown almost all of its North American possessions east of the Mississippi River, including its claims to what is now the Canadian Province of Quebec.</w:t>
      </w:r>
    </w:p>
    <w:p>
      <w:pPr>
        <w:numPr>
          <w:numId w:val="214"/>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1778</w:t>
      </w:r>
      <w:r>
        <w:rPr>
          <w:rFonts w:ascii="arial" w:eastAsia="arial" w:hAnsi="arial" w:cs="arial"/>
          <w:color w:val="000000"/>
          <w:sz w:val="20"/>
          <w:lang w:val="en-US" w:eastAsia="en-US" w:bidi="ar-SA"/>
        </w:rPr>
        <w:t>: The arrival of Captain James Cook at Nootka Sound on Vancouver Island.</w:t>
      </w:r>
    </w:p>
    <w:p>
      <w:pPr>
        <w:numPr>
          <w:numId w:val="215"/>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1786</w:t>
      </w:r>
      <w:r>
        <w:rPr>
          <w:rFonts w:ascii="arial" w:eastAsia="arial" w:hAnsi="arial" w:cs="arial"/>
          <w:color w:val="000000"/>
          <w:sz w:val="20"/>
          <w:lang w:val="en-US" w:eastAsia="en-US" w:bidi="ar-SA"/>
        </w:rPr>
        <w:t>: James Strange made a formal claim on behalf of King George III to what is now British Columbia on August 2, 1786. He made this claim in the vicinity of the Scott Islands near the northern tip of Vancouver Island.</w:t>
      </w:r>
    </w:p>
    <w:p>
      <w:pPr>
        <w:numPr>
          <w:numId w:val="216"/>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1788</w:t>
      </w:r>
      <w:r>
        <w:rPr>
          <w:rFonts w:ascii="arial" w:eastAsia="arial" w:hAnsi="arial" w:cs="arial"/>
          <w:color w:val="000000"/>
          <w:sz w:val="20"/>
          <w:lang w:val="en-US" w:eastAsia="en-US" w:bidi="ar-SA"/>
        </w:rPr>
        <w:t xml:space="preserve">: Captain Meares' annexation of "the Straits of John de Fuca ... in the name of the King of Britain" as noted by Dickson C.J.C. in </w:t>
      </w:r>
      <w:r>
        <w:rPr>
          <w:rFonts w:ascii="arial" w:eastAsia="arial" w:hAnsi="arial" w:cs="arial"/>
          <w:b/>
          <w:i/>
          <w:color w:val="000000"/>
          <w:sz w:val="20"/>
          <w:lang w:val="en-US" w:eastAsia="en-US" w:bidi="ar-SA"/>
        </w:rPr>
        <w:t>Attorney General of Canada v. Attorney General of British Columbia</w:t>
      </w:r>
      <w:r>
        <w:rPr>
          <w:rFonts w:ascii="arial" w:eastAsia="arial" w:hAnsi="arial" w:cs="arial"/>
          <w:color w:val="000000"/>
          <w:sz w:val="20"/>
          <w:lang w:val="en-US" w:eastAsia="en-US" w:bidi="ar-SA"/>
        </w:rPr>
        <w:t xml:space="preserve"> </w:t>
      </w:r>
      <w:hyperlink r:id="rId691" w:history="1">
        <w:r>
          <w:rPr>
            <w:rFonts w:ascii="arial" w:eastAsia="arial" w:hAnsi="arial" w:cs="arial"/>
            <w:i/>
            <w:color w:val="0077CC"/>
            <w:sz w:val="20"/>
            <w:u w:val="single"/>
            <w:shd w:val="clear" w:color="auto" w:fill="FFFFFF"/>
            <w:lang w:val="en-US" w:eastAsia="en-US" w:bidi="ar-SA"/>
          </w:rPr>
          <w:t>[1984] 1 S.C.R. 388</w:t>
        </w:r>
      </w:hyperlink>
      <w:r>
        <w:rPr>
          <w:rFonts w:ascii="arial" w:eastAsia="arial" w:hAnsi="arial" w:cs="arial"/>
          <w:i/>
          <w:color w:val="000000"/>
          <w:sz w:val="20"/>
          <w:lang w:val="en-US" w:eastAsia="en-US" w:bidi="ar-SA"/>
        </w:rPr>
        <w:t>sub nom</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Re: Ownership of the Bed of the Strait of Georgia</w:t>
      </w:r>
      <w:r>
        <w:rPr>
          <w:rFonts w:ascii="arial" w:eastAsia="arial" w:hAnsi="arial" w:cs="arial"/>
          <w:color w:val="000000"/>
          <w:sz w:val="20"/>
          <w:lang w:val="en-US" w:eastAsia="en-US" w:bidi="ar-SA"/>
        </w:rPr>
        <w:t>, at pp. 402-403.</w:t>
      </w:r>
    </w:p>
    <w:p>
      <w:pPr>
        <w:numPr>
          <w:numId w:val="217"/>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1792</w:t>
      </w:r>
      <w:r>
        <w:rPr>
          <w:rFonts w:ascii="arial" w:eastAsia="arial" w:hAnsi="arial" w:cs="arial"/>
          <w:color w:val="000000"/>
          <w:sz w:val="20"/>
          <w:lang w:val="en-US" w:eastAsia="en-US" w:bidi="ar-SA"/>
        </w:rPr>
        <w:t>: Captain George Vancouver's assertion of sovereignty on behalf of the Crown. In advancing this date, Canada relies upon the evidence of Dr. Kenneth Coates, historian and Dr. Kenneth Brealey, cartologist and historical geographer. It should be noted that this was evidence of sovereignty assertion and was not an attempt by these witnesses to express an opinion on the legal effect of this explorer's actions.</w:t>
      </w:r>
    </w:p>
    <w:p>
      <w:pPr>
        <w:numPr>
          <w:numId w:val="218"/>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1803</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An Act for Extending the Jurisdiction of the Courts,</w:t>
      </w:r>
      <w:r>
        <w:rPr>
          <w:rFonts w:ascii="arial" w:eastAsia="arial" w:hAnsi="arial" w:cs="arial"/>
          <w:i/>
          <w:color w:val="000000"/>
          <w:sz w:val="20"/>
          <w:lang w:val="en-US" w:eastAsia="en-US" w:bidi="ar-SA"/>
        </w:rPr>
        <w:t xml:space="preserve"> 1803</w:t>
      </w:r>
      <w:r>
        <w:rPr>
          <w:rFonts w:ascii="arial" w:eastAsia="arial" w:hAnsi="arial" w:cs="arial"/>
          <w:color w:val="000000"/>
          <w:sz w:val="20"/>
          <w:lang w:val="en-US" w:eastAsia="en-US" w:bidi="ar-SA"/>
        </w:rPr>
        <w:t xml:space="preserve"> (U.K.), 43 George III, c. 138 </w:t>
      </w:r>
      <w:r>
        <w:rPr>
          <w:rFonts w:ascii="arial" w:eastAsia="arial" w:hAnsi="arial" w:cs="arial"/>
          <w:i/>
          <w:color w:val="000000"/>
          <w:sz w:val="20"/>
          <w:lang w:val="en-US" w:eastAsia="en-US" w:bidi="ar-SA"/>
        </w:rPr>
        <w:t>(</w:t>
      </w:r>
      <w:r>
        <w:rPr>
          <w:rFonts w:ascii="arial" w:eastAsia="arial" w:hAnsi="arial" w:cs="arial"/>
          <w:b/>
          <w:i/>
          <w:color w:val="000000"/>
          <w:sz w:val="20"/>
          <w:lang w:val="en-US" w:eastAsia="en-US" w:bidi="ar-SA"/>
        </w:rPr>
        <w:t>Canada Jurisdiction Act</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 xml:space="preserve">. This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provided the courts of Upper and Lower Canada with extraterritorial jurisdiction. Relying on the evidence of Professor Hamar Foster, legal historian, Canada says that this statute extended jurisdiction to the "Indian territories" and in particular, to what is now British Columbia.</w:t>
      </w:r>
    </w:p>
    <w:p>
      <w:pPr>
        <w:numPr>
          <w:numId w:val="219"/>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1818</w:t>
      </w:r>
      <w:r>
        <w:rPr>
          <w:rFonts w:ascii="arial" w:eastAsia="arial" w:hAnsi="arial" w:cs="arial"/>
          <w:color w:val="000000"/>
          <w:sz w:val="20"/>
          <w:lang w:val="en-US" w:eastAsia="en-US" w:bidi="ar-SA"/>
        </w:rPr>
        <w:t>: The date of an Anglo-American Treaty establishing the 49th parallel as the international border from Lake of the Woods to the Rocky Mountains (or the "Stony Mountains" as they were then known). This treaty included a "standstill" agreement that was to last for ten years (which was extended indefinitely in 1827) with respect to any country that might be claimed by Britain or the United States on the northwest coast of America, west of the Rockies. It was agreed that the citizens of each country would have free access to such country without prejudice to the claims of the other. At trial, Dr. Coates accepted the assertion of counsel made during cross-examination that "while United States and Britain could not agree on who owned the area, that in 1818 they did agree that one or the other of their two countries had sovereignty over the area".</w:t>
      </w:r>
    </w:p>
    <w:p>
      <w:pPr>
        <w:numPr>
          <w:numId w:val="220"/>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1821</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An Act for Regulating the Fur Trade, and Establishing a Criminal and Civil Jurisdiction within certain Parts of North America, 1821</w:t>
      </w:r>
      <w:r>
        <w:rPr>
          <w:rFonts w:ascii="arial" w:eastAsia="arial" w:hAnsi="arial" w:cs="arial"/>
          <w:color w:val="000000"/>
          <w:sz w:val="20"/>
          <w:lang w:val="en-US" w:eastAsia="en-US" w:bidi="ar-SA"/>
        </w:rPr>
        <w:t xml:space="preserve"> (U.K.), 1 and 2 Geo. IV, c. 66. This statute formalized the union between the Hudson's Bay Company and the North West Company. One of its provisions specifically granted rights to trade with the Indians in "any Country on the North West Coast of </w:t>
      </w:r>
      <w:r>
        <w:rPr>
          <w:rFonts w:ascii="arial" w:eastAsia="arial" w:hAnsi="arial" w:cs="arial"/>
          <w:i/>
          <w:color w:val="000000"/>
          <w:sz w:val="20"/>
          <w:lang w:val="en-US" w:eastAsia="en-US" w:bidi="ar-SA"/>
        </w:rPr>
        <w:t>America</w:t>
      </w:r>
      <w:r>
        <w:rPr>
          <w:rFonts w:ascii="arial" w:eastAsia="arial" w:hAnsi="arial" w:cs="arial"/>
          <w:color w:val="000000"/>
          <w:sz w:val="20"/>
          <w:lang w:val="en-US" w:eastAsia="en-US" w:bidi="ar-SA"/>
        </w:rPr>
        <w:t xml:space="preserve">, to the Westward of the </w:t>
      </w:r>
      <w:r>
        <w:rPr>
          <w:rFonts w:ascii="arial" w:eastAsia="arial" w:hAnsi="arial" w:cs="arial"/>
          <w:i/>
          <w:color w:val="000000"/>
          <w:sz w:val="20"/>
          <w:lang w:val="en-US" w:eastAsia="en-US" w:bidi="ar-SA"/>
        </w:rPr>
        <w:t>Stony Mountains</w:t>
      </w:r>
      <w:r>
        <w:rPr>
          <w:rFonts w:ascii="arial" w:eastAsia="arial" w:hAnsi="arial" w:cs="arial"/>
          <w:color w:val="000000"/>
          <w:sz w:val="20"/>
          <w:lang w:val="en-US" w:eastAsia="en-US" w:bidi="ar-SA"/>
        </w:rPr>
        <w:t xml:space="preserve">" (at p. 423, para. III). The result was that trading rights were granted to the Hudson's Bay Company to the exclusion of all other British subjects. It also explicitly allowed citizens of the United States to engage in such trade pursuant to the terms of the 1818 Anglo-American convention. Canada says that this legislation would appear to be the first British legislation which contained language making it specifically applicable to what is now British Columbia, although earlier legislation such as </w:t>
      </w:r>
      <w:r>
        <w:rPr>
          <w:rFonts w:ascii="arial" w:eastAsia="arial" w:hAnsi="arial" w:cs="arial"/>
          <w:b/>
          <w:i/>
          <w:color w:val="000000"/>
          <w:sz w:val="20"/>
          <w:lang w:val="en-US" w:eastAsia="en-US" w:bidi="ar-SA"/>
        </w:rPr>
        <w:t>Canada Jurisdiction Act</w:t>
      </w:r>
      <w:r>
        <w:rPr>
          <w:rFonts w:ascii="arial" w:eastAsia="arial" w:hAnsi="arial" w:cs="arial"/>
          <w:color w:val="000000"/>
          <w:sz w:val="20"/>
          <w:lang w:val="en-US" w:eastAsia="en-US" w:bidi="ar-SA"/>
        </w:rPr>
        <w:t xml:space="preserve"> had actual effect in this area.</w:t>
      </w:r>
    </w:p>
    <w:p>
      <w:pPr>
        <w:numPr>
          <w:numId w:val="221"/>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1829</w:t>
      </w:r>
      <w:r>
        <w:rPr>
          <w:rFonts w:ascii="arial" w:eastAsia="arial" w:hAnsi="arial" w:cs="arial"/>
          <w:color w:val="000000"/>
          <w:sz w:val="20"/>
          <w:lang w:val="en-US" w:eastAsia="en-US" w:bidi="ar-SA"/>
        </w:rPr>
        <w:t>: The date that the Hudson's Bay Company established Fort Chilcotin.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591</w:t>
      </w:r>
      <w:r>
        <w:rPr>
          <w:rFonts w:ascii="arial" w:eastAsia="arial" w:hAnsi="arial" w:cs="arial"/>
          <w:color w:val="000000"/>
          <w:sz w:val="20"/>
          <w:lang w:val="en-US" w:eastAsia="en-US" w:bidi="ar-SA"/>
        </w:rPr>
        <w:t>  The assertion of sovereignty is a matter of international law. In his article, "Some Thoughts on Aboriginal Title" (1999) 48 U.N.B.L.J. 19 at p. 38, Professor Slattery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Privy Council and the Supreme Court have authoritatively held that there is a basic distinction between sovereignty and property rights. Sovereign title to a territory does not necessarily import full property rights to the lands located in that territory, any more than property rights to such lands necessarily import sovereign title. Sovereignty is, of course, a question of international law. It entails the right to rule a certain territory to the exclusion of other international entities. By contrast, property rights are primarily a matter of domestic law. They entail the right to occupy and use a certain tract of land to the exclusion of other individuals and groups.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592</w:t>
      </w:r>
      <w:r>
        <w:rPr>
          <w:rFonts w:ascii="arial" w:eastAsia="arial" w:hAnsi="arial" w:cs="arial"/>
          <w:color w:val="000000"/>
          <w:sz w:val="20"/>
          <w:lang w:val="en-US" w:eastAsia="en-US" w:bidi="ar-SA"/>
        </w:rPr>
        <w:t>  Recognizing the distinction between sovereignty and property rights serves to assist in an understanding of the status and interests of Aboriginal nations. Aboriginal nations were not recognized as nation states by the European nations colonizing North America. The European explorers encountered groups of First Nations that were tied together by language, customs, traditions, a shared historical experience and organized in distinct cultures. Each collective of Aboriginal people formed a nation that exercised various Aboriginal rights in their territory. These Aboriginal rights are now provided constitutional protection so that the modern descendants of Aboriginal nations may continue to enjoy the rights held by their ancestors.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The Acquisition of Territory in International Law</w:t>
      </w:r>
      <w:r>
        <w:rPr>
          <w:rFonts w:ascii="arial" w:eastAsia="arial" w:hAnsi="arial" w:cs="arial"/>
          <w:color w:val="000000"/>
          <w:sz w:val="20"/>
          <w:lang w:val="en-US" w:eastAsia="en-US" w:bidi="ar-SA"/>
        </w:rPr>
        <w:t xml:space="preserve"> (Manchester: Manchester University Press, 1963), Professor R.Y. Jennings states at p. 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When we come to look more closely at the various modes which international law recognizes as creating a title to territorial sovereignty we shall find that all have one common feature: the importance, both in the creation of title and of its maintenance, of actual effective control. Every mode, like the Roman Law counterparts, requires the presence of </w:t>
      </w:r>
      <w:r>
        <w:rPr>
          <w:rFonts w:ascii="arial" w:eastAsia="arial" w:hAnsi="arial" w:cs="arial"/>
          <w:i/>
          <w:color w:val="000000"/>
          <w:sz w:val="20"/>
          <w:lang w:val="en-US" w:eastAsia="en-US" w:bidi="ar-SA"/>
        </w:rPr>
        <w:t>corpus</w:t>
      </w:r>
      <w:r>
        <w:rPr>
          <w:rFonts w:ascii="arial" w:eastAsia="arial" w:hAnsi="arial" w:cs="arial"/>
          <w:color w:val="000000"/>
          <w:sz w:val="20"/>
          <w:lang w:val="en-US" w:eastAsia="en-US" w:bidi="ar-SA"/>
        </w:rPr>
        <w:t xml:space="preserve"> as well as </w:t>
      </w:r>
      <w:r>
        <w:rPr>
          <w:rFonts w:ascii="arial" w:eastAsia="arial" w:hAnsi="arial" w:cs="arial"/>
          <w:i/>
          <w:color w:val="000000"/>
          <w:sz w:val="20"/>
          <w:lang w:val="en-US" w:eastAsia="en-US" w:bidi="ar-SA"/>
        </w:rPr>
        <w:t>animus</w:t>
      </w:r>
      <w:r>
        <w:rPr>
          <w:rFonts w:ascii="arial" w:eastAsia="arial" w:hAnsi="arial" w:cs="arial"/>
          <w:color w:val="000000"/>
          <w:sz w:val="20"/>
          <w:lang w:val="en-US" w:eastAsia="en-US" w:bidi="ar-SA"/>
        </w:rPr>
        <w:t>. Not since the 16th century, for example, has it been possible to argue that a mere discovery, coupled with an intention eventually to occupy, is sufficient to create a title.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Territorial Acquisition, Disputes and International Law</w:t>
      </w:r>
      <w:r>
        <w:rPr>
          <w:rFonts w:ascii="arial" w:eastAsia="arial" w:hAnsi="arial" w:cs="arial"/>
          <w:color w:val="000000"/>
          <w:sz w:val="20"/>
          <w:lang w:val="en-US" w:eastAsia="en-US" w:bidi="ar-SA"/>
        </w:rPr>
        <w:t xml:space="preserve"> (The Hague: Martinus Nijhoff Publishers, 1997), Surya P. Sharma says at p. 100 that the exercise or display of sovereignty sufficient to confirm sovereignty must be peaceful, actual, sufficient and continuous. In discussing the "actual" requirement, he states at p. 101: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rule that the exercise or display of sovereignty must be actual means, at the one extreme, that it must not be just a mere paper claim pretended to be an act of sovereignty and, at the other extreme, it must not require that there must be its "noticeable impact in every nook and cranny of the territory". As Judge Huber remarked, sovereignty cannot be exercised in fact at every moment on every point of territory.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light of the above cases it can be maintained that the rule of actual exercise or display of sovereignty means "real acts of sovereignty; that is, acts which are either a genuine exercise of domestic jurisdiction in regard to the territory or amount to a genuine international dealing with the territory, e.g., in a treaty". Since the sovereignty cannot and need not be exercised in fact on every point of a territory, it would suffice, for legal purposes, if the sovereignty is exercised or displayed in respect of the territory as a whole.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[Footnotes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595</w:t>
      </w:r>
      <w:r>
        <w:rPr>
          <w:rFonts w:ascii="arial" w:eastAsia="arial" w:hAnsi="arial" w:cs="arial"/>
          <w:color w:val="000000"/>
          <w:sz w:val="20"/>
          <w:lang w:val="en-US" w:eastAsia="en-US" w:bidi="ar-SA"/>
        </w:rPr>
        <w:t>  Canada argues that the formal and explicit assertion of sovereignty by Captain George Vancouver is the compelling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596</w:t>
      </w:r>
      <w:r>
        <w:rPr>
          <w:rFonts w:ascii="arial" w:eastAsia="arial" w:hAnsi="arial" w:cs="arial"/>
          <w:color w:val="000000"/>
          <w:sz w:val="20"/>
          <w:lang w:val="en-US" w:eastAsia="en-US" w:bidi="ar-SA"/>
        </w:rPr>
        <w:t xml:space="preserve">  I am not persuaded that private adventurers or commissioned officers of His Majesty's Royal Navy, even with their best intentions, can to the degree required by international law, assert sovereignty over vast territories by planting a flag and speaking to the utter silence of the mountains and boreal forests. They are, in my view, just words blowing in the wind. I agree entirely with Lambert J. A. when he said in </w:t>
      </w:r>
      <w:r>
        <w:rPr>
          <w:rFonts w:ascii="arial" w:eastAsia="arial" w:hAnsi="arial" w:cs="arial"/>
          <w:b/>
          <w:i/>
          <w:color w:val="000000"/>
          <w:sz w:val="20"/>
          <w:lang w:val="en-US" w:eastAsia="en-US" w:bidi="ar-SA"/>
        </w:rPr>
        <w:t>Delgamuukw</w:t>
      </w:r>
      <w:r>
        <w:rPr>
          <w:rFonts w:ascii="arial" w:eastAsia="arial" w:hAnsi="arial" w:cs="arial"/>
          <w:color w:val="000000"/>
          <w:sz w:val="20"/>
          <w:lang w:val="en-US" w:eastAsia="en-US" w:bidi="ar-SA"/>
        </w:rPr>
        <w:t xml:space="preserve"> (B.C.C.A.) at para. 707: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Sovereignty, of course, does not occur when the first sea captain steps ashore with a flag and claims the land for the British Crown. Cook did that in 1778. Sovereignty involves both a measure of settled occupation and a measure of administrative control.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597</w:t>
      </w:r>
      <w:r>
        <w:rPr>
          <w:rFonts w:ascii="arial" w:eastAsia="arial" w:hAnsi="arial" w:cs="arial"/>
          <w:color w:val="000000"/>
          <w:sz w:val="20"/>
          <w:lang w:val="en-US" w:eastAsia="en-US" w:bidi="ar-SA"/>
        </w:rPr>
        <w:t>  There is no reason to doubt the sincerity of Captain Vancouver's solemn acts on the date of the King's birthday, June 4, 1792. However, there is every reason to conclude that his gift to the sovereign was decidedly less grandiose than he had intended. No doubt it was a step towards the British acquiring sovereignty. But in 1792 there was no British occupation and no ability to maintain control of the territory.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598</w:t>
      </w:r>
      <w:r>
        <w:rPr>
          <w:rFonts w:ascii="arial" w:eastAsia="arial" w:hAnsi="arial" w:cs="arial"/>
          <w:color w:val="000000"/>
          <w:sz w:val="20"/>
          <w:lang w:val="en-US" w:eastAsia="en-US" w:bidi="ar-SA"/>
        </w:rPr>
        <w:t>  Canada argues that even if 1792 were not the date of the assertion of sovereignty, then the correct date could not be much later. This is because by 1818 and 1821 Britain was already acting as if it had previously asserted sovereignty over this area. Canada cites the fact that Britain entered into a treaty with the United States of America in 1818 based upon its claims of sovereignty. Britain also passed legislation to regulate the fur trade in the area in 1821.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599</w:t>
      </w:r>
      <w:r>
        <w:rPr>
          <w:rFonts w:ascii="arial" w:eastAsia="arial" w:hAnsi="arial" w:cs="arial"/>
          <w:color w:val="000000"/>
          <w:sz w:val="20"/>
          <w:lang w:val="en-US" w:eastAsia="en-US" w:bidi="ar-SA"/>
        </w:rPr>
        <w:t xml:space="preserve">  In addition, Canada says Dickson C.J.C. held in </w:t>
      </w:r>
      <w:r>
        <w:rPr>
          <w:rFonts w:ascii="arial" w:eastAsia="arial" w:hAnsi="arial" w:cs="arial"/>
          <w:b/>
          <w:i/>
          <w:color w:val="000000"/>
          <w:sz w:val="20"/>
          <w:lang w:val="en-US" w:eastAsia="en-US" w:bidi="ar-SA"/>
        </w:rPr>
        <w:t>Re: Ownership of the Bed of the Strait of Georgia</w:t>
      </w:r>
      <w:r>
        <w:rPr>
          <w:rFonts w:ascii="arial" w:eastAsia="arial" w:hAnsi="arial" w:cs="arial"/>
          <w:color w:val="000000"/>
          <w:sz w:val="20"/>
          <w:lang w:val="en-US" w:eastAsia="en-US" w:bidi="ar-SA"/>
        </w:rPr>
        <w:t>, (S.C.C.) at p. 404 that Britain had "continued to assert sovereignty in, and proprietary rights over, the entire expanse of territory between the California border and the Alaska panhandle" during the period that preceded the 1846 Oregon Treaty. In the submission of Canada, 1818 would therefore seem to be the absolute latest date by which Britain could be found to have asserted sovereignty over the Claim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600</w:t>
      </w:r>
      <w:r>
        <w:rPr>
          <w:rFonts w:ascii="arial" w:eastAsia="arial" w:hAnsi="arial" w:cs="arial"/>
          <w:color w:val="000000"/>
          <w:sz w:val="20"/>
          <w:lang w:val="en-US" w:eastAsia="en-US" w:bidi="ar-SA"/>
        </w:rPr>
        <w:t xml:space="preserve">  It seems to me that Canada's argument builds on the failed assertion of sovereignty in 1792. While it might be argued that the events of 1818, 1821 and 1830 were a vast improvement over Captain Vancouver's act of imperialism, in my view, these events do not meet the tests imposed by international law. New Caledonia was not sufficiently occupied by the Crown on any of these dates. More importantly, there was no actual or effective control over the area. The legislative acts of a distant Parliament do not occupy a territory. Nor do the words on a page, in any sense, provide a </w:t>
      </w:r>
      <w:r>
        <w:rPr>
          <w:rFonts w:ascii="arial" w:eastAsia="arial" w:hAnsi="arial" w:cs="arial"/>
          <w:i/>
          <w:color w:val="000000"/>
          <w:sz w:val="20"/>
          <w:lang w:val="en-US" w:eastAsia="en-US" w:bidi="ar-SA"/>
        </w:rPr>
        <w:t>de facto</w:t>
      </w:r>
      <w:r>
        <w:rPr>
          <w:rFonts w:ascii="arial" w:eastAsia="arial" w:hAnsi="arial" w:cs="arial"/>
          <w:color w:val="000000"/>
          <w:sz w:val="20"/>
          <w:lang w:val="en-US" w:eastAsia="en-US" w:bidi="ar-SA"/>
        </w:rPr>
        <w:t xml:space="preserve"> administrative control over the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601</w:t>
      </w:r>
      <w:r>
        <w:rPr>
          <w:rFonts w:ascii="arial" w:eastAsia="arial" w:hAnsi="arial" w:cs="arial"/>
          <w:color w:val="000000"/>
          <w:sz w:val="20"/>
          <w:lang w:val="en-US" w:eastAsia="en-US" w:bidi="ar-SA"/>
        </w:rPr>
        <w:t xml:space="preserve">  I have no difficulty in concluding that The Treaty of Oregon, 1846 is a watershed date that the courts have relied upon up to now. I see no reason to move from that date. Indeed, as the Province has argued, the authorities would appear to be too well entrenched to admit any reconsideration at this level of court: see </w:t>
      </w:r>
      <w:r>
        <w:rPr>
          <w:rFonts w:ascii="arial" w:eastAsia="arial" w:hAnsi="arial" w:cs="arial"/>
          <w:b/>
          <w:i/>
          <w:color w:val="000000"/>
          <w:sz w:val="20"/>
          <w:lang w:val="en-US" w:eastAsia="en-US" w:bidi="ar-SA"/>
        </w:rPr>
        <w:t>Calder</w:t>
      </w:r>
      <w:r>
        <w:rPr>
          <w:rFonts w:ascii="arial" w:eastAsia="arial" w:hAnsi="arial" w:cs="arial"/>
          <w:color w:val="000000"/>
          <w:sz w:val="20"/>
          <w:lang w:val="en-US" w:eastAsia="en-US" w:bidi="ar-SA"/>
        </w:rPr>
        <w:t xml:space="preserve"> (S.C.C.) at p. 325, per Judson J.; </w:t>
      </w:r>
      <w:r>
        <w:rPr>
          <w:rFonts w:ascii="arial" w:eastAsia="arial" w:hAnsi="arial" w:cs="arial"/>
          <w:b/>
          <w:i/>
          <w:color w:val="000000"/>
          <w:sz w:val="20"/>
          <w:lang w:val="en-US" w:eastAsia="en-US" w:bidi="ar-SA"/>
        </w:rPr>
        <w:t>Delgamuukw</w:t>
      </w:r>
      <w:r>
        <w:rPr>
          <w:rFonts w:ascii="arial" w:eastAsia="arial" w:hAnsi="arial" w:cs="arial"/>
          <w:color w:val="000000"/>
          <w:sz w:val="20"/>
          <w:lang w:val="en-US" w:eastAsia="en-US" w:bidi="ar-SA"/>
        </w:rPr>
        <w:t xml:space="preserve"> (B.C.S.C.); </w:t>
      </w:r>
      <w:r>
        <w:rPr>
          <w:rFonts w:ascii="arial" w:eastAsia="arial" w:hAnsi="arial" w:cs="arial"/>
          <w:b/>
          <w:i/>
          <w:color w:val="000000"/>
          <w:sz w:val="20"/>
          <w:lang w:val="en-US" w:eastAsia="en-US" w:bidi="ar-SA"/>
        </w:rPr>
        <w:t>Delgamuukw</w:t>
      </w:r>
      <w:r>
        <w:rPr>
          <w:rFonts w:ascii="arial" w:eastAsia="arial" w:hAnsi="arial" w:cs="arial"/>
          <w:color w:val="000000"/>
          <w:sz w:val="20"/>
          <w:lang w:val="en-US" w:eastAsia="en-US" w:bidi="ar-SA"/>
        </w:rPr>
        <w:t xml:space="preserve"> (B.C.C.A.); </w:t>
      </w:r>
      <w:r>
        <w:rPr>
          <w:rFonts w:ascii="arial" w:eastAsia="arial" w:hAnsi="arial" w:cs="arial"/>
          <w:b/>
          <w:i/>
          <w:color w:val="000000"/>
          <w:sz w:val="20"/>
          <w:lang w:val="en-US" w:eastAsia="en-US" w:bidi="ar-SA"/>
        </w:rPr>
        <w:t>Delgamuukw</w:t>
      </w:r>
      <w:r>
        <w:rPr>
          <w:rFonts w:ascii="arial" w:eastAsia="arial" w:hAnsi="arial" w:cs="arial"/>
          <w:color w:val="000000"/>
          <w:sz w:val="20"/>
          <w:lang w:val="en-US" w:eastAsia="en-US" w:bidi="ar-SA"/>
        </w:rPr>
        <w:t xml:space="preserve"> (S.C.C.); </w:t>
      </w:r>
      <w:r>
        <w:rPr>
          <w:rFonts w:ascii="arial" w:eastAsia="arial" w:hAnsi="arial" w:cs="arial"/>
          <w:b/>
          <w:i/>
          <w:color w:val="000000"/>
          <w:sz w:val="20"/>
          <w:lang w:val="en-US" w:eastAsia="en-US" w:bidi="ar-SA"/>
        </w:rPr>
        <w:t>Haida First Nation v. British Columbia (Minister of Forests)</w:t>
      </w:r>
      <w:r>
        <w:rPr>
          <w:rFonts w:ascii="arial" w:eastAsia="arial" w:hAnsi="arial" w:cs="arial"/>
          <w:color w:val="000000"/>
          <w:sz w:val="20"/>
          <w:lang w:val="en-US" w:eastAsia="en-US" w:bidi="ar-SA"/>
        </w:rPr>
        <w:t xml:space="preserve">, </w:t>
      </w:r>
      <w:hyperlink r:id="rId692" w:history="1">
        <w:r>
          <w:rPr>
            <w:rFonts w:ascii="arial" w:eastAsia="arial" w:hAnsi="arial" w:cs="arial"/>
            <w:i/>
            <w:color w:val="0077CC"/>
            <w:sz w:val="20"/>
            <w:u w:val="single"/>
            <w:shd w:val="clear" w:color="auto" w:fill="FFFFFF"/>
            <w:lang w:val="en-US" w:eastAsia="en-US" w:bidi="ar-SA"/>
          </w:rPr>
          <w:t>[2004] 3 S.C.R. 511</w:t>
        </w:r>
      </w:hyperlink>
      <w:r>
        <w:rPr>
          <w:rFonts w:ascii="arial" w:eastAsia="arial" w:hAnsi="arial" w:cs="arial"/>
          <w:color w:val="000000"/>
          <w:sz w:val="20"/>
          <w:lang w:val="en-US" w:eastAsia="en-US" w:bidi="ar-SA"/>
        </w:rPr>
        <w:t xml:space="preserve">, </w:t>
      </w:r>
      <w:hyperlink r:id="rId692" w:history="1">
        <w:r>
          <w:rPr>
            <w:rFonts w:ascii="arial" w:eastAsia="arial" w:hAnsi="arial" w:cs="arial"/>
            <w:i/>
            <w:color w:val="0077CC"/>
            <w:sz w:val="20"/>
            <w:u w:val="single"/>
            <w:shd w:val="clear" w:color="auto" w:fill="FFFFFF"/>
            <w:lang w:val="en-US" w:eastAsia="en-US" w:bidi="ar-SA"/>
          </w:rPr>
          <w:t>2004 SCC 73</w:t>
        </w:r>
      </w:hyperlink>
      <w:r>
        <w:rPr>
          <w:rFonts w:ascii="arial" w:eastAsia="arial" w:hAnsi="arial" w:cs="arial"/>
          <w:color w:val="000000"/>
          <w:sz w:val="20"/>
          <w:lang w:val="en-US" w:eastAsia="en-US" w:bidi="ar-SA"/>
        </w:rPr>
        <w:t>, at para. 65.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602</w:t>
      </w:r>
      <w:r>
        <w:rPr>
          <w:rFonts w:ascii="arial" w:eastAsia="arial" w:hAnsi="arial" w:cs="arial"/>
          <w:color w:val="000000"/>
          <w:sz w:val="20"/>
          <w:lang w:val="en-US" w:eastAsia="en-US" w:bidi="ar-SA"/>
        </w:rPr>
        <w:t xml:space="preserve">  Apart from that, by 1846 there was a </w:t>
      </w:r>
      <w:r>
        <w:rPr>
          <w:rFonts w:ascii="arial" w:eastAsia="arial" w:hAnsi="arial" w:cs="arial"/>
          <w:i/>
          <w:color w:val="000000"/>
          <w:sz w:val="20"/>
          <w:lang w:val="en-US" w:eastAsia="en-US" w:bidi="ar-SA"/>
        </w:rPr>
        <w:t>de facto</w:t>
      </w:r>
      <w:r>
        <w:rPr>
          <w:rFonts w:ascii="arial" w:eastAsia="arial" w:hAnsi="arial" w:cs="arial"/>
          <w:color w:val="000000"/>
          <w:sz w:val="20"/>
          <w:lang w:val="en-US" w:eastAsia="en-US" w:bidi="ar-SA"/>
        </w:rPr>
        <w:t xml:space="preserve"> British presence in the area. The Treaty of Oregon is a treaty with another nation settling a boundary dispute and providing international recognition of sovereignty to the land and territory north of the 49th parallel. The assertion of sovereignty, recognized by another nation, is clear at this point in our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 TSILHQOT'IN ABORIGINAL TITLE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603</w:t>
      </w:r>
      <w:r>
        <w:rPr>
          <w:rFonts w:ascii="arial" w:eastAsia="arial" w:hAnsi="arial" w:cs="arial"/>
          <w:color w:val="000000"/>
          <w:sz w:val="20"/>
          <w:lang w:val="en-US" w:eastAsia="en-US" w:bidi="ar-SA"/>
        </w:rPr>
        <w:t xml:space="preserve">  The plaintiff says that a declaration of Aboriginal title, providing a right to exclusive possession and the economic benefits of the land, is fundamental to the cultural and economic survival of Tsilhqot'in people as a distinct society. Such a declaration would help preserve their connection to the land that sustains their communities. The plaintiff says a declaration of Aboriginal rights that does not include a declaration of Aboriginal title to the land would be insufficient to ensure Tsilhqot'in "cultural security and continuity": </w:t>
      </w:r>
      <w:r>
        <w:rPr>
          <w:rFonts w:ascii="arial" w:eastAsia="arial" w:hAnsi="arial" w:cs="arial"/>
          <w:b/>
          <w:i/>
          <w:color w:val="000000"/>
          <w:sz w:val="20"/>
          <w:lang w:val="en-US" w:eastAsia="en-US" w:bidi="ar-SA"/>
        </w:rPr>
        <w:t>R. v. Sappier; R. v. Gray</w:t>
      </w:r>
      <w:r>
        <w:rPr>
          <w:rFonts w:ascii="arial" w:eastAsia="arial" w:hAnsi="arial" w:cs="arial"/>
          <w:color w:val="000000"/>
          <w:sz w:val="20"/>
          <w:lang w:val="en-US" w:eastAsia="en-US" w:bidi="ar-SA"/>
        </w:rPr>
        <w:t xml:space="preserve">, </w:t>
      </w:r>
      <w:hyperlink r:id="rId693" w:history="1">
        <w:r>
          <w:rPr>
            <w:rFonts w:ascii="arial" w:eastAsia="arial" w:hAnsi="arial" w:cs="arial"/>
            <w:i/>
            <w:color w:val="0077CC"/>
            <w:sz w:val="20"/>
            <w:u w:val="single"/>
            <w:shd w:val="clear" w:color="auto" w:fill="FFFFFF"/>
            <w:lang w:val="en-US" w:eastAsia="en-US" w:bidi="ar-SA"/>
          </w:rPr>
          <w:t>[2006] 2 S.C.R. 686</w:t>
        </w:r>
      </w:hyperlink>
      <w:r>
        <w:rPr>
          <w:rFonts w:ascii="arial" w:eastAsia="arial" w:hAnsi="arial" w:cs="arial"/>
          <w:color w:val="000000"/>
          <w:sz w:val="20"/>
          <w:lang w:val="en-US" w:eastAsia="en-US" w:bidi="ar-SA"/>
        </w:rPr>
        <w:t xml:space="preserve">, </w:t>
      </w:r>
      <w:hyperlink r:id="rId693" w:history="1">
        <w:r>
          <w:rPr>
            <w:rFonts w:ascii="arial" w:eastAsia="arial" w:hAnsi="arial" w:cs="arial"/>
            <w:i/>
            <w:color w:val="0077CC"/>
            <w:sz w:val="20"/>
            <w:u w:val="single"/>
            <w:shd w:val="clear" w:color="auto" w:fill="FFFFFF"/>
            <w:lang w:val="en-US" w:eastAsia="en-US" w:bidi="ar-SA"/>
          </w:rPr>
          <w:t>2006 SCC 54</w:t>
        </w:r>
      </w:hyperlink>
      <w:r>
        <w:rPr>
          <w:rFonts w:ascii="arial" w:eastAsia="arial" w:hAnsi="arial" w:cs="arial"/>
          <w:color w:val="000000"/>
          <w:sz w:val="20"/>
          <w:lang w:val="en-US" w:eastAsia="en-US" w:bidi="ar-SA"/>
        </w:rPr>
        <w:t xml:space="preserve"> at para. 33. In the plaintiff's submission, the evidence supports a declaration of title to the entire Claim Area. In the alternative, the plaintiff says such declarations can be made for smaller areas within the Claim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604</w:t>
      </w:r>
      <w:r>
        <w:rPr>
          <w:rFonts w:ascii="arial" w:eastAsia="arial" w:hAnsi="arial" w:cs="arial"/>
          <w:color w:val="000000"/>
          <w:sz w:val="20"/>
          <w:lang w:val="en-US" w:eastAsia="en-US" w:bidi="ar-SA"/>
        </w:rPr>
        <w:t xml:space="preserve">  The Province says the plaintiff's claims for Aboriginal title are contrary to the existing authorities and cannot be supported. In the submission of the Province, similar claims were made in </w:t>
      </w:r>
      <w:r>
        <w:rPr>
          <w:rFonts w:ascii="arial" w:eastAsia="arial" w:hAnsi="arial" w:cs="arial"/>
          <w:b/>
          <w:i/>
          <w:color w:val="000000"/>
          <w:sz w:val="20"/>
          <w:lang w:val="en-US" w:eastAsia="en-US" w:bidi="ar-SA"/>
        </w:rPr>
        <w:t>Marshall; Bernard</w:t>
      </w:r>
      <w:r>
        <w:rPr>
          <w:rFonts w:ascii="arial" w:eastAsia="arial" w:hAnsi="arial" w:cs="arial"/>
          <w:color w:val="000000"/>
          <w:sz w:val="20"/>
          <w:lang w:val="en-US" w:eastAsia="en-US" w:bidi="ar-SA"/>
        </w:rPr>
        <w:t xml:space="preserve"> and failed. In that case, a similar "territorial" approach to Aboriginal title did not succeed.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605</w:t>
      </w:r>
      <w:r>
        <w:rPr>
          <w:rFonts w:ascii="arial" w:eastAsia="arial" w:hAnsi="arial" w:cs="arial"/>
          <w:color w:val="000000"/>
          <w:sz w:val="20"/>
          <w:lang w:val="en-US" w:eastAsia="en-US" w:bidi="ar-SA"/>
        </w:rPr>
        <w:t>  The Province says it struggled to identify specific sites within or outside the Claim Area that are candidates for Aboriginal title status, on the basis of the recent cases. This process cannot be completed without the plaintiff's involvement. The Province is prepared to negotiate with the plaintiff in this regard, should the plaintiff move beyond the "all or nothing" claim presently advanced. In these circumstances, the Province submits that the court could best assist the parties if it dismissed the claim as made. The Province submits that further reconciliation in this case would be enhanced if the dismissal be without prejudice to the right of the plaintiff to make an alternative claim to specific sites if the parties cannot, through negotiations, resolve this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606</w:t>
      </w:r>
      <w:r>
        <w:rPr>
          <w:rFonts w:ascii="arial" w:eastAsia="arial" w:hAnsi="arial" w:cs="arial"/>
          <w:color w:val="000000"/>
          <w:sz w:val="20"/>
          <w:lang w:val="en-US" w:eastAsia="en-US" w:bidi="ar-SA"/>
        </w:rPr>
        <w:t>  Canada says that the legal test for Aboriginal title contained in the more recent cases is not broad enough to allow the plaintiff to succeed in his request for a declaration of Aboriginal title. Canada submits that the evidence is insufficient to allow the Court to find occupation throughout the Claim Area so as to warrant a declaration of Aboriginal title. Canada says there were no village sites or definite tracts of land used on any regular basis. Canada adds there was no Tsilhqot'in occupation of the Claim Area at the time of sovereignty assertion, which it says was 1792.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607</w:t>
      </w:r>
      <w:r>
        <w:rPr>
          <w:rFonts w:ascii="arial" w:eastAsia="arial" w:hAnsi="arial" w:cs="arial"/>
          <w:color w:val="000000"/>
          <w:sz w:val="20"/>
          <w:lang w:val="en-US" w:eastAsia="en-US" w:bidi="ar-SA"/>
        </w:rPr>
        <w:t>  I conclude that the date of sovereignty assertion was 1846. The question, therefore, is whether Tsilhqot'in people exclusively occupied the Claim Area at that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608</w:t>
      </w:r>
      <w:r>
        <w:rPr>
          <w:rFonts w:ascii="arial" w:eastAsia="arial" w:hAnsi="arial" w:cs="arial"/>
          <w:color w:val="000000"/>
          <w:sz w:val="20"/>
          <w:lang w:val="en-US" w:eastAsia="en-US" w:bidi="ar-SA"/>
        </w:rPr>
        <w:t>  Both Canada and the Province argue that the evidence might support a declaration of Aboriginal title to smaller sites where specific Aboriginal activities or practices took place. For example, the Province says that hunting is a practice that will not ordinarily lead to utilization of the same area year after year. Most species of game animals roam the landscape and are taken by hunters on an opportunistic basis wherever they happen to be found. There may be certain exceptions where features of the natural landscape such as a salt lick or a narrow defile between mountains or cliffs attract animals and their hunters to the same place year after year, but these would seem to be the exception.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609</w:t>
      </w:r>
      <w:r>
        <w:rPr>
          <w:rFonts w:ascii="arial" w:eastAsia="arial" w:hAnsi="arial" w:cs="arial"/>
          <w:color w:val="000000"/>
          <w:sz w:val="20"/>
          <w:lang w:val="en-US" w:eastAsia="en-US" w:bidi="ar-SA"/>
        </w:rPr>
        <w:t>  Canada's approach to Aboriginal title is similar. For example, it says that salmon fishing might make it possible for a definite tract of land to be used on a regular basis if, for example, it could be shown that fishers would use a particular rock or promontory each year to spear or net spawning salmon. Canada says it was unable to locate any evidence in the transcripts with this level of specificity. It says that lake fishing would seem even less likely to satisfy the criteria since fish would be distributed throughout the lake, and fishers would be less likely to use any particular spots to fish for them. Once again, Canada was unable to locate any evidence in the transcripts that would satisfy these criteria.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610</w:t>
      </w:r>
      <w:r>
        <w:rPr>
          <w:rFonts w:ascii="arial" w:eastAsia="arial" w:hAnsi="arial" w:cs="arial"/>
          <w:color w:val="000000"/>
          <w:sz w:val="20"/>
          <w:lang w:val="en-US" w:eastAsia="en-US" w:bidi="ar-SA"/>
        </w:rPr>
        <w:t>  The plaintiff characterizes the foregoing arguments of the defendants as a postage stamp approach to Aboriginal title. I think that is a fair description. There is no evidence to support a conclusion that Aboriginal people ever lived this kind of postage stamp existence. Tsilhqot'in people were semi-nomadic and moved with the seasons over various tracts of land within their vast territory. It was government policy that caused them to alter their traditional lifestyle and live on reserves.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611</w:t>
      </w:r>
      <w:r>
        <w:rPr>
          <w:rFonts w:ascii="arial" w:eastAsia="arial" w:hAnsi="arial" w:cs="arial"/>
          <w:color w:val="000000"/>
          <w:sz w:val="20"/>
          <w:lang w:val="en-US" w:eastAsia="en-US" w:bidi="ar-SA"/>
        </w:rPr>
        <w:t>  Marcus Smith in his letter to The Honourable George Walkem, Chief Commissioner, Lands and Works, November 29, 1872 reported: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During the progress of the surveys, parties of these Indians were met with at various places but as they are continually wandering it is difficult to estimate their numbers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612</w:t>
      </w:r>
      <w:r>
        <w:rPr>
          <w:rFonts w:ascii="arial" w:eastAsia="arial" w:hAnsi="arial" w:cs="arial"/>
          <w:color w:val="000000"/>
          <w:sz w:val="20"/>
          <w:lang w:val="en-US" w:eastAsia="en-US" w:bidi="ar-SA"/>
        </w:rPr>
        <w:t>  Even as the Xeni Gwet'in reserves were fixed at the turn of the twentieth century, Tsilhqot'in people continued to move around their traditional territory. The first reserves were surveyed by Indian Reserve Commissioner, A.W. Vowell. He set aside 1,257 acres "eastward of Chilko Lake, Coast District," acknowledging at the time that "[a] good deal of this land is entirely worthless": Vowell to Deputy Commissioner of Lands and Works, October 14, 1899. Perhaps from the perspective of a European person, the land could be so described. From the perspective of a Tsilhqot'in person, this land provided their cultural security and continuity. The land sustained them and they were deeply connected to it. Vowell's letter gave a hint of movement in his report that "[s]eventy Indians winter in the valley, some of these however belong to other bands and having already been provided with land were not taken into consideration."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613</w:t>
      </w:r>
      <w:r>
        <w:rPr>
          <w:rFonts w:ascii="arial" w:eastAsia="arial" w:hAnsi="arial" w:cs="arial"/>
          <w:color w:val="000000"/>
          <w:sz w:val="20"/>
          <w:lang w:val="en-US" w:eastAsia="en-US" w:bidi="ar-SA"/>
        </w:rPr>
        <w:t>  Correspondence the following year records the movement of Indians from Xeni (Nemiah Valley) to settle "on the Stone Reserve and at the mouth of Whitewater": E. Bell, Indian Reserve Commissioner, May 3, 1900. In the view I take of these events, the movements of a semi-nomadic people continued, despite the efforts to contain them on reserves.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614</w:t>
      </w:r>
      <w:r>
        <w:rPr>
          <w:rFonts w:ascii="arial" w:eastAsia="arial" w:hAnsi="arial" w:cs="arial"/>
          <w:color w:val="000000"/>
          <w:sz w:val="20"/>
          <w:lang w:val="en-US" w:eastAsia="en-US" w:bidi="ar-SA"/>
        </w:rPr>
        <w:t xml:space="preserve">  When European people arrived in the nineteenth century, Tsilhqot'in people lived a semi-nomadic life ranging inside and outside the Claim Area. Taking into account the directions of the Supreme Court of Canada, my task almost 200 years later is to decide whether Tsilhqot'in occupation of the Claim Area at the date of sovereignty assertion was sufficient to ground a modern day declaration of Tsilhqot'in Aboriginal title. I am required to apply the test set out by McLachlin C.J.C. at paras. 72-75 of </w:t>
      </w:r>
      <w:r>
        <w:rPr>
          <w:rFonts w:ascii="arial" w:eastAsia="arial" w:hAnsi="arial" w:cs="arial"/>
          <w:b/>
          <w:i/>
          <w:color w:val="000000"/>
          <w:sz w:val="20"/>
          <w:lang w:val="en-US" w:eastAsia="en-US" w:bidi="ar-SA"/>
        </w:rPr>
        <w:t>Marshall; Bernard</w:t>
      </w:r>
      <w:r>
        <w:rPr>
          <w:rFonts w:ascii="arial" w:eastAsia="arial" w:hAnsi="arial" w:cs="arial"/>
          <w:color w:val="000000"/>
          <w:sz w:val="20"/>
          <w:lang w:val="en-US" w:eastAsia="en-US" w:bidi="ar-SA"/>
        </w:rPr>
        <w: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trial judge in each case applied the correct test to determine whether the respondents' claim to aboriginal title was established. In each case they required proof of sufficiently regular and exclusive use of the cutting sites by Mi'kmaq people at the time of assertion of sovereignty.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Marshall</w:t>
      </w:r>
      <w:r>
        <w:rPr>
          <w:rFonts w:ascii="arial" w:eastAsia="arial" w:hAnsi="arial" w:cs="arial"/>
          <w:color w:val="000000"/>
          <w:sz w:val="20"/>
          <w:lang w:val="en-US" w:eastAsia="en-US" w:bidi="ar-SA"/>
        </w:rPr>
        <w:t>, Curran Prov. Ct. J. reviewed the authorities and concluded that the line separating sufficient and insufficient occupancy for title is between irregular use of undefined lands on the one hand and regular use of defined lands on the other. "Settlements constitute regular use of defined lands, but they are only one instance of it" (para. 141).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Bernard</w:t>
      </w:r>
      <w:r>
        <w:rPr>
          <w:rFonts w:ascii="arial" w:eastAsia="arial" w:hAnsi="arial" w:cs="arial"/>
          <w:color w:val="000000"/>
          <w:sz w:val="20"/>
          <w:lang w:val="en-US" w:eastAsia="en-US" w:bidi="ar-SA"/>
        </w:rPr>
        <w:t>, Lordon Prov. Ct. J. likewise found that occasional visits to an area did not establish title; there must be "evidence of capacity to retain exclusive control" (para. 110) over the land claimed.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These tests correctly reflect the jurisprudence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615</w:t>
      </w:r>
      <w:r>
        <w:rPr>
          <w:rFonts w:ascii="arial" w:eastAsia="arial" w:hAnsi="arial" w:cs="arial"/>
          <w:color w:val="000000"/>
          <w:sz w:val="20"/>
          <w:lang w:val="en-US" w:eastAsia="en-US" w:bidi="ar-SA"/>
        </w:rPr>
        <w:t xml:space="preserve">  Put in the language of the Supreme Court of Canada, I must "sensitively assess the evidence and then find the equivalent modern common law right. The common law right to title is commensurate with exclusionary rights of control": </w:t>
      </w:r>
      <w:r>
        <w:rPr>
          <w:rFonts w:ascii="arial" w:eastAsia="arial" w:hAnsi="arial" w:cs="arial"/>
          <w:b/>
          <w:i/>
          <w:color w:val="000000"/>
          <w:sz w:val="20"/>
          <w:lang w:val="en-US" w:eastAsia="en-US" w:bidi="ar-SA"/>
        </w:rPr>
        <w:t>Marshall; Bernard</w:t>
      </w:r>
      <w:r>
        <w:rPr>
          <w:rFonts w:ascii="arial" w:eastAsia="arial" w:hAnsi="arial" w:cs="arial"/>
          <w:color w:val="000000"/>
          <w:sz w:val="20"/>
          <w:lang w:val="en-US" w:eastAsia="en-US" w:bidi="ar-SA"/>
        </w:rPr>
        <w:t>, at para. 77.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616</w:t>
      </w:r>
      <w:r>
        <w:rPr>
          <w:rFonts w:ascii="arial" w:eastAsia="arial" w:hAnsi="arial" w:cs="arial"/>
          <w:color w:val="000000"/>
          <w:sz w:val="20"/>
          <w:lang w:val="en-US" w:eastAsia="en-US" w:bidi="ar-SA"/>
        </w:rPr>
        <w:t>  My task is to determine the degree of Tsilhqot'in occupation of the Claim Area at the time of sovereignty assertion. It is convenient to begin with a consideration of Tsilhqot'in territory more generally.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 Tsilhqot'in Traditional Territory and the Claim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617</w:t>
      </w:r>
      <w:r>
        <w:rPr>
          <w:rFonts w:ascii="arial" w:eastAsia="arial" w:hAnsi="arial" w:cs="arial"/>
          <w:color w:val="000000"/>
          <w:sz w:val="20"/>
          <w:lang w:val="en-US" w:eastAsia="en-US" w:bidi="ar-SA"/>
        </w:rPr>
        <w:t>  Dr. Kenneth Brealey is a cartologist and historical geographer. He was called as a witness for the plaintiff. Dr. Brealey was qualified to express opinions on the historical territoriality of First Nations, including the Tsilhqot'in people. In his report to the court entitled "Historical Geography of the Tsilhqot'in", at p. 13, footnote 6, Dr. Brealey said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Writ large, the discipline of geography understands territoriality ... as a fundamental condition of human socio political organization. More specifically, territoriality is defined as the attempt by any individual, group or institution to affect, influence, or control people, phenomena, and relationships by delimiting and asserting control over a geographic area, which becomes the territory. Put alternatively, it is a function of three interdependent exertions: a) one that classifies an area with respect to others; b) one that involves some form of shared communication within or across it; and c) one concerned with enforcing control over it. ... there are many forms of territoriality, and each must be assessed and understood on its own terms and through the spatial referencing systems immanent to them. The important point is that oral nomadic societies ... are not 'less territorial' than, say, nation-states or trading blocs. They are simply different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618</w:t>
      </w:r>
      <w:r>
        <w:rPr>
          <w:rFonts w:ascii="arial" w:eastAsia="arial" w:hAnsi="arial" w:cs="arial"/>
          <w:color w:val="000000"/>
          <w:sz w:val="20"/>
          <w:lang w:val="en-US" w:eastAsia="en-US" w:bidi="ar-SA"/>
        </w:rPr>
        <w:t>  Aboriginal witnesses testified that Tsilhqot'in traditional territory extended from the Fraser River westward to the eastern slopes of the Coast Range. The western boundary was defined by the Coast Range, although there appear to be overlaps with the Homalco and the Nuxalk traditional territories. On the east, the Fraser River boundary appears to overlap with the Secwepemc (Shuswap) territory. The northern boundary was at a point commencing just south of Quesnel, at Alexandria, over to the Coast Range. These territorial boundaries appear to have a large overlap on the northern edge with the Dakelh (Carrier) traditional territory. Similarly, the southern boundary appears to overlap with the Stl'atl'imx (Lillooet) and Secwepemc territories.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619</w:t>
      </w:r>
      <w:r>
        <w:rPr>
          <w:rFonts w:ascii="arial" w:eastAsia="arial" w:hAnsi="arial" w:cs="arial"/>
          <w:color w:val="000000"/>
          <w:sz w:val="20"/>
          <w:lang w:val="en-US" w:eastAsia="en-US" w:bidi="ar-SA"/>
        </w:rPr>
        <w:t>  I note that in a separate action for a declaration of Tsilhqot'in title excluding the Claim Area, Tsilhqot'in territory is described as extending well north of Quesnel, British Columbia and includes a large tract of land to the east of the Fraser River. To the south, the boundary appears to go as far as the town of Lillooet.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620</w:t>
      </w:r>
      <w:r>
        <w:rPr>
          <w:rFonts w:ascii="arial" w:eastAsia="arial" w:hAnsi="arial" w:cs="arial"/>
          <w:color w:val="000000"/>
          <w:sz w:val="20"/>
          <w:lang w:val="en-US" w:eastAsia="en-US" w:bidi="ar-SA"/>
        </w:rPr>
        <w:t>  Governor Frederick Seymour in Despatch No. 37, September 9, 1864, reported to the Colonial Office, Great Britain, on the "massacre of Mr. Waddington's road party at Bute Inlet by the Chilcoten Indians". In reporting the difficulty of reaching the interior from the head of Bute Inlet, he said that he "never saw so difficult a country." He described the territory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Within the great barrier of the Cascade range lies the Chilcoten country ... It was almost unknown to white men until recent events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Territory occupied by the Chilcotens extends probably 200 miles north &amp; South. From the summits of the Bute Inlet mountains to the West Road River E. &amp; W. The tribe roamed from the Cascade Range to the Fraser, a distance of 300 miles.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Little was known of the Chilcoten country &amp; not much more of its inhabitants.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621</w:t>
      </w:r>
      <w:r>
        <w:rPr>
          <w:rFonts w:ascii="arial" w:eastAsia="arial" w:hAnsi="arial" w:cs="arial"/>
          <w:color w:val="000000"/>
          <w:sz w:val="20"/>
          <w:lang w:val="en-US" w:eastAsia="en-US" w:bidi="ar-SA"/>
        </w:rPr>
        <w:t>  Dr. Brealey's report reviewed the available historical record spanning from the early explorations of Alexander MacKenzie and Simon Fraser, to the twentieth century anthropological and archaeological literature. With regard to Tsilhqot'in boundaries, Dr. Brealey concluded at p. 12: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and as shown on Map 1, pre-contact Tsilhqot'in territory would be (very roughly) triangulated by Anahim's peak in the northwest, Palmer and/or Alexis Lakes in the northeast, and Chilko and Taseko Lakes in the south; but more by the headwaters of the Chilanko and Chilcotin rivers to the northwest, Moss and Tautri Lakes to the northeast, and Chilko and Taseko Lakes in the south after contact. The important point is that neither orientation compromises Tsilhqot'in territorial integrity or continuity in the claim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622</w:t>
      </w:r>
      <w:r>
        <w:rPr>
          <w:rFonts w:ascii="arial" w:eastAsia="arial" w:hAnsi="arial" w:cs="arial"/>
          <w:color w:val="000000"/>
          <w:sz w:val="20"/>
          <w:lang w:val="en-US" w:eastAsia="en-US" w:bidi="ar-SA"/>
        </w:rPr>
        <w:t>  After scrutinizing the historical record with respect to Tsilhqot'in conflicts with their Aboriginal neighbours, Dr. Brealey concluded at pp. 20-21 of his report that "[t]he important point, again, is that both Tsilhqot'in and non-Tsilhqot'in recognized the Claim Area as lying firmly within Tsilhqot'in territory."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623</w:t>
      </w:r>
      <w:r>
        <w:rPr>
          <w:rFonts w:ascii="arial" w:eastAsia="arial" w:hAnsi="arial" w:cs="arial"/>
          <w:color w:val="000000"/>
          <w:sz w:val="20"/>
          <w:lang w:val="en-US" w:eastAsia="en-US" w:bidi="ar-SA"/>
        </w:rPr>
        <w:t>  In the course of his evidence, Chief William accepted counsel's suggestion that the claimed areas comprise about five percent of what is considered Tsilhqot'in traditional territory. I conclude the Claim Area lands, from the time prior to contact and through to the assertion of Crown sovereignty and beyond, fall well within the much broader area described as Tsilhqot'in traditional territory.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 Tsilhqot'in Migration, South and East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624</w:t>
      </w:r>
      <w:r>
        <w:rPr>
          <w:rFonts w:ascii="arial" w:eastAsia="arial" w:hAnsi="arial" w:cs="arial"/>
          <w:color w:val="000000"/>
          <w:sz w:val="20"/>
          <w:lang w:val="en-US" w:eastAsia="en-US" w:bidi="ar-SA"/>
        </w:rPr>
        <w:t>  In my historical review I noted that some 500-800 years ago, Tsilhqot'in people began to diverge linguistically from other Northern Athapaskan people. This took place in British Columbia, some distance to the north of where Tsilhqot'in people are at the present time. Over time there was a gradual movement along the curve of the Coast Range mountains, leading Tsilhqot'in people in a southeast direction and out onto the vast plateau region. During the nineteenth century there was a central Tsilhqot'in community at Nagwentl'un (Anahim Lake) which, from the base map, appears to be 70 to 80 kilometres outside of the northwestern edge of the Claim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625</w:t>
      </w:r>
      <w:r>
        <w:rPr>
          <w:rFonts w:ascii="arial" w:eastAsia="arial" w:hAnsi="arial" w:cs="arial"/>
          <w:color w:val="000000"/>
          <w:sz w:val="20"/>
          <w:lang w:val="en-US" w:eastAsia="en-US" w:bidi="ar-SA"/>
        </w:rPr>
        <w:t>  In his report to the court, Dr. R.G. Matson expressed the view that Tsilhqot'in people have been in Tachelach'ed (Brittany Triangle) since at least A.D. 1645-1660. Their presence in the Trapline Territories was reported to be about the same time or a little later. It is clear from Dr. Matson's work that Tsilhqot'in people, a people of Athapaskan origin, were preceded in the Claim Area by people of Salish origin. It would seem that this displacement or movement of Salish people from the Claim Area preceded or was co-existent with the movement of Tsilhqot'in people into the area. Certainly, the transition was completed well before first contact with European peoples.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626</w:t>
      </w:r>
      <w:r>
        <w:rPr>
          <w:rFonts w:ascii="arial" w:eastAsia="arial" w:hAnsi="arial" w:cs="arial"/>
          <w:color w:val="000000"/>
          <w:sz w:val="20"/>
          <w:lang w:val="en-US" w:eastAsia="en-US" w:bidi="ar-SA"/>
        </w:rPr>
        <w:t>  Relying on Fraser's journal, we know that by June 1808 Tsilhqot'in people could be found on the banks of the Fraser River interacting with Secwepemc people.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627</w:t>
      </w:r>
      <w:r>
        <w:rPr>
          <w:rFonts w:ascii="arial" w:eastAsia="arial" w:hAnsi="arial" w:cs="arial"/>
          <w:color w:val="000000"/>
          <w:sz w:val="20"/>
          <w:lang w:val="en-US" w:eastAsia="en-US" w:bidi="ar-SA"/>
        </w:rPr>
        <w:t xml:space="preserve">  The evidence reveals that although Tsilhqot'in groups could be found in areas throughout Tsilhqot'in traditional territory, these groups resided at different sites during different periods. Recent large-scale migrations of Tsilhqot'in groups toward the south and east are well known. In 1900, ethnographer James Teit wrote the following about Tsilhqot'in patterns of movement in his "Notes on the Chilcotin Indians" in the </w:t>
      </w:r>
      <w:r>
        <w:rPr>
          <w:rFonts w:ascii="arial" w:eastAsia="arial" w:hAnsi="arial" w:cs="arial"/>
          <w:i/>
          <w:color w:val="000000"/>
          <w:sz w:val="20"/>
          <w:lang w:val="en-US" w:eastAsia="en-US" w:bidi="ar-SA"/>
        </w:rPr>
        <w:t>Jesup North Pacific Expedition</w:t>
      </w:r>
      <w:r>
        <w:rPr>
          <w:rFonts w:ascii="arial" w:eastAsia="arial" w:hAnsi="arial" w:cs="arial"/>
          <w:color w:val="000000"/>
          <w:sz w:val="20"/>
          <w:lang w:val="en-US" w:eastAsia="en-US" w:bidi="ar-SA"/>
        </w:rPr>
        <w:t>, p. 761: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Until about thirty-five or forty years ago, nearly two thirds of the whole tribe lived in the valley which skirts the eastern flanks of the Coast Range from Chilco Lake north to near the bend of Salmon River. Most of them were located in the northern part of the valley, at Anahem or Nacoontloon Lake, just east of the territory of the Bella Coola, who at that time were a numerous tribe, and had settlements far up the Bella Coola River. Smaller bands had headquarters around Chilco and Tatla Lakes, and some families wintered along Chilco and Chilanco Rivers. Other people, probably belonging to a different sept, lived farther east, at Puntzee and Chezikut Lakes, some of them occasionally wintering in the Chilcotin Valley as far east as Alexis Creek. The band now called the Stonies seem to have wintered on the south side of the Chilcotin River at points considerably father west than their present headquarters, many of them probably on the lower part of the Chilco 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628</w:t>
      </w:r>
      <w:r>
        <w:rPr>
          <w:rFonts w:ascii="arial" w:eastAsia="arial" w:hAnsi="arial" w:cs="arial"/>
          <w:color w:val="000000"/>
          <w:sz w:val="20"/>
          <w:lang w:val="en-US" w:eastAsia="en-US" w:bidi="ar-SA"/>
        </w:rPr>
        <w:t>  According to Teit, the exodus of Tshilqot'in people from the Nagwentl'un area had occurred by 1870. By 1900, the locations of various Tsilhqot'in groups had shifted appreciably. According to Teit at pp. 760-762, the community from Nagwentl'un had moved south and east, eventually concentrating in the area of what is now the Anaham Band's set of reserves, leaving their former home at Nagwentl'un "practically deserted" by 1870. The few remaining Tsilhqot'in families joined with incoming Ulgatcho Dakelh (Carrier) peoples, resulting in the Ulgatcho Tsilhqot'in reserve community that currently inhabits the Nagwentl'un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629</w:t>
      </w:r>
      <w:r>
        <w:rPr>
          <w:rFonts w:ascii="arial" w:eastAsia="arial" w:hAnsi="arial" w:cs="arial"/>
          <w:color w:val="000000"/>
          <w:sz w:val="20"/>
          <w:lang w:val="en-US" w:eastAsia="en-US" w:bidi="ar-SA"/>
        </w:rPr>
        <w:t>  The Tsilhqot'in group Teit referred to as the Tl'esqox (Toosey Band) also relocated eastward to the Riske Creek area, where reserves were set aside for their use. A diminution of the Secwepemc population caused by smallpox permitted this movement; until then, according to Teit at p. 760, Riske Creek had been "really within Shuswap territory ... not far from Fraser River." Teit described the situation that prevailed in the earlier part of the nineteenth century as follows at p. 761: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country from a little below Hanceville, or at least all of it east of Big or Deer Creek, was looked upon strictly as Shuswap territory; and the Chilcotin never wintered within even a number of miles west of this line, for fear of attack by the Shuswap and other war-parties from the east or south.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630</w:t>
      </w:r>
      <w:r>
        <w:rPr>
          <w:rFonts w:ascii="arial" w:eastAsia="arial" w:hAnsi="arial" w:cs="arial"/>
          <w:color w:val="000000"/>
          <w:sz w:val="20"/>
          <w:lang w:val="en-US" w:eastAsia="en-US" w:bidi="ar-SA"/>
        </w:rPr>
        <w:t>  Other Tsilhqot'in groups took advantage of the departure of Dakelh groups from lands further north along the Fraser. These Tsilhqot'in bands shifted their base to the area around Fort Alexandria, where reserve lands were eventually set aside for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631</w:t>
      </w:r>
      <w:r>
        <w:rPr>
          <w:rFonts w:ascii="arial" w:eastAsia="arial" w:hAnsi="arial" w:cs="arial"/>
          <w:color w:val="000000"/>
          <w:sz w:val="20"/>
          <w:lang w:val="en-US" w:eastAsia="en-US" w:bidi="ar-SA"/>
        </w:rPr>
        <w:t>  Even if Teit was mistaken in his identification of particular groupings of Tsilhqot'in or where each community moved, the pattern he identified remains valid. Some of those lands that were considered the centres of Tsilhqot'in residence in the first half of the nineteenth century were no longer so in the latter half. Nagwentl'un, probably the most important Tsilhqot'in settlement at one time, had converted into a predominantly Ulgatcho Dakelh community by the late nineteenth century and remains so today. Tatl'ah Biny (Tatla Lake), Bendzi Biny (Puntzi Lake) and Chezich'ed Biny which were once Tsilhqot'in centres, have seen their populations shift as well, although a reserve was set aside relatively nearby at Tsi Del Del (Redstone). Alexandria, apparently Talkotin Dakelh country in the early to mid-nineteenth century, is now the site of a predominantly Tsilhqot'in reserve.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632</w:t>
      </w:r>
      <w:r>
        <w:rPr>
          <w:rFonts w:ascii="arial" w:eastAsia="arial" w:hAnsi="arial" w:cs="arial"/>
          <w:color w:val="000000"/>
          <w:sz w:val="20"/>
          <w:lang w:val="en-US" w:eastAsia="en-US" w:bidi="ar-SA"/>
        </w:rPr>
        <w:t>  Closer to the Claim Area, a similar pattern of movement can be traced. The archaeology confirms that some of the large pit house villages along the Tsilhqox (Chilko River) and at the mouth of Tsilhqox Biny (Chilko Lake) are Plateau Pithouse Tradition (PPT) rather than Athapaskan in origin: Martin Magne and R.G. Matson, "Athapaskan and Earlier Archaeology at Big Eagle Lake, British Columbia" (University of British Columbia, Report to SSHRC, 1984).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633</w:t>
      </w:r>
      <w:r>
        <w:rPr>
          <w:rFonts w:ascii="arial" w:eastAsia="arial" w:hAnsi="arial" w:cs="arial"/>
          <w:color w:val="000000"/>
          <w:sz w:val="20"/>
          <w:lang w:val="en-US" w:eastAsia="en-US" w:bidi="ar-SA"/>
        </w:rPr>
        <w:t>  However, by the early nineteenth century, some of those pit houses were serving as Tsilhqot'in residential sites. Hudson's Bay Company employees and missionaries visited these pit house villages from the 1820's to the 1840's and observed Tsilhqot'in communities. Other smaller Tsilhqot'in encampments, such as those we find in places within Tachelach'ed, were spread out along lakes and creeks, temporarily housing extended families.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634</w:t>
      </w:r>
      <w:r>
        <w:rPr>
          <w:rFonts w:ascii="arial" w:eastAsia="arial" w:hAnsi="arial" w:cs="arial"/>
          <w:color w:val="000000"/>
          <w:sz w:val="20"/>
          <w:lang w:val="en-US" w:eastAsia="en-US" w:bidi="ar-SA"/>
        </w:rPr>
        <w:t>  By the latter half of the nineteenth century, the village sites on the Tsilhqox appear to have been abandoned as primary habitation sites. Colonial forces did not travel to these communities when searching for the perpetrators of the Waddington massacre in 1864. Similarly, Father Lejacq, who visited the Tsilhqot'in plateau in 1870, made the following report in a letter to Father Durieu dated June 7, 1870: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Les Chilcotins n'ont pas de villages proprement dit: Ils vivent par famille. Chaque famille a son fishing-ground, hunting-ground, son [...]-ground. Ils n'ont pas de places fixes. Ils errent d'une place à l'autre [...]. La plupart du temps ils ne se rencontrent que pour certaines grandes occasions: à la mort d'un grand personnage, à l'occasion d'un grand festin.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Chilcotin do not have a village as such. They are living by family, each family has its own </w:t>
      </w:r>
      <w:r>
        <w:rPr>
          <w:rFonts w:ascii="arial" w:eastAsia="arial" w:hAnsi="arial" w:cs="arial"/>
          <w:i/>
          <w:color w:val="000000"/>
          <w:sz w:val="20"/>
          <w:lang w:val="en-US" w:eastAsia="en-US" w:bidi="ar-SA"/>
        </w:rPr>
        <w:t>fishing ground, hunting ground</w:t>
      </w:r>
      <w:r>
        <w:rPr>
          <w:rFonts w:ascii="arial" w:eastAsia="arial" w:hAnsi="arial" w:cs="arial"/>
          <w:color w:val="000000"/>
          <w:sz w:val="20"/>
          <w:lang w:val="en-US" w:eastAsia="en-US" w:bidi="ar-SA"/>
        </w:rPr>
        <w:t xml:space="preserve">, its own </w:t>
      </w:r>
      <w:r>
        <w:rPr>
          <w:rFonts w:ascii="arial" w:eastAsia="arial" w:hAnsi="arial" w:cs="arial"/>
          <w:i/>
          <w:color w:val="000000"/>
          <w:sz w:val="20"/>
          <w:lang w:val="en-US" w:eastAsia="en-US" w:bidi="ar-SA"/>
        </w:rPr>
        <w:t>(illegible) - ground</w:t>
      </w:r>
      <w:r>
        <w:rPr>
          <w:rFonts w:ascii="arial" w:eastAsia="arial" w:hAnsi="arial" w:cs="arial"/>
          <w:color w:val="000000"/>
          <w:sz w:val="20"/>
          <w:lang w:val="en-US" w:eastAsia="en-US" w:bidi="ar-SA"/>
        </w:rPr>
        <w:t xml:space="preserve">. They do not have fixed places. They </w:t>
      </w:r>
      <w:r>
        <w:rPr>
          <w:rFonts w:ascii="arial" w:eastAsia="arial" w:hAnsi="arial" w:cs="arial"/>
          <w:i/>
          <w:color w:val="000000"/>
          <w:sz w:val="20"/>
          <w:lang w:val="en-US" w:eastAsia="en-US" w:bidi="ar-SA"/>
        </w:rPr>
        <w:t>(illegible)</w:t>
      </w:r>
      <w:r>
        <w:rPr>
          <w:rFonts w:ascii="arial" w:eastAsia="arial" w:hAnsi="arial" w:cs="arial"/>
          <w:color w:val="000000"/>
          <w:sz w:val="20"/>
          <w:lang w:val="en-US" w:eastAsia="en-US" w:bidi="ar-SA"/>
        </w:rPr>
        <w:t xml:space="preserve"> from one place to the next </w:t>
      </w:r>
      <w:r>
        <w:rPr>
          <w:rFonts w:ascii="arial" w:eastAsia="arial" w:hAnsi="arial" w:cs="arial"/>
          <w:i/>
          <w:color w:val="000000"/>
          <w:sz w:val="20"/>
          <w:lang w:val="en-US" w:eastAsia="en-US" w:bidi="ar-SA"/>
        </w:rPr>
        <w:t>(illegible)</w:t>
      </w:r>
      <w:r>
        <w:rPr>
          <w:rFonts w:ascii="arial" w:eastAsia="arial" w:hAnsi="arial" w:cs="arial"/>
          <w:color w:val="000000"/>
          <w:sz w:val="20"/>
          <w:lang w:val="en-US" w:eastAsia="en-US" w:bidi="ar-SA"/>
        </w:rPr>
        <w:t xml:space="preserve"> most of the time they do not gather together but for certain big occasions: at the visit of a great person, in the event of a big feast.]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635</w:t>
      </w:r>
      <w:r>
        <w:rPr>
          <w:rFonts w:ascii="arial" w:eastAsia="arial" w:hAnsi="arial" w:cs="arial"/>
          <w:color w:val="000000"/>
          <w:sz w:val="20"/>
          <w:lang w:val="en-US" w:eastAsia="en-US" w:bidi="ar-SA"/>
        </w:rPr>
        <w:t>  When A.W. Vowell attended to Tsilhqot'in reserves in 1899, the Tsilhqot'in people did not ask for the Tsilhqox corridor sites to be surveyed for reserve purposes. Lands were set aside in Xeni (Nemiah Valley) for a community whose fixed residence in the area had not been recorded by HBC traders or the later missionaries. I find this lack of documentary evidence is the result of the fact that none of the early visitors appear to have ventured into the area. Hewitt Bostock, a Member of Parliament for the federal riding of Yale Cariboo, wrote a letter to James A. Smart, Deputy Minister, Interior Department dated July 27, 1899 and set in motion the reserve identification process in the Xeni area. According to Bostock, Xeni was the refuge of "a number of Indians who have belonged to different tribes in that part of the country but who for one reason or another have left their own reservation or tribe and have gone to live in this valley".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636</w:t>
      </w:r>
      <w:r>
        <w:rPr>
          <w:rFonts w:ascii="arial" w:eastAsia="arial" w:hAnsi="arial" w:cs="arial"/>
          <w:color w:val="000000"/>
          <w:sz w:val="20"/>
          <w:lang w:val="en-US" w:eastAsia="en-US" w:bidi="ar-SA"/>
        </w:rPr>
        <w:t>  The reasons for these movements are complex and cannot be adequately understood on the evidence advanced in this case. Technological changes as a result of contact (including the availability of guns), the impact of the fur trade, the arrival of settlers and land pre-emption, the influence of colonial and church authorities, and large-scale demographic shifts, likely as a consequence of smallpox, all played their parts. The traditionally semi-nomadic lifestyle of Tsilhqot'in people, with its emphasis on mobility and seasonal exploitation of scarce resources, must also be taken into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637</w:t>
      </w:r>
      <w:r>
        <w:rPr>
          <w:rFonts w:ascii="arial" w:eastAsia="arial" w:hAnsi="arial" w:cs="arial"/>
          <w:color w:val="000000"/>
          <w:sz w:val="20"/>
          <w:lang w:val="en-US" w:eastAsia="en-US" w:bidi="ar-SA"/>
        </w:rPr>
        <w:t xml:space="preserve">  The deadly consequences of smallpox in the early 1860's resulted in major shifts among the Aboriginal populations of the interior of British Columbia. As already noted, in the case of some Tsilhqot'in people, this was a movement south and east to locations </w:t>
      </w:r>
      <w:r>
        <w:rPr>
          <w:rFonts w:ascii="arial" w:eastAsia="arial" w:hAnsi="arial" w:cs="arial"/>
          <w:i/>
          <w:color w:val="000000"/>
          <w:sz w:val="20"/>
          <w:lang w:val="en-US" w:eastAsia="en-US" w:bidi="ar-SA"/>
        </w:rPr>
        <w:t>already occupied</w:t>
      </w:r>
      <w:r>
        <w:rPr>
          <w:rFonts w:ascii="arial" w:eastAsia="arial" w:hAnsi="arial" w:cs="arial"/>
          <w:color w:val="000000"/>
          <w:sz w:val="20"/>
          <w:lang w:val="en-US" w:eastAsia="en-US" w:bidi="ar-SA"/>
        </w:rPr>
        <w:t xml:space="preserve"> by Tsilhqot'in people. The movement was largely a regrouping of families as a consequence of the massive number of deaths from smallpox. As evidenced by the records of the HBC, Tsilhqot'in people had already located themselves south and east of Nagwentl'un well before this migration.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638</w:t>
      </w:r>
      <w:r>
        <w:rPr>
          <w:rFonts w:ascii="arial" w:eastAsia="arial" w:hAnsi="arial" w:cs="arial"/>
          <w:color w:val="000000"/>
          <w:sz w:val="20"/>
          <w:lang w:val="en-US" w:eastAsia="en-US" w:bidi="ar-SA"/>
        </w:rPr>
        <w:t>  It was not only Tsilhqot'in people who suffered from the smallpox epidemic and the consequent loss of many lives. Their neighbours to the north - the Dakelh people, to the east - the Secwepemc people, and to the south - the Stl'atl'imx people, all endured the same fate. They too were on the move and some of the territories they vacated became occupied by Tsilhqot'in people. As I have already noted, the area around Fort Alexandria in the 1820's was Dakelh territory. The post-smallpox migration saw Tsilhqot'in people move into that area and today there is a Tsilhqot'in reserve in an area that does not appear to have been occupied by Tsilhqot'in people at the time of sovereignty assertion. Fort Alexandria falls outside the Claim Area and its occupation at the time of sovereignty is not in issue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639</w:t>
      </w:r>
      <w:r>
        <w:rPr>
          <w:rFonts w:ascii="arial" w:eastAsia="arial" w:hAnsi="arial" w:cs="arial"/>
          <w:color w:val="000000"/>
          <w:sz w:val="20"/>
          <w:lang w:val="en-US" w:eastAsia="en-US" w:bidi="ar-SA"/>
        </w:rPr>
        <w:t>  Perhaps the most important pieces of historical documentary evidence that show a Tsilhqot'in presence in and about the Claim Area arise from the establishment of Fort Chilcotin in the fall of 1829. As I have already noted, this HBC trading post was located west of Tsulyu Ts'ilhed (Bull Canyon, also known as Tobacco Jump) between the junctions of Tish Gulhdzinqox and the Chezqox with the Tsilhqox, approximately 15 km east of the northern boundary of the Claim Area at the apex of Tachelach'ed. It was in close proximity to the site of three present-day Tsilhqot'in Reserves: approximately 8 km from the Tletinqox-t'in (Anaham) Reserve on the north shore of the Chezqox; approximately 12 km from the Yunesit'in (Stone) Reserve on the south shore of the Chezqox; and, approximately 8 km from the Tsi Del Del Reserve (Redstone).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640</w:t>
      </w:r>
      <w:r>
        <w:rPr>
          <w:rFonts w:ascii="arial" w:eastAsia="arial" w:hAnsi="arial" w:cs="arial"/>
          <w:color w:val="000000"/>
          <w:sz w:val="20"/>
          <w:lang w:val="en-US" w:eastAsia="en-US" w:bidi="ar-SA"/>
        </w:rPr>
        <w:t>  The establishment of this trading location resulted from a business decision made by the HBC. It was preceded by eight years of trade with Tsilhqot'in people, the first recorded transaction taking place at Fort Alexandria in November 1821. I have no difficulty in concluding that there was a Tsilhqot'in occupation of the areas adjacent to and surrounding Fort Chilcotin. Had there been no Tsilhqot'in people present, Fort Chilcotin would not have been established. I note however that the site of Fort Chilcotin is not within the boundaries of the Claim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 Boundaries of the Claim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641</w:t>
      </w:r>
      <w:r>
        <w:rPr>
          <w:rFonts w:ascii="arial" w:eastAsia="arial" w:hAnsi="arial" w:cs="arial"/>
          <w:color w:val="000000"/>
          <w:sz w:val="20"/>
          <w:lang w:val="en-US" w:eastAsia="en-US" w:bidi="ar-SA"/>
        </w:rPr>
        <w:t>  On several occasions during the course of the trial I remarked that the boundaries of Tachelach'ed and the Trapline Territories were entirely artificial. Tachelach'ed is bounded east and west by two rivers, the Tsilhqox and the Dasiqox, and on the south by a boundary characterized by a difference of opinion even amongst the people who live there. No one would suggest that the resource harvesting activities of Tsilhqot'in people ever stopped at the rivers. Indeed, Tsilhqot'in people constructed bridges to allow regular crossings of the rivers. The Tsilhqox was the major salmon stream in the area and it is clear that both sides of the river were used by Tsilhqot'in people for fishing, hunting, berry picking, root gathering and for dwelling sites.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642</w:t>
      </w:r>
      <w:r>
        <w:rPr>
          <w:rFonts w:ascii="arial" w:eastAsia="arial" w:hAnsi="arial" w:cs="arial"/>
          <w:color w:val="000000"/>
          <w:sz w:val="20"/>
          <w:lang w:val="en-US" w:eastAsia="en-US" w:bidi="ar-SA"/>
        </w:rPr>
        <w:t>  The boundaries of the Trapline Territories are the result of a legislative scheme that did not exist at all until well into the twentieth century. Again, the activities of Tsilhqot'in people did not stop at these boundaries but moved across them as people gathered what was needed for survival.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643</w:t>
      </w:r>
      <w:r>
        <w:rPr>
          <w:rFonts w:ascii="arial" w:eastAsia="arial" w:hAnsi="arial" w:cs="arial"/>
          <w:color w:val="000000"/>
          <w:sz w:val="20"/>
          <w:lang w:val="en-US" w:eastAsia="en-US" w:bidi="ar-SA"/>
        </w:rPr>
        <w:t>  At the north end of Tsilhqox Biny, the eastern boundary of the Western Trapline and the western boundary of Tachelach'ed separate as they wind their way to the north. Between these two boundaries is a small piece of land, not included in the Claim Area. It is impossible to conclude anything other than that this small piece of land was occupied and used by Tsilhqot'in people to the same extent as the land to the east and west that is included in the Claim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644</w:t>
      </w:r>
      <w:r>
        <w:rPr>
          <w:rFonts w:ascii="arial" w:eastAsia="arial" w:hAnsi="arial" w:cs="arial"/>
          <w:color w:val="000000"/>
          <w:sz w:val="20"/>
          <w:lang w:val="en-US" w:eastAsia="en-US" w:bidi="ar-SA"/>
        </w:rPr>
        <w:t>  To the south, the separation of the eastern boundary of the Western Trapline Territory and the western boundary of the Eastern Trapline Territory create a similar situation. This land, which does not form part of the Claim Area, is much larger than the piece I referred to in the last paragraph. However, on the evidence I heard, it is equally difficult to conclude that this piece of land was not utilized to the same extent and for the same purposes as the land included in the Claim Area to the east and to the west.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645</w:t>
      </w:r>
      <w:r>
        <w:rPr>
          <w:rFonts w:ascii="arial" w:eastAsia="arial" w:hAnsi="arial" w:cs="arial"/>
          <w:color w:val="000000"/>
          <w:sz w:val="20"/>
          <w:lang w:val="en-US" w:eastAsia="en-US" w:bidi="ar-SA"/>
        </w:rPr>
        <w:t>  As the evidence unfolded it became apparent that in order to assert his claim, the plaintiff had to conform to the Eurocentric need to define boundaries. Traditional boundaries, surveyed with proper metes and bounds were not a possibility; some boundaries simply had to be found. The Trapline Territories provided convenient boundaries, even if they had little historical or anthropological relevance. They are, at least, relevant to the survival of a twentieth century Tsilhqot'in person. Tachelach'ed, on the eastern and western edges, provides natural geographic boundaries, rooted in oral traditions.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646</w:t>
      </w:r>
      <w:r>
        <w:rPr>
          <w:rFonts w:ascii="arial" w:eastAsia="arial" w:hAnsi="arial" w:cs="arial"/>
          <w:color w:val="000000"/>
          <w:sz w:val="20"/>
          <w:lang w:val="en-US" w:eastAsia="en-US" w:bidi="ar-SA"/>
        </w:rPr>
        <w:t>  It is important to consider the issue of boundaries from the Aboriginal perspective. In this case, that perspective emerges from an understanding of nomadic or semi-nomadic subsistence patterns. Dr. Brealey's report at p. 13, footnote 1, provides a helpful understanding of nomadism. He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While the term 'nomadism' generally implies a high degree of territorial mobility and little or no reliance on 'cultivation' in the Lockean sense, it does not mean 'haphazard' or 'unorganized'. Rather, nomadism is properly conceived as a 'way of living' in which individual or groups are occasionally compelled to alter movements on short notice when conditions demand it, but beyond that inhabit recognizable spaces, know where they can and or cannot go, and whose daily or seasonal patterns of land use tend to follow the same cyclical trajectories over time. Put alternately, nomadism is a form of territoriality ... that accommodates the need of kinship based societies having a relatively low level of technological 'development' and operating in physiographic or climatic environments that often yield their resources grudgingly.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647</w:t>
      </w:r>
      <w:r>
        <w:rPr>
          <w:rFonts w:ascii="arial" w:eastAsia="arial" w:hAnsi="arial" w:cs="arial"/>
          <w:color w:val="000000"/>
          <w:sz w:val="20"/>
          <w:lang w:val="en-US" w:eastAsia="en-US" w:bidi="ar-SA"/>
        </w:rPr>
        <w:t>  Tsilhqot'in society, as described to me by several elder witnesses, displayed a high degree of territorial mobility and, until the twentieth century, appeared to place little or no reliance on European style cultivation. The fixing of reserves and the pressure to raise cattle brought such a "cultivation" component to Tsilhqot'in nomadism. Tsilhqot'in nomadism, characterized by Dr. Brealey as "relatively nomadic" or "semi nomadic" was centralized within Tsilhqot'in traditional territory. Tsilhqot'in people tended to follow the same seasonal patterns in ways that accommodated their kinship based society. They were semi-nomadic in the sense that there was a collective regrouping in one location each year as a respite from the dark and cold of winter. Tsilhqot'in nomadism also allowed people to move at short notice in the case of a periodic failure of the salmon run. In these circumstances large numbers moved to the west to winter with their neighbours the Nuxalk people.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648</w:t>
      </w:r>
      <w:r>
        <w:rPr>
          <w:rFonts w:ascii="arial" w:eastAsia="arial" w:hAnsi="arial" w:cs="arial"/>
          <w:color w:val="000000"/>
          <w:sz w:val="20"/>
          <w:lang w:val="en-US" w:eastAsia="en-US" w:bidi="ar-SA"/>
        </w:rPr>
        <w:t>  In Tsilhqot'in semi-nomadic society there were no boundaries in the sense that a boundary is currently understood with reference to set metes and bounds. In his discussion of Tsilhqot'in boundaries on p. 6 of his report, Dr. Brealey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Reconstructing boundaries of oral, relatively nomadic, societies in a cartographic register is an exceedingly hazardous undertaking, and never the more so than in the Chilcotin country. To begin with, boundary construction in such societies is, by definition, rather more a 'social', than it is a 'geographical', exercise. In oral societies, boundaries are recognized, understood and validated not by maps and plans, but from 'inside the collective' - i.e. by where creation narratives fade, where genealogical linkages can no longer be traced, where place names are not recognizable, and where languages become unintelligible. Indigenous boundaries often do trace, in metes and bounds fashion, defined watersheds, creeks or lakes, but even then as much by 'coincidence' as design and the lesser the degree of physiographic relief the more 'fuzzy' boundaries tend to get. Further complicating matters in the Chilcotin country ... is the fact that until at least the late 19th century, European explorers, traders, missionaries and surveyors know almost nothing of the plateau country between the Fraser River and the coastal ranges, and south of Mackenzie's course along the Blackwater River. Finally, boundary reconstruction cannot be detached from the disruptions or dislocations engendered by a European presence more generally. In short, tracking Tsilhqot'in boundaries must grapple with the limited geographical knowledge often held by those who documented them, any changes induced by contact and colonization, and, especially, the mobile territorialities that characterized Athapaskan regional bands in the pre-contact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649</w:t>
      </w:r>
      <w:r>
        <w:rPr>
          <w:rFonts w:ascii="arial" w:eastAsia="arial" w:hAnsi="arial" w:cs="arial"/>
          <w:color w:val="000000"/>
          <w:sz w:val="20"/>
          <w:lang w:val="en-US" w:eastAsia="en-US" w:bidi="ar-SA"/>
        </w:rPr>
        <w:t>  In hindsight, I fully understand the need to postulate artificial boundaries. There is a contemporary societal demand for limits, even if those limits, measured against the whole, are entirely arbitrary. Boundary construction in Tsilhqot'in society was a social exercise. Their boundaries were and continue to be "recognized, understood and validated not by maps and plans, but from 'inside the collective".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 SUMMARY OF EVIDENCE - OCCUPATION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650</w:t>
      </w:r>
      <w:r>
        <w:rPr>
          <w:rFonts w:ascii="arial" w:eastAsia="arial" w:hAnsi="arial" w:cs="arial"/>
          <w:color w:val="000000"/>
          <w:sz w:val="20"/>
          <w:lang w:val="en-US" w:eastAsia="en-US" w:bidi="ar-SA"/>
        </w:rPr>
        <w:t>  I turn now to consider the issue of Tsilhqot'in occupation of the Claim Area at the time of sovereignty assertion viewed, as best I can, with an awareness of the Tsilhqot'in perspective. What follows is a summary of evidence prepared, for the most part, from the arguments of counsel. I am indebted to counsel for their work in marshalling the evidence for my assistance. At this point, a reference to Appendix A, Map 3, would be of assistance to the reader.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651</w:t>
      </w:r>
      <w:r>
        <w:rPr>
          <w:rFonts w:ascii="arial" w:eastAsia="arial" w:hAnsi="arial" w:cs="arial"/>
          <w:color w:val="000000"/>
          <w:sz w:val="20"/>
          <w:lang w:val="en-US" w:eastAsia="en-US" w:bidi="ar-SA"/>
        </w:rPr>
        <w:t>  My consideration of the evidence is over a period of time extending from pre-sovereignty assertion into the period post-sovereignty assertion. It is evident that the presence of Tsilhqot'in people in the Claim Area has been uninterrupted and continuous throughout and up to the present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652</w:t>
      </w:r>
      <w:r>
        <w:rPr>
          <w:rFonts w:ascii="arial" w:eastAsia="arial" w:hAnsi="arial" w:cs="arial"/>
          <w:color w:val="000000"/>
          <w:sz w:val="20"/>
          <w:lang w:val="en-US" w:eastAsia="en-US" w:bidi="ar-SA"/>
        </w:rPr>
        <w:t>  Marcus Smith, in his November 29, 1872 report to the Honourable George Walkem said in part,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the northwest side of Tatla Lake - and near midway of its length - which is about 20 miles - are the headquarters of Keogh, the Chief of the Stone Indians residing on the margin of the string of lakes and swamps from Tatla to Bluff and Middle lakes and down the Homathco river - They have also stations by the lakes in the mountains from Tatla to the headwaters of the Chilco River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Above the mouth of the Chilco river if any white settler were sanguine enough to endeavour to make a living at so great a distance from any road - I do not think it would be safe for him to do so until the Indians are consulted and some lands reserved for them - for the good lands above this point are so mixed up with Indian hunting grounds that it would scarcely be possible to avoid a collision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 Oral Traditions: Legends and Landmarks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653</w:t>
      </w:r>
      <w:r>
        <w:rPr>
          <w:rFonts w:ascii="arial" w:eastAsia="arial" w:hAnsi="arial" w:cs="arial"/>
          <w:color w:val="000000"/>
          <w:sz w:val="20"/>
          <w:lang w:val="en-US" w:eastAsia="en-US" w:bidi="ar-SA"/>
        </w:rPr>
        <w:t>  Numerous geographic landmarks play a prominent part in the stories and legends of Tsilhqot'in people.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654</w:t>
      </w:r>
      <w:r>
        <w:rPr>
          <w:rFonts w:ascii="arial" w:eastAsia="arial" w:hAnsi="arial" w:cs="arial"/>
          <w:color w:val="000000"/>
          <w:sz w:val="20"/>
          <w:lang w:val="en-US" w:eastAsia="en-US" w:bidi="ar-SA"/>
        </w:rPr>
        <w:t xml:space="preserve">  The legend of Lhin Desch'osh is a Tsilhqot'in creation story. It is central to understanding of some of the Claim Area's geographic features. The legend was told to the court by several Tsilhqot'in witnesses. No single witness was able to recount it with the detail that is found in the story recorded by Livingston Farrand during a visit to the Tsilhqot'in territory in 1897: see Farrand, "Traditions of the Chilcotin Indians" in </w:t>
      </w:r>
      <w:r>
        <w:rPr>
          <w:rFonts w:ascii="arial" w:eastAsia="arial" w:hAnsi="arial" w:cs="arial"/>
          <w:i/>
          <w:color w:val="000000"/>
          <w:sz w:val="20"/>
          <w:lang w:val="en-US" w:eastAsia="en-US" w:bidi="ar-SA"/>
        </w:rPr>
        <w:t>The Jesup North Pacific Expedition</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655</w:t>
      </w:r>
      <w:r>
        <w:rPr>
          <w:rFonts w:ascii="arial" w:eastAsia="arial" w:hAnsi="arial" w:cs="arial"/>
          <w:color w:val="000000"/>
          <w:sz w:val="20"/>
          <w:lang w:val="en-US" w:eastAsia="en-US" w:bidi="ar-SA"/>
        </w:rPr>
        <w:t>  Lhin Desch'osh was recorded by Farrand as "Lendix'tcux". In this legend Lhin Desch'osh, a mythical person who is half man and half dog, together with his sons decided to leave a Tsilhqot'in village and "go and visit the Chilcotin country": Farrand, p. 10. The mother did not want her sons to make the visit. Eventually she consented but "taught the boys all the things they would need to know on their journey" because in those times, "all the animals used to kill men ... and she taught the boys how they could get the better of the animals, and make them harmless": Farrand, p. 10. During their wanderings, they came to Tsilhqox Biny, the dominant water body of the Claim Area. While there, they saw "a great beaver dam", the resident of which pulled Lhin Desch'osh under water and swallowed him. The boys searched for their father and followed the Tsilhqox as far as Gwetsilh (Siwash Bridge). This is a course which defines the western boundary of Tachelach'ed. This legend's status as a creation story was developed further by Tsilhqot'in witnesses who testified that the boys, in looking for their father, actually created the rivers by kicking or digging up the earth. In the words of Doris Lulua: "They were kicking up the earth, and it turned into a river, making all the rivers around this area. They made Chilko River and all the small creeks."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656</w:t>
      </w:r>
      <w:r>
        <w:rPr>
          <w:rFonts w:ascii="arial" w:eastAsia="arial" w:hAnsi="arial" w:cs="arial"/>
          <w:color w:val="000000"/>
          <w:sz w:val="20"/>
          <w:lang w:val="en-US" w:eastAsia="en-US" w:bidi="ar-SA"/>
        </w:rPr>
        <w:t>  After backtracking up the Tsilhqox from Gwetsilh, Farrand recorded Lhin Desch'osh's boys searched for him "up the Whitewater" River (Dasiqox) to "its head" (Nadilin Yex), where they eventually found him: Farrand, p. 13. Oral tradition related by the witness Patricia Guichon confirms this part of the legend. Their course traces the eastern boundary of Tachelach'ed and the northwestern portion of the Eastern Trapline boundary. A small portion of the Dasiqox is not included in the Claim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657</w:t>
      </w:r>
      <w:r>
        <w:rPr>
          <w:rFonts w:ascii="arial" w:eastAsia="arial" w:hAnsi="arial" w:cs="arial"/>
          <w:color w:val="000000"/>
          <w:sz w:val="20"/>
          <w:lang w:val="en-US" w:eastAsia="en-US" w:bidi="ar-SA"/>
        </w:rPr>
        <w:t>  According to Farrand at p. 14, Lhin Desch'osh and his sons then returned down the Whitewater River (Dasiqox). Thereafter they transmogrified, turning into several stones at the location where a mythical chipmunk escaped their attempt to catch it. This place, known to Tsilhqot'in people as Lhin Desch'osh, is located near Tsulyu Ts'ilhed (Bull Canyon, also known as Tobacco Jump) on the plateau just north of Tachelach'ed. Doris Lulua testified this event of transmogrification occurred when they were "almost home to Chilko Lake."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658</w:t>
      </w:r>
      <w:r>
        <w:rPr>
          <w:rFonts w:ascii="arial" w:eastAsia="arial" w:hAnsi="arial" w:cs="arial"/>
          <w:color w:val="000000"/>
          <w:sz w:val="20"/>
          <w:lang w:val="en-US" w:eastAsia="en-US" w:bidi="ar-SA"/>
        </w:rPr>
        <w:t>  Farrand's record of the Tsilhqot'in legend of Lhin Desch'osh closes at p. 14 by noting that "[b]efore turning into stone, they made Indian potatoes, and scattered them all about on the snow mountains." The oral tradition evidence of Patricia Guichon and Elizabeth Jeff confirms Lhin Desch'osh was the source of sunt'iny (mountain potatoes). The Dzelh Ch'ed (Snow Mountain) identified by Tsilhqot'in witnesses as having sunt'iny include those above Tsi Tese?an (Tchaikazan Valley), Yuhitah (Yohetta Valley) and Tl' ech' id Gunaz (Long Valley). All of those locations are directly south of Tachelach'ed and are partially in the Western Trapline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659</w:t>
      </w:r>
      <w:r>
        <w:rPr>
          <w:rFonts w:ascii="arial" w:eastAsia="arial" w:hAnsi="arial" w:cs="arial"/>
          <w:color w:val="000000"/>
          <w:sz w:val="20"/>
          <w:lang w:val="en-US" w:eastAsia="en-US" w:bidi="ar-SA"/>
        </w:rPr>
        <w:t>  Another important Tsilhqot'in legend is that of Ts'il?os and ?Eniyud. Ts'il?os (Mount Tatlow) towering over 10,000 feet is the dominant mountain in the Claim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660</w:t>
      </w:r>
      <w:r>
        <w:rPr>
          <w:rFonts w:ascii="arial" w:eastAsia="arial" w:hAnsi="arial" w:cs="arial"/>
          <w:color w:val="000000"/>
          <w:sz w:val="20"/>
          <w:lang w:val="en-US" w:eastAsia="en-US" w:bidi="ar-SA"/>
        </w:rPr>
        <w:t>  In the times of the ?Esggidam (ancestors), Ts'il?os and ?Eniyud were married and lived with their family in the mountainous area around Xeni. When Ts'il?os and ?Eniyud decided to separate, each took children with them. Shortly after separation, ?Eniyud, Ts'il?os and the children transmogrified into mountain formations. Ts'il?os now presides over the Claim Area. ?Eniyud travelled northwest to the area around Naghatalhchoz Biny (Big Eagle Lake) just prior to the transmogrification. She is now known as ?Eniyud Dzelh. Both are charged with the responsibility of protecting and watching over Tsilhqot'in people forever.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661</w:t>
      </w:r>
      <w:r>
        <w:rPr>
          <w:rFonts w:ascii="arial" w:eastAsia="arial" w:hAnsi="arial" w:cs="arial"/>
          <w:color w:val="000000"/>
          <w:sz w:val="20"/>
          <w:lang w:val="en-US" w:eastAsia="en-US" w:bidi="ar-SA"/>
        </w:rPr>
        <w:t>  According to oral tradition, as ?Eniyud wandered about, she sculpted the land to create Xeni and Ts'uni?ad (Tsuniah Valley). Above these valleys sit the lesser snow mountains of Xeni Dzelh (Konni Mountain), Gweq'ez Dzelh (Mount Nemaih) and Ts'uni?ad Dzelh (Tsuniah Mountain).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662</w:t>
      </w:r>
      <w:r>
        <w:rPr>
          <w:rFonts w:ascii="arial" w:eastAsia="arial" w:hAnsi="arial" w:cs="arial"/>
          <w:color w:val="000000"/>
          <w:sz w:val="20"/>
          <w:lang w:val="en-US" w:eastAsia="en-US" w:bidi="ar-SA"/>
        </w:rPr>
        <w:t>  Tsilhqot'in oral tradition explains that ?Eniyud left Ts'il?os in the mountains around Xenedi?an where sunt'iny and ?esghunsh (yellow avalanche lily/bear tooth) grow. ?Eniyud seeded various other areas with these root vegetables in the course of her journey before she transmogrified into ?Eniyud Dzelh. She seeded the sunt'iny areas of ?Esqi Dzul Tese?an, ?Esgany ?Anx, Gughay Ch'ech'ed and Tl'egwezbens above Xeni. Upon arriving in the area of Naghatalhchoz Biny where her childhood family continued to reside, ?Eniyud seeded Tsimol Ch'ed (Potato Mountain).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663</w:t>
      </w:r>
      <w:r>
        <w:rPr>
          <w:rFonts w:ascii="arial" w:eastAsia="arial" w:hAnsi="arial" w:cs="arial"/>
          <w:color w:val="000000"/>
          <w:sz w:val="20"/>
          <w:lang w:val="en-US" w:eastAsia="en-US" w:bidi="ar-SA"/>
        </w:rPr>
        <w:t>  Various Tsilhqot'in witnesses recounted the legend of Salmon Boy. Farrand recorded it as well at pp. 24-26. In this story, a group of Tsilhqot'in boys were playing on the banks of the Tsilhqox near Henry's Crossing. One boy jumped on a piece of ice floating down the river and rode it all the way to the distant ocean. The legend instructs the listener that this is where the salmon come from, and where they are to be found spawning in Tsilhqot'in country. In the words of Minnie Charleyboy, "if [our ancestors] did not teach you the story, you wouldn't know where the fish came from". The Tsilhqot'in boy is transmogrified into a salmon and swims with the many other salmon on the long journey to the spawning grounds on the Tsilhqox. Approaching their spawning beds near the mouth of Tsilhqox Biny, the salmon are guided by Tizlin Dzelh (Tullin Mountain). A Tsilhqot'in family catches Salmon Boy. He then transforms back into his human form and reveals he is their lost son. The Tsilhqox forms part of the western boundary of Tachelach'ed and Tizlin Dzelh is within the Claim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664</w:t>
      </w:r>
      <w:r>
        <w:rPr>
          <w:rFonts w:ascii="arial" w:eastAsia="arial" w:hAnsi="arial" w:cs="arial"/>
          <w:color w:val="000000"/>
          <w:sz w:val="20"/>
          <w:lang w:val="en-US" w:eastAsia="en-US" w:bidi="ar-SA"/>
        </w:rPr>
        <w:t>  Farrand's accounts identify other Tsilhqot'in landmarks. Tatl'ah Biny (Tatla Lake), lying to the northwest of the Western Trapline is the location of the legend, The Man and Three Wolves. That lake is also featured in the legend of Bird Pulled Under Water to Catch Fish as told by elder Elizabeth Jeff and reported by Robert Lane in 1953. Francis Setah, Minnie Charleyboy and Elizabeth Jeff told the legend of Guli (skunk). This was named The Adventures of Two Sisters by Farrand. The story describes the location of a slide area where the mountain was broken up by Guli. The mountain is called Ts'uni?ad Dzelh, the slide area is called Guli Dzelh ?Elhghenbedaghilhdenz or Sa Ten (the place where skunk blew out the mountain). These areas are all within the Claim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665</w:t>
      </w:r>
      <w:r>
        <w:rPr>
          <w:rFonts w:ascii="arial" w:eastAsia="arial" w:hAnsi="arial" w:cs="arial"/>
          <w:color w:val="000000"/>
          <w:sz w:val="20"/>
          <w:lang w:val="en-US" w:eastAsia="en-US" w:bidi="ar-SA"/>
        </w:rPr>
        <w:t>  I acknowledge that many of the legends that form the oral traditions of Tsilhqot'in people are not unique. Many legends are found in the oral traditions of other Aboriginal people. The names of the geographic locations are adapted to their particular circumstances. The fact that others have similar oral traditions does not reduce the cultural significance of Tsilhqot'in oral traditions to Tsilhqot'in people. I conclude that the references to lakes, rivers and other landmarks formed a part of these legends for Tsilhqot'in people at the time of sovereignty assertion.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666</w:t>
      </w:r>
      <w:r>
        <w:rPr>
          <w:rFonts w:ascii="arial" w:eastAsia="arial" w:hAnsi="arial" w:cs="arial"/>
          <w:color w:val="000000"/>
          <w:sz w:val="20"/>
          <w:lang w:val="en-US" w:eastAsia="en-US" w:bidi="ar-SA"/>
        </w:rPr>
        <w:t>  For Tsilhqot'in people, Lhin Desch'osh is an account of both their origins as a people and of their homeland. Tsilhqot'in witnesses variously stated the purpose of Lhin Desch'osh and his sons' mission was to "fix the land", "make the land better" and to "make Tsilhqot'in land safe for humans". Lhin Desch'osh also explains the origins of sunt'iny in the Dzelh Ch'ed.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667</w:t>
      </w:r>
      <w:r>
        <w:rPr>
          <w:rFonts w:ascii="arial" w:eastAsia="arial" w:hAnsi="arial" w:cs="arial"/>
          <w:color w:val="000000"/>
          <w:sz w:val="20"/>
          <w:lang w:val="en-US" w:eastAsia="en-US" w:bidi="ar-SA"/>
        </w:rPr>
        <w:t>  Ts'il?os and ?Eniyud as well as Guli, explain the origins of key mountains, valleys and geographic landmarks in the transitional mountain-plateau zone on the perimeter of the Dzelh Ch'ed (Snow Mountains) at the plateau. Their legend also explains the dispersal of sunt'iny as an important food resource.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668</w:t>
      </w:r>
      <w:r>
        <w:rPr>
          <w:rFonts w:ascii="arial" w:eastAsia="arial" w:hAnsi="arial" w:cs="arial"/>
          <w:color w:val="000000"/>
          <w:sz w:val="20"/>
          <w:lang w:val="en-US" w:eastAsia="en-US" w:bidi="ar-SA"/>
        </w:rPr>
        <w:t>  Salmon Boy explains the origins of the salmon that return annually to the Tsilhqox. These legends also instruct Tsilhqot'in people on the legendary means of root extraction and recovery using root digging sticks. For Chief William, the legends reveal how one is to become a "Tsilhqot'in person"; they are "what we live by" and provide an understanding of Tsilhqot'in land. For Minnie Charleyboy, "the legends were told to you is so you learned how our ancestors live and you also survive by the stories and that's how you - we survived".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669</w:t>
      </w:r>
      <w:r>
        <w:rPr>
          <w:rFonts w:ascii="arial" w:eastAsia="arial" w:hAnsi="arial" w:cs="arial"/>
          <w:color w:val="000000"/>
          <w:sz w:val="20"/>
          <w:lang w:val="en-US" w:eastAsia="en-US" w:bidi="ar-SA"/>
        </w:rPr>
        <w:t>  Ts'il?os and ?Eniyud explain the Dechen Ts'edilhtan (the law) against separation. Consequences include ba ts'egudah (bad luck; negatively affecting one's future). In the case of Ts'il?os and ?Eniyud, they were transmogrified into mountains. Even now, it is considered improper behavior to point at either peak. To do so will bring ba ts'egudah, often in the form of foul weather. Ts'il?os and ?Eniyud are persons to be respected. Tsilhqot'in people are taught that they are charged with the responsibility of respecting all of the land, no less than these two mountain peaks.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670</w:t>
      </w:r>
      <w:r>
        <w:rPr>
          <w:rFonts w:ascii="arial" w:eastAsia="arial" w:hAnsi="arial" w:cs="arial"/>
          <w:color w:val="000000"/>
          <w:sz w:val="20"/>
          <w:lang w:val="en-US" w:eastAsia="en-US" w:bidi="ar-SA"/>
        </w:rPr>
        <w:t>  Lhin Desch'osh and his sons were turned to stone because they neglected to ask all the necessary questions before starting on their journey. As a result, they were unable to complete the task they had been entrusted with, namely, changing all the animals into ones that would not harm humans. They did not completely fix Tsilhqot'in country and thus the ses (bear), for example, remains a lethal threat to Tsilhqot'in people. Lhin Desch'osh also instructs that twins are powerful, and have special responsibilities to fix and maintain the 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671</w:t>
      </w:r>
      <w:r>
        <w:rPr>
          <w:rFonts w:ascii="arial" w:eastAsia="arial" w:hAnsi="arial" w:cs="arial"/>
          <w:color w:val="000000"/>
          <w:sz w:val="20"/>
          <w:lang w:val="en-US" w:eastAsia="en-US" w:bidi="ar-SA"/>
        </w:rPr>
        <w:t>  This is not intended to be a complete review of all oral traditions relating to the Claim Area. It should also be noted that the teller of these oral traditions does not, as a matter of routine, offer an explanation of the meaning of any particular legend. The listener is left to distil and then apply the meaning to their own life. This is a lifelong process and is enhanced by maturity and reflection on one's various life experiences.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 Time Depth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672</w:t>
      </w:r>
      <w:r>
        <w:rPr>
          <w:rFonts w:ascii="arial" w:eastAsia="arial" w:hAnsi="arial" w:cs="arial"/>
          <w:color w:val="000000"/>
          <w:sz w:val="20"/>
          <w:lang w:val="en-US" w:eastAsia="en-US" w:bidi="ar-SA"/>
        </w:rPr>
        <w:t>  The abundance of Tsilhqot'in place names in and about the Claim Area is an important consideration in determining the time depth of occupation. Archaeologist Morley Eldridge testified that "[p]lace names, by their nature, tend to be relatively stable". He provided the example that on the British Columbia coast there are Salishan place names in areas that have been Kwakiutl for the past 150 to 200 years. Coast Salish languages are part of the Salishan language family. Coast Salish territory includes the coastal areas surrounding Georgia Strait and Puget Sound. Kwakiutl is a different group of First Nations people located in areas of Central and Northern Vancouver Island, Queen Charlotte Strait and Johnstone Strait. These are people who do not speak Salishan. In short, there is some longevity in place names.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673</w:t>
      </w:r>
      <w:r>
        <w:rPr>
          <w:rFonts w:ascii="arial" w:eastAsia="arial" w:hAnsi="arial" w:cs="arial"/>
          <w:color w:val="000000"/>
          <w:sz w:val="20"/>
          <w:lang w:val="en-US" w:eastAsia="en-US" w:bidi="ar-SA"/>
        </w:rPr>
        <w:t>  In the central region of British Columbia in which the Claim Area is located, there is an abundance of place names that were anglicized upon the arrival of the European fur traders and settlers. Some examples include Tsilhqox (Chilko River and Lake), Chuzquox (Chilcotin River), Dasiqox (Taseko River), Yuhitah (Yohetta Valley and Lake), Ts'uni?ad Biny (Tsuniah Lake), noted by early Europeans as "Sooneat L., Talhiqox Biny (Tatlayoko Lake), Tatl'ah Biny (Tatla Lake) and Bendzi Biny (Puntzi Lake), first recorded as Benzhee or Puntseen L. Of central significance is the entire Tsilhqot'in (Chilcotin) plateau.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674</w:t>
      </w:r>
      <w:r>
        <w:rPr>
          <w:rFonts w:ascii="arial" w:eastAsia="arial" w:hAnsi="arial" w:cs="arial"/>
          <w:color w:val="000000"/>
          <w:sz w:val="20"/>
          <w:lang w:val="en-US" w:eastAsia="en-US" w:bidi="ar-SA"/>
        </w:rPr>
        <w:t>  Tsilhqot'in place names in and about the Claim Area include prominent mountain peaks, prime resource areas, archaeological sites, sites that related to specific oral traditions and sites that are otherwise significant for Tsilhqot'in people. I accept the evidence of both Eldridge and Dr. Dinwoodie when they say that these place names indicate Tsilhqot'in people have been in the area for a very lengthy period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675</w:t>
      </w:r>
      <w:r>
        <w:rPr>
          <w:rFonts w:ascii="arial" w:eastAsia="arial" w:hAnsi="arial" w:cs="arial"/>
          <w:color w:val="000000"/>
          <w:sz w:val="20"/>
          <w:lang w:val="en-US" w:eastAsia="en-US" w:bidi="ar-SA"/>
        </w:rPr>
        <w:t xml:space="preserve">  Dr. Nancy J. Turner, a distinguished ethnobotanist and ethnoecologist, provided evidence on the time depth of the presence of Tsilhqot'in people in the Claim Area. Her evidence was the subject of several objections raised by counsel and dealt with by the Court: </w:t>
      </w:r>
      <w:r>
        <w:rPr>
          <w:rFonts w:ascii="arial" w:eastAsia="arial" w:hAnsi="arial" w:cs="arial"/>
          <w:b/>
          <w:i/>
          <w:color w:val="000000"/>
          <w:sz w:val="20"/>
          <w:lang w:val="en-US" w:eastAsia="en-US" w:bidi="ar-SA"/>
        </w:rPr>
        <w:t>William v. British Columbia</w:t>
      </w:r>
      <w:r>
        <w:rPr>
          <w:rFonts w:ascii="arial" w:eastAsia="arial" w:hAnsi="arial" w:cs="arial"/>
          <w:color w:val="000000"/>
          <w:sz w:val="20"/>
          <w:lang w:val="en-US" w:eastAsia="en-US" w:bidi="ar-SA"/>
        </w:rPr>
        <w:t xml:space="preserve">, </w:t>
      </w:r>
      <w:hyperlink r:id="rId694" w:history="1">
        <w:r>
          <w:rPr>
            <w:rFonts w:ascii="arial" w:eastAsia="arial" w:hAnsi="arial" w:cs="arial"/>
            <w:i/>
            <w:color w:val="0077CC"/>
            <w:sz w:val="20"/>
            <w:u w:val="single"/>
            <w:shd w:val="clear" w:color="auto" w:fill="FFFFFF"/>
            <w:lang w:val="en-US" w:eastAsia="en-US" w:bidi="ar-SA"/>
          </w:rPr>
          <w:t>2005 BCSC 131</w:t>
        </w:r>
      </w:hyperlink>
      <w:r>
        <w:rPr>
          <w:rFonts w:ascii="arial" w:eastAsia="arial" w:hAnsi="arial" w:cs="arial"/>
          <w:color w:val="000000"/>
          <w:sz w:val="20"/>
          <w:lang w:val="en-US" w:eastAsia="en-US" w:bidi="ar-SA"/>
        </w:rPr>
        <w:t>. I concluded that Dr. Turner was entitled to express opinions as an expert in ethnoecology and ethnobotany. She was qualified to express opinions on a range of subjects related to her expertise, including timelines for the acquisition of ecological knowledge.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676</w:t>
      </w:r>
      <w:r>
        <w:rPr>
          <w:rFonts w:ascii="arial" w:eastAsia="arial" w:hAnsi="arial" w:cs="arial"/>
          <w:color w:val="000000"/>
          <w:sz w:val="20"/>
          <w:lang w:val="en-US" w:eastAsia="en-US" w:bidi="ar-SA"/>
        </w:rPr>
        <w:t>  Dr. Turner expressed the opinion that when people first move to an area they are unfamiliar with the local resources. It takes time and observation at a particular location to gather practical knowledge about how to harvest the resources and how to conserve and maintain the resource for future use. Dr. Turner testified that it takes: "a lot of time, generations of teaching and observation, to build up a really complex system of knowledge that leads to sustainable use of people's environment." Tsilhqot'in people have names and uses for numerous plants found in the Claim Area. They have managed and harvested those plants for generations. In Dr. Turner's opinion, it would not have been possible for Tsilhqot'in people to have acquired this knowledge and developed this connection to the plant resources in their territory within the last 150 years. Based on the names of plants and the knowledge of their uses, she concluded Tsilhqot'in people had been resident in the Claim Area for at least 250 to 300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677</w:t>
      </w:r>
      <w:r>
        <w:rPr>
          <w:rFonts w:ascii="arial" w:eastAsia="arial" w:hAnsi="arial" w:cs="arial"/>
          <w:color w:val="000000"/>
          <w:sz w:val="20"/>
          <w:lang w:val="en-US" w:eastAsia="en-US" w:bidi="ar-SA"/>
        </w:rPr>
        <w:t>  Dr. Turner was cross-examined extensively in this area. I have no difficultly in accepting the opinions she expressed. I conclude that Tsilhqot'in people have been present in the Claim Area for over 250 years based on the length of time required to develop the names and knowledge of the Claim Area plants used for food and medicine.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678</w:t>
      </w:r>
      <w:r>
        <w:rPr>
          <w:rFonts w:ascii="arial" w:eastAsia="arial" w:hAnsi="arial" w:cs="arial"/>
          <w:color w:val="000000"/>
          <w:sz w:val="20"/>
          <w:lang w:val="en-US" w:eastAsia="en-US" w:bidi="ar-SA"/>
        </w:rPr>
        <w:t>  In accepting this opinion, I am mindful of Dr. von Gernet's view of Dr. Turner's conclusions. He is critical of her methodology. I appreciate that Dr. Turner was in "uncharted territory". Her opinions were another piece of the puzzle tying together the archaeology, anthropology, cartology and history of the Claim Area to be considered along with the evidence of oral history and oral traditions.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 Trails, Hunting, Fishing and Trapping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679</w:t>
      </w:r>
      <w:r>
        <w:rPr>
          <w:rFonts w:ascii="arial" w:eastAsia="arial" w:hAnsi="arial" w:cs="arial"/>
          <w:color w:val="000000"/>
          <w:sz w:val="20"/>
          <w:lang w:val="en-US" w:eastAsia="en-US" w:bidi="ar-SA"/>
        </w:rPr>
        <w:t>  There was and is an extensive network of Tsilhqot'in trails in the Claim Area. Dr. Brealey used evidence from the historical record to map the transportation trails throughout the Claim Area and beyond. I accept Dr. Brealey's evidence that the rivers, trails, routes, creeks and portages have been used by Tsilhqot'in people since pre-contact times. Cultural anthropologist, John Dewhirst also concluded that a Tsilhqot'in trail network was well established by 1864 and had been used by Tsilhqot'in people prior to 1846, the date of sovereignty assertion. I conclude that prior to contact and at the time of sovereignty assertion there was an extensive network of trails forged and used by Tsilhqot'in people within and adjacent to the Claim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680</w:t>
      </w:r>
      <w:r>
        <w:rPr>
          <w:rFonts w:ascii="arial" w:eastAsia="arial" w:hAnsi="arial" w:cs="arial"/>
          <w:color w:val="000000"/>
          <w:sz w:val="20"/>
          <w:lang w:val="en-US" w:eastAsia="en-US" w:bidi="ar-SA"/>
        </w:rPr>
        <w:t>  One obvious use of this trail network is to assist with hunting, fishing, trapping and resource gathering. In its written argument, the Province submits: "British Columbia does not contest the plaintiff's claim on behalf of the Xeni Gwet'in of an Aboriginal right to hunt and trap birds and animals throughout the Claim Area for the purposes of securing food, clothing, shelter, mats, blankets and crafts, as well as for spiritual, ceremonial, and cultural uses." Similarly, in its written argument, "Canada does not contest the plaintiff's claim to an aboriginal right to hunt and trap for domestic purposes throughout the Claim Area." Canada submits that the plaintiff's claim is "weaker in certain specified portions of the Claim Area". I take what Canada says as a reluctant concession. However reluctant, it must have some meaning.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681</w:t>
      </w:r>
      <w:r>
        <w:rPr>
          <w:rFonts w:ascii="arial" w:eastAsia="arial" w:hAnsi="arial" w:cs="arial"/>
          <w:color w:val="000000"/>
          <w:sz w:val="20"/>
          <w:lang w:val="en-US" w:eastAsia="en-US" w:bidi="ar-SA"/>
        </w:rPr>
        <w:t>  Attached to these concessions is the implicit acknowledgement of Tsilhqot'in occupation of the Claim Area at the date of first contact, despite disagreement as to what that date might be and despite arguments as to the precise location of Long Lake. I find that the date of first contact in this case pre-dates sovereignty assertion. Therefore, it follows that these concessions on Aboriginal rights are an acknowledgment that Tsilhqot'in people occupied the Claim Area at the time of sovereignty assertion and before. I find that Tsilhqot'in people, some of whom were the forefathers of the group of people who today call themselves the Xeni Gwet'in, were present in the Claim Area at the time of first contact and at the time of sovereignty assertion.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 Regular Use of Definite Tracts of 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682</w:t>
      </w:r>
      <w:r>
        <w:rPr>
          <w:rFonts w:ascii="arial" w:eastAsia="arial" w:hAnsi="arial" w:cs="arial"/>
          <w:color w:val="000000"/>
          <w:sz w:val="20"/>
          <w:lang w:val="en-US" w:eastAsia="en-US" w:bidi="ar-SA"/>
        </w:rPr>
        <w:t xml:space="preserve">  It is the nature and extent of this occupation that presents the next challenge. As was reiterated in para. 73 of </w:t>
      </w:r>
      <w:r>
        <w:rPr>
          <w:rFonts w:ascii="arial" w:eastAsia="arial" w:hAnsi="arial" w:cs="arial"/>
          <w:b/>
          <w:i/>
          <w:color w:val="000000"/>
          <w:sz w:val="20"/>
          <w:lang w:val="en-US" w:eastAsia="en-US" w:bidi="ar-SA"/>
        </w:rPr>
        <w:t>Marshall; Bernard</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line separating sufficient and insufficient occupancy for title is between irregular use of undefined lands on the one hand and regular use of defined lands on the other. "Settlements constitute regular use of defined lands, but they are only one instance of it" Permanent village sites, cultivated fields and other lands showing visible signs of an investment of labour would satisfy this test for Aboriginal title.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683</w:t>
      </w:r>
      <w:r>
        <w:rPr>
          <w:rFonts w:ascii="arial" w:eastAsia="arial" w:hAnsi="arial" w:cs="arial"/>
          <w:color w:val="000000"/>
          <w:sz w:val="20"/>
          <w:lang w:val="en-US" w:eastAsia="en-US" w:bidi="ar-SA"/>
        </w:rPr>
        <w:t>  There do not appear to be village sites that were occupied year round by Tsilhqot'in people. At the time of sovereignty assertion, Tsilhqot'in people had no cultivated fields or other lands showing visible signs of an investment of labour. The fields they relied upon were not cultivated in the usual sense. However in Dr. Turner's opinion the mountain slopes that provided the berries and root plants showed evidence of many generations of plant harvesting and management. These slopes have sustained Tsilhqot'in people since before the arrival of Europeans. Historical village sites were more in the nature of a collection or grouping of niyah qungh or lhiz qwen yex in which they resided during cold winter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684</w:t>
      </w:r>
      <w:r>
        <w:rPr>
          <w:rFonts w:ascii="arial" w:eastAsia="arial" w:hAnsi="arial" w:cs="arial"/>
          <w:color w:val="000000"/>
          <w:sz w:val="20"/>
          <w:lang w:val="en-US" w:eastAsia="en-US" w:bidi="ar-SA"/>
        </w:rPr>
        <w:t xml:space="preserve">  Another way to demonstrate sufficient occupation is to prove regular use of definite tracts of land for hunting, fishing or otherwise exploiting its resources: </w:t>
      </w:r>
      <w:r>
        <w:rPr>
          <w:rFonts w:ascii="arial" w:eastAsia="arial" w:hAnsi="arial" w:cs="arial"/>
          <w:b/>
          <w:i/>
          <w:color w:val="000000"/>
          <w:sz w:val="20"/>
          <w:lang w:val="en-US" w:eastAsia="en-US" w:bidi="ar-SA"/>
        </w:rPr>
        <w:t>Delgamuukw</w:t>
      </w:r>
      <w:r>
        <w:rPr>
          <w:rFonts w:ascii="arial" w:eastAsia="arial" w:hAnsi="arial" w:cs="arial"/>
          <w:color w:val="000000"/>
          <w:sz w:val="20"/>
          <w:lang w:val="en-US" w:eastAsia="en-US" w:bidi="ar-SA"/>
        </w:rPr>
        <w:t xml:space="preserve"> (S.C.C.) at para. 149, citing McNeil, </w:t>
      </w:r>
      <w:r>
        <w:rPr>
          <w:rFonts w:ascii="arial" w:eastAsia="arial" w:hAnsi="arial" w:cs="arial"/>
          <w:i/>
          <w:color w:val="000000"/>
          <w:sz w:val="20"/>
          <w:lang w:val="en-US" w:eastAsia="en-US" w:bidi="ar-SA"/>
        </w:rPr>
        <w:t>Common Law Aboriginal Title</w:t>
      </w:r>
      <w:r>
        <w:rPr>
          <w:rFonts w:ascii="arial" w:eastAsia="arial" w:hAnsi="arial" w:cs="arial"/>
          <w:color w:val="000000"/>
          <w:sz w:val="20"/>
          <w:lang w:val="en-US" w:eastAsia="en-US" w:bidi="ar-SA"/>
        </w:rPr>
        <w:t>, at pp.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685</w:t>
      </w:r>
      <w:r>
        <w:rPr>
          <w:rFonts w:ascii="arial" w:eastAsia="arial" w:hAnsi="arial" w:cs="arial"/>
          <w:color w:val="000000"/>
          <w:sz w:val="20"/>
          <w:lang w:val="en-US" w:eastAsia="en-US" w:bidi="ar-SA"/>
        </w:rPr>
        <w:t>  In this case, the plaintiff says that both Tachelach'ed and the Trapline Territories are definite tracts of land used on a regular basis by Tsilhqot'in people. Tsilhqot'in seasonal rounds define these tracts of land within the traditional territory over which Tsilhqot'in people traversed. In the alternative, the plaintiff says that smaller areas within Tachelach'ed and the Trapline Territories form other definite tracts of land that were used on a regular basis by Tsilhqot'in people. These tracts were also defined by the seasonal movements of Tsilhqot'in people. In both his primary position and his alternate position, the plaintiff says Tsilhqot'in occupation has been exclusive and continuous since the date of sovereignty assertion.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686</w:t>
      </w:r>
      <w:r>
        <w:rPr>
          <w:rFonts w:ascii="arial" w:eastAsia="arial" w:hAnsi="arial" w:cs="arial"/>
          <w:color w:val="000000"/>
          <w:sz w:val="20"/>
          <w:lang w:val="en-US" w:eastAsia="en-US" w:bidi="ar-SA"/>
        </w:rPr>
        <w:t>  Earlier I explained that I intend to consider the submissions setting out what the plaintiff considers to be lesser tracts of land included within the whole. While the pleadings confine the nature of the declaration the plaintiff may be entitled to, I am not precluded from expressing a view as to whether other areas might be subject to Aboriginal title. Indeed, in my view both British Columbia and the plaintiff invited me to express my views on what land might qualify for Tsilhqot'in Aboriginal title. I do not intend, after this lengthy trial, to shy away from expressing an opinion in areas that might assist in the ultimate resolution of matters between Canada, British Columbia and the Tsilhqot'in people.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687</w:t>
      </w:r>
      <w:r>
        <w:rPr>
          <w:rFonts w:ascii="arial" w:eastAsia="arial" w:hAnsi="arial" w:cs="arial"/>
          <w:color w:val="000000"/>
          <w:sz w:val="20"/>
          <w:lang w:val="en-US" w:eastAsia="en-US" w:bidi="ar-SA"/>
        </w:rPr>
        <w:t>  Both defendants object to any declaration of Aboriginal title. They point out the artificiality of the Claim Area boundaries and say that the occupation by Tsilhqot'in people within those boundaries has not been sufficient to ground a declaration of title throughout the Claim Area. As already noted, both acknowledge that there might be Tsilhqot'in Aboriginal title to some discrete spots of significance in and about the Claim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 CLAIM AREA SITES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 Tsilhqox (Chilko River) and the Historical "Long Lake"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688</w:t>
      </w:r>
      <w:r>
        <w:rPr>
          <w:rFonts w:ascii="arial" w:eastAsia="arial" w:hAnsi="arial" w:cs="arial"/>
          <w:color w:val="000000"/>
          <w:sz w:val="20"/>
          <w:lang w:val="en-US" w:eastAsia="en-US" w:bidi="ar-SA"/>
        </w:rPr>
        <w:t>  In a review of land use and occupation by Tsilhqot'in people both inside and outside the Claim Area, it is appropriate to assess their presence on the Tsilhqox corridor. Canada argues there were no Tsilhqot'in people occupying the Claim Area at the time of sovereignty assertion. To reach that position, Canada argues that the "Long Lake" referred to in historical documents is not Tsilhqox Biny but rather, Tatl'ah Biny.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689</w:t>
      </w:r>
      <w:r>
        <w:rPr>
          <w:rFonts w:ascii="arial" w:eastAsia="arial" w:hAnsi="arial" w:cs="arial"/>
          <w:color w:val="000000"/>
          <w:sz w:val="20"/>
          <w:lang w:val="en-US" w:eastAsia="en-US" w:bidi="ar-SA"/>
        </w:rPr>
        <w:t>  The literal meaning of Tsilhqot'in is people of the Tsilhqox: see Dr. Eung-Do Cook report. The name indicates a longstanding presence of Tsilhqot'in people on this river corridor.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690</w:t>
      </w:r>
      <w:r>
        <w:rPr>
          <w:rFonts w:ascii="arial" w:eastAsia="arial" w:hAnsi="arial" w:cs="arial"/>
          <w:color w:val="000000"/>
          <w:sz w:val="20"/>
          <w:lang w:val="en-US" w:eastAsia="en-US" w:bidi="ar-SA"/>
        </w:rPr>
        <w:t>  They are the people of the Tsilhqox, not the Chezqox. It is true that Tsilhqot'in people have had a presence on the Chezqox for generations. They continue to have that presence. But the Tsilhqox is the major salmon bearing stream at the core of their existence as Aboriginal people, weaving its way into their oral traditions and providing them with sustenance and shelter for centuries.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691</w:t>
      </w:r>
      <w:r>
        <w:rPr>
          <w:rFonts w:ascii="arial" w:eastAsia="arial" w:hAnsi="arial" w:cs="arial"/>
          <w:color w:val="000000"/>
          <w:sz w:val="20"/>
          <w:lang w:val="en-US" w:eastAsia="en-US" w:bidi="ar-SA"/>
        </w:rPr>
        <w:t>  This basic fact is one reason why Canada's argument that Long Lake is actually Tatl'ah Biny and not Tsilhqox Biny remains only a speculative venture. I am entirely satisfied that close scrutiny of all the evidence in this case leads to but one conclusion. The reference in the historical documents to Long Lake is a reference to Tsilhqox Biny. For greater clarity I will review some of those historical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692</w:t>
      </w:r>
      <w:r>
        <w:rPr>
          <w:rFonts w:ascii="arial" w:eastAsia="arial" w:hAnsi="arial" w:cs="arial"/>
          <w:color w:val="000000"/>
          <w:sz w:val="20"/>
          <w:lang w:val="en-US" w:eastAsia="en-US" w:bidi="ar-SA"/>
        </w:rPr>
        <w:t>  The importance of Long Lake can be seen in considering the identification of Chief Quill Quall Yaw and Chief Konkwaglia. The records of Fort Chilcotin refer to Chief Quill Quall Yaw, who was said to be the "Chief of Long Lake": see for example, the entries in the Chilcotin Post Journal for Friday, January 25, 1839 and Tuesday, October 22, 1839. In 1825, William Connolly visited Chief Quill Quall Yaw. In 1845, Jesuit Father Nobili visited Chief Konkwaglia. Eldridge and Dewhirst agreed that Chief Quill Quall Yaw identified in the HBC records and Chief Konkwaglia identified in the correspondence of Nobili were the same person. I acknowledge that neither expert is a historian, but in my view their work in this particular area satisfies me that their conclusions on this point are entirely correct.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693</w:t>
      </w:r>
      <w:r>
        <w:rPr>
          <w:rFonts w:ascii="arial" w:eastAsia="arial" w:hAnsi="arial" w:cs="arial"/>
          <w:color w:val="000000"/>
          <w:sz w:val="20"/>
          <w:lang w:val="en-US" w:eastAsia="en-US" w:bidi="ar-SA"/>
        </w:rPr>
        <w:t>  Based upon his opinion concerning the Chief's identity, Eldridge concluded that Connolly and Nobili had both reached either Henry's Crossing or Biny Gwechugh (Canoe Crossing) on the Chilko River in 1825 and 1845 respectively. There they both found Tsilhqot'in people living in villages. This is compelling evidence that there were Tsilhqot'in people living near the north end of Tsilhqox Biny in both 1825 and 1845.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694</w:t>
      </w:r>
      <w:r>
        <w:rPr>
          <w:rFonts w:ascii="arial" w:eastAsia="arial" w:hAnsi="arial" w:cs="arial"/>
          <w:color w:val="000000"/>
          <w:sz w:val="20"/>
          <w:lang w:val="en-US" w:eastAsia="en-US" w:bidi="ar-SA"/>
        </w:rPr>
        <w:t>  Connolly's first visit to "Chilcotin Country" was in 1825. This visit is recorded in the Journal of Occurrences, New Caledonia District 1825/26, entries for December 1825. Connolly proceeded southwest from Fort Alexandria to "Chilcotin country", eventually reaching the Chezqox, encountering Tsilhqot'in people at various locations along the way. On December 17, 1825, Connolly reported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seven oclock we proceeded on our voyage, and at nine we passed a second fork of the Chilcotin which appears to take its rise in the mountains to the southward. Our route lay along the Main Branch which we continued to follow.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695</w:t>
      </w:r>
      <w:r>
        <w:rPr>
          <w:rFonts w:ascii="arial" w:eastAsia="arial" w:hAnsi="arial" w:cs="arial"/>
          <w:color w:val="000000"/>
          <w:sz w:val="20"/>
          <w:lang w:val="en-US" w:eastAsia="en-US" w:bidi="ar-SA"/>
        </w:rPr>
        <w:t>  Connolly continued his narrative, describing what he encountered along the "Main Branch" of the river: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At eleven OC we passed a small lodge, containing only one man and his wife ... and at five oclock in the evening reached the last camp consisting of eight lodges Inhabited by about fifty men and a large number of women and children. The Chief, who visited Alexandria this summer, is a young man and he with all his followers turned out to meet us as soon as we made our appearance and conducted us to his lodge, a large and spacious habitation where we were treated with all the politeness of which an Indian is capable. He was overjoyed to see Mr. McDougall ... They feasted us with the Fat of a Sheep they lately Killed, and gave us as much Salmon as we required for ourselves &amp; Dogs. Tho' of a very inferior quality we are informed that the Chilkotin Lake from whence the main Branch of this River flows is distant only a quarter of a Days march from their present Camp. The entrance of the lake is where they generally reside but the conveniency of being nigh their Salmon </w:t>
      </w:r>
      <w:r>
        <w:rPr>
          <w:rFonts w:ascii="arial" w:eastAsia="arial" w:hAnsi="arial" w:cs="arial"/>
          <w:color w:val="000000"/>
          <w:sz w:val="20"/>
          <w:u w:val="single"/>
          <w:lang w:val="en-US" w:eastAsia="en-US" w:bidi="ar-SA"/>
        </w:rPr>
        <w:t>Caches</w:t>
      </w:r>
      <w:r>
        <w:rPr>
          <w:rFonts w:ascii="arial" w:eastAsia="arial" w:hAnsi="arial" w:cs="arial"/>
          <w:color w:val="000000"/>
          <w:sz w:val="20"/>
          <w:lang w:val="en-US" w:eastAsia="en-US" w:bidi="ar-SA"/>
        </w:rPr>
        <w:t xml:space="preserve"> is what induces them to remain where they now are. When salmon fails, which frequently happens, they either fish in the lake during the winter or Repair to the River which Sir Alexr. McKenzie descended on his way to the Pacific Ocean, which is inhabited by a numerous Tribe of </w:t>
      </w:r>
      <w:r>
        <w:rPr>
          <w:rFonts w:ascii="arial" w:eastAsia="arial" w:hAnsi="arial" w:cs="arial"/>
          <w:color w:val="000000"/>
          <w:sz w:val="20"/>
          <w:u w:val="single"/>
          <w:lang w:val="en-US" w:eastAsia="en-US" w:bidi="ar-SA"/>
        </w:rPr>
        <w:t>Atnahs</w:t>
      </w:r>
      <w:r>
        <w:rPr>
          <w:rFonts w:ascii="arial" w:eastAsia="arial" w:hAnsi="arial" w:cs="arial"/>
          <w:color w:val="000000"/>
          <w:sz w:val="20"/>
          <w:lang w:val="en-US" w:eastAsia="en-US" w:bidi="ar-SA"/>
        </w:rPr>
        <w:t>, among whom they live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696</w:t>
      </w:r>
      <w:r>
        <w:rPr>
          <w:rFonts w:ascii="arial" w:eastAsia="arial" w:hAnsi="arial" w:cs="arial"/>
          <w:color w:val="000000"/>
          <w:sz w:val="20"/>
          <w:lang w:val="en-US" w:eastAsia="en-US" w:bidi="ar-SA"/>
        </w:rPr>
        <w:t>  Connolly went on to explain that Atnah is "a name applied by the Carriers to all nations who are not of their Race." The Atnahs referred to in the above passage are the Nuxalk (Bella Coola) people.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697</w:t>
      </w:r>
      <w:r>
        <w:rPr>
          <w:rFonts w:ascii="arial" w:eastAsia="arial" w:hAnsi="arial" w:cs="arial"/>
          <w:color w:val="000000"/>
          <w:sz w:val="20"/>
          <w:lang w:val="en-US" w:eastAsia="en-US" w:bidi="ar-SA"/>
        </w:rPr>
        <w:t>  Connolly's journal continues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distance between Alexandria and this spot I should think is from one hundred and eighty to two hundred miles, three fifths of which is in the space which divides Frasers River from the Chilcotin, and the remaining two fifths following the Banks of the latter river to this place ... along the river a </w:t>
      </w:r>
      <w:r>
        <w:rPr>
          <w:rFonts w:ascii="arial" w:eastAsia="arial" w:hAnsi="arial" w:cs="arial"/>
          <w:color w:val="000000"/>
          <w:sz w:val="20"/>
          <w:u w:val="single"/>
          <w:lang w:val="en-US" w:eastAsia="en-US" w:bidi="ar-SA"/>
        </w:rPr>
        <w:t>Prairie</w:t>
      </w:r>
      <w:r>
        <w:rPr>
          <w:rFonts w:ascii="arial" w:eastAsia="arial" w:hAnsi="arial" w:cs="arial"/>
          <w:color w:val="000000"/>
          <w:sz w:val="20"/>
          <w:lang w:val="en-US" w:eastAsia="en-US" w:bidi="ar-SA"/>
        </w:rPr>
        <w:t xml:space="preserve"> extends throughout the whole route ... The country is very uneven, and to the south lofty mountains are seen, by which likewise the lake, which lies to the westward, appears to be surrounded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698</w:t>
      </w:r>
      <w:r>
        <w:rPr>
          <w:rFonts w:ascii="arial" w:eastAsia="arial" w:hAnsi="arial" w:cs="arial"/>
          <w:color w:val="000000"/>
          <w:sz w:val="20"/>
          <w:lang w:val="en-US" w:eastAsia="en-US" w:bidi="ar-SA"/>
        </w:rPr>
        <w:t>  Eldridge concluded that the "entrance of the lake" where Tsilhqot'in people were said to "generally reside" is the archaeological site EjSa-11, the former village site known as Gwedats'ish, located at the north end of Tsilhqox Biny.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699</w:t>
      </w:r>
      <w:r>
        <w:rPr>
          <w:rFonts w:ascii="arial" w:eastAsia="arial" w:hAnsi="arial" w:cs="arial"/>
          <w:color w:val="000000"/>
          <w:sz w:val="20"/>
          <w:lang w:val="en-US" w:eastAsia="en-US" w:bidi="ar-SA"/>
        </w:rPr>
        <w:t>  Dewhirst also visited the confluence of the two rivers, taking pictures of the locations for the court to consider. He said the Chezqox at this point is "quite small" and compared to the Tsilhqox it is "a kind of creek". It was his opinion that the Tsilhqox was the main river and the Chezqox was a tributary. Dr. Brealey in his Report at p. 56 described the Tsilhqox as the "main salmon bearing stream in the territory". Canada (Department of Fisheries) has for many years maintained a salmon counting site near the Tsilhqox Biny outlet. By contrast, there are no salmon in Tatl'ah Yeqox (Tatla Creek) which feeds in to the Chilanko River which then flows into the Chezqox.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700</w:t>
      </w:r>
      <w:r>
        <w:rPr>
          <w:rFonts w:ascii="arial" w:eastAsia="arial" w:hAnsi="arial" w:cs="arial"/>
          <w:color w:val="000000"/>
          <w:sz w:val="20"/>
          <w:lang w:val="en-US" w:eastAsia="en-US" w:bidi="ar-SA"/>
        </w:rPr>
        <w:t>  On February 1, 1840, McBean reported that he had reached a village called Tse-lah about sundown on the first day and a village called Long Lake on the second day, somewhat after sundown. Both Dewhirst and Eldridge interpreted this to mean that the village Tse-lah was somewhere along the Tsilhqox between Fort Chilcotin and Tsilhqox Biny, which is consistent with their theory that Tsilhqox Biny is Long Lake. Brealey acknowledged Tse-lah could be a village at the east end of Tatl'ah Biny as an unlikely possibility. However, in his opinion, all of the evidence points to the fact that Tse-lah was Tsilangh, a fishing and winter encampment on the Tsilhqox.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701</w:t>
      </w:r>
      <w:r>
        <w:rPr>
          <w:rFonts w:ascii="arial" w:eastAsia="arial" w:hAnsi="arial" w:cs="arial"/>
          <w:color w:val="000000"/>
          <w:sz w:val="20"/>
          <w:lang w:val="en-US" w:eastAsia="en-US" w:bidi="ar-SA"/>
        </w:rPr>
        <w:t>  Father Nobili also visited the area in 1845. Canada argues that it is not at all clear that he was anywhere near Tsilhqox Biny. It is true that Father Nobili likely did not see the lake. However, as I understand the evidence, Tsilhqox Biny was not visible from the location where he stood which is graphically described in his journal.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702</w:t>
      </w:r>
      <w:r>
        <w:rPr>
          <w:rFonts w:ascii="arial" w:eastAsia="arial" w:hAnsi="arial" w:cs="arial"/>
          <w:color w:val="000000"/>
          <w:sz w:val="20"/>
          <w:lang w:val="en-US" w:eastAsia="en-US" w:bidi="ar-SA"/>
        </w:rPr>
        <w:t>  Dewhirst considered the historical documents and made some personal observations of the area. His evidence was that he stood at that point described in a letter by Father Nobili dated November 30, 1845. Nobili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were standing facing a canyon between two huge mountains of sheer rock, without a single twig or bush ... and the wind coming from the northern coast of the Pacific tore wildly through that channel. I did not know that I was no more than a two days' journey on foot from that coast, I say on foot, because they told me that it was impossible to cross over those two mountains on horseback.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703</w:t>
      </w:r>
      <w:r>
        <w:rPr>
          <w:rFonts w:ascii="arial" w:eastAsia="arial" w:hAnsi="arial" w:cs="arial"/>
          <w:color w:val="000000"/>
          <w:sz w:val="20"/>
          <w:lang w:val="en-US" w:eastAsia="en-US" w:bidi="ar-SA"/>
        </w:rPr>
        <w:t>  Dewhirst's personal observations were made at the north entrance to Chilko Lake at a point where the lake is not visible. The description would not fit the north end of Tatl'ah Biny.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704</w:t>
      </w:r>
      <w:r>
        <w:rPr>
          <w:rFonts w:ascii="arial" w:eastAsia="arial" w:hAnsi="arial" w:cs="arial"/>
          <w:color w:val="000000"/>
          <w:sz w:val="20"/>
          <w:lang w:val="en-US" w:eastAsia="en-US" w:bidi="ar-SA"/>
        </w:rPr>
        <w:t>  In his written report entitled "Tsilqot'in Use and Occupancy of the Xeni Gwet'in Claim Area, 1793-1864", August 2005, Dewhirst said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the modern names for the Chilko River and Chilcotin River do not reflect the actual geographical relationship of the main river to its tributaries. Names on modern maps suggest that the Chilko River is a tributary of the Chilcotin, when, in fact, the main river consists of the Chilko River and the Chilcotin River below the Chilko. The much smaller Chilcotin River above the Chilko is really a tributary of the main river.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1825 Connolly visited the last camp on the Chilko River, located above the Taseko-Chilko confluence. The last camp was also the largest visited by Connolly, containing "about Fifty Men and a large number of women and children" (Connolly 1825: 17 Dec 1825). These people told Connolly that they generally resided near the entrance to the "Chilcotin Lake" from which the "main Branch of the River flows" (Connolly 1825: 17 Dec 1825). Connolly also commented in the same entry that "Lofty Mountains" to the south appear to surround the "Lake." High mountains do surround Chilko Lake, and the "main branch" of the river is the Chilko 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705</w:t>
      </w:r>
      <w:r>
        <w:rPr>
          <w:rFonts w:ascii="arial" w:eastAsia="arial" w:hAnsi="arial" w:cs="arial"/>
          <w:color w:val="000000"/>
          <w:sz w:val="20"/>
          <w:lang w:val="en-US" w:eastAsia="en-US" w:bidi="ar-SA"/>
        </w:rPr>
        <w:t>  In footnote 81, p. 81 of his report, Dr. Brealey set out the evidence he relies upon to express his opinion that "Long Lake" is "an early contact period designation for Chilko Lake": Historical Geography of the Tsilhqot'in, Map Series and Report, September 22,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706</w:t>
      </w:r>
      <w:r>
        <w:rPr>
          <w:rFonts w:ascii="arial" w:eastAsia="arial" w:hAnsi="arial" w:cs="arial"/>
          <w:color w:val="000000"/>
          <w:sz w:val="20"/>
          <w:lang w:val="en-US" w:eastAsia="en-US" w:bidi="ar-SA"/>
        </w:rPr>
        <w:t>  When I consider the historical documents and the evidence in this case, I have no difficulty in accepting the opinions expressed by Brealey, Eldridge and Dewhirst on this issue. I conclude that the "Long Lake" described in the historical documents is Tsilhqox Biny. Canada's theory is not supported by the weight of the evidence. In reaching this conclusion I have not ignored Canada's submissions regarding the lack of other historical evidence concerning occupation of the Claim Area. It was and remains a remote part of this Province and it comes as no surprise that historical knowledge of the area is sparse. The silence is a direct result of the fact that visits by non-Aboriginals were few and brief.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 The Tsilhqox (Chilko River) Corridor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707</w:t>
      </w:r>
      <w:r>
        <w:rPr>
          <w:rFonts w:ascii="arial" w:eastAsia="arial" w:hAnsi="arial" w:cs="arial"/>
          <w:color w:val="000000"/>
          <w:sz w:val="20"/>
          <w:lang w:val="en-US" w:eastAsia="en-US" w:bidi="ar-SA"/>
        </w:rPr>
        <w:t>  The Tsilhqox corridor provides the best evidence of residential sites that might qualify as village sites especially during the fall and winter months. Even in these areas, there were no "cultivated fields" as those words are generally understood. The Tsilhqot'in people were not an agrarian people. They utilized what nature had to offer on the mountain slopes and valleys: berry picking, harvesting medicinal plants, mountain potato and other root vegetables. They used and managed these resources and in that sense these areas were their "cultivated fields". McDougall, Connolly, McBean, other HBC employees and Jesuit priest Father Nobili found village or dwelling sites along the Tsilhqox corridor. Dr. Brealey's report to the court said this about the Tsilhqox at p. 56: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Because it was the main salmon-bearing stream in the territory, occupancy of the banks proper was higher in later summer and fall, but there seems to have been year-round habitation at several selected sites; and in 1872, Smith remarked that the plateaux on either side were important Tsilhqot'in hunting grounds. Indeed, archaeological work in the 1970s revealed some 105 previously occupied or used sites (including 40 housepits) in the first 30 kilometres downstream from the outlet of the lake, but there were larger encampments at the Keekwillie Holes, Siwash Flats and Bridge, Taseko Mouth, Brittany Creek and Lava Canyon.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708</w:t>
      </w:r>
      <w:r>
        <w:rPr>
          <w:rFonts w:ascii="arial" w:eastAsia="arial" w:hAnsi="arial" w:cs="arial"/>
          <w:color w:val="000000"/>
          <w:sz w:val="20"/>
          <w:lang w:val="en-US" w:eastAsia="en-US" w:bidi="ar-SA"/>
        </w:rPr>
        <w:t>  Archaeological studies of the Tsilhqox corridor have identified a series of sites with a substantial number of large, round cultural depressions (frequently referred to as house pits or pit house remains), as well as a number of sites with fewer, smaller cultural depressions in either round or rectangular form. Tsilhqot'in witnesses call the dwellings which left round cultural depressions lhiz qwen yex and the rectangular lodges niyah qungh. As already noted, the latter structures are generally regarded as typically Athapaskan, whereas the former - the round house pits, particularly the larger of these - are seen as non-Tsilhqot'in and more likely Plateau Pithouse Tradition (Salish) in origin. A map from Robert Lane's dissertation provides an overview of Tsilhqot'in and non-Tsilhqot'in origin pit house sites on the Chilcotin plateau: Lane Thesis at p. 36.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709</w:t>
      </w:r>
      <w:r>
        <w:rPr>
          <w:rFonts w:ascii="arial" w:eastAsia="arial" w:hAnsi="arial" w:cs="arial"/>
          <w:color w:val="000000"/>
          <w:sz w:val="20"/>
          <w:lang w:val="en-US" w:eastAsia="en-US" w:bidi="ar-SA"/>
        </w:rPr>
        <w:t>  Experts both for the plaintiff and for British Columbia compared the historical records pertaining to Tsilhqot'in villages from the first half of the nineteenth century to the archaeological materials describing sites on the Tsilhqox. These experts theorized that it is likely some of the larger pit house sites of non-Tsilhqot'in origin were partly reoccupied by Tsilhqot'in communities in this time period. Eldridge drew the following conclusion in his report entitled, "The Correlation of Archaeological Sites and Historic Tsilhqot'in Villages along the Chilko River and Vicinity" (March 2006) at p. 17: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the large houses found at the Chilko Lake outlet and Kiggly Holes probably were first constructed during a Salishan presence that predates the entry of the Chilcotin and the collapse of the large mid-Fraser River villages. ... I think it probable that some of the very large pithouses, that were probably initially inhabited a thousand years or more before, were likely rebuilt and used around the time of the establishment of Fort Chilcotin.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710</w:t>
      </w:r>
      <w:r>
        <w:rPr>
          <w:rFonts w:ascii="arial" w:eastAsia="arial" w:hAnsi="arial" w:cs="arial"/>
          <w:color w:val="000000"/>
          <w:sz w:val="20"/>
          <w:lang w:val="en-US" w:eastAsia="en-US" w:bidi="ar-SA"/>
        </w:rPr>
        <w:t>  The house pits along the Tsilhqox were not all occupied simultaneously. The historical records suggest that two or three of the largest pit houses on the Tsilhqox corridor could lodge a community of upwards of 60 individuals. If all of the house-sized depressions were occupied at such densities at the same time, the population would far exceed the maximum carrying capacity of the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711</w:t>
      </w:r>
      <w:r>
        <w:rPr>
          <w:rFonts w:ascii="arial" w:eastAsia="arial" w:hAnsi="arial" w:cs="arial"/>
          <w:color w:val="000000"/>
          <w:sz w:val="20"/>
          <w:lang w:val="en-US" w:eastAsia="en-US" w:bidi="ar-SA"/>
        </w:rPr>
        <w:t>  Human carrying capacity can be roughly defined as the number of individuals an environment can sustain or support, taking into account the technologies of resource exploitation adopted by the population. The plaintiff's demography expert estimated the carrying capacity of the whole Claim Area at 100-1000 persons: Mathis Wackernagel, "Assessment of Human Population Carrying Capacity prior to European Influence and Trade of the Brittany Triangle and Xeni Gwet'in Trapline Areas in the Nemiah Valley, British Columbia" (the "Claim Area"), December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712</w:t>
      </w:r>
      <w:r>
        <w:rPr>
          <w:rFonts w:ascii="arial" w:eastAsia="arial" w:hAnsi="arial" w:cs="arial"/>
          <w:color w:val="000000"/>
          <w:sz w:val="20"/>
          <w:lang w:val="en-US" w:eastAsia="en-US" w:bidi="ar-SA"/>
        </w:rPr>
        <w:t>  British Columbia says that as a result of the previous occupation of the Tsilhqox corridor by non-Tsilhqot'in people, and because the later reoccupation by Tsilhqot'in people did not extend to all sites or to all features in a given site, the presence of archaeological remains cannot, in itself, indicate a Tsilhqot'in dwelling site or even a Tsilhqot'in presence in an area. This would be true if one were to ignore the presence of Tsilhqot'in people at various locations as recorded in the historical documents. When Connolly, McDougall, McBean and Father Nobili travelled the Tsilhqox corridor they recorded the fact that Tsilhqot'in people were in occupation of these winter dwellings. Thus, the logical inference to draw from the whole of the evidence is that during these times it was Tsilhqot'in people who occupied the entire Tsilhqox corridor. There is no historical evidence of occupation by others during this critical historical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i. Gwetsilh (Siwash Bridge)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713</w:t>
      </w:r>
      <w:r>
        <w:rPr>
          <w:rFonts w:ascii="arial" w:eastAsia="arial" w:hAnsi="arial" w:cs="arial"/>
          <w:color w:val="000000"/>
          <w:sz w:val="20"/>
          <w:lang w:val="en-US" w:eastAsia="en-US" w:bidi="ar-SA"/>
        </w:rPr>
        <w:t>  There was considerable evidence, particularly from Aboriginal witnesses, about the site known as Gwetsilh or Siwash Bridge on the Tsilhqox. It is located north of the junction of the Tsilhqox and Dasiqox and was an important gathering place for Tsilhqot'in people outside the Claim Area but clearly within what would be considered Tsilhqot'in territory.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714</w:t>
      </w:r>
      <w:r>
        <w:rPr>
          <w:rFonts w:ascii="arial" w:eastAsia="arial" w:hAnsi="arial" w:cs="arial"/>
          <w:color w:val="000000"/>
          <w:sz w:val="20"/>
          <w:lang w:val="en-US" w:eastAsia="en-US" w:bidi="ar-SA"/>
        </w:rPr>
        <w:t>  Gwetsilh is an important archaeological site, with pit house remains on both sides of the river. As its English name suggests, Gwetsilh was the site of an Aboriginal bridge, one of three such bridges that Lane discussed in his 1953 dissertation on the Tsilhqot'in. The archaeological sites at Gwetsilh are registered as FaRv-3 and FaRv-1. Eldridge, in his report for British Columbia correlating archaeological sites with historic Tsilhqot'in villages, noted the location of the sites and provided inserts of the site form maps in Figure 7 attached to his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715</w:t>
      </w:r>
      <w:r>
        <w:rPr>
          <w:rFonts w:ascii="arial" w:eastAsia="arial" w:hAnsi="arial" w:cs="arial"/>
          <w:color w:val="000000"/>
          <w:sz w:val="20"/>
          <w:lang w:val="en-US" w:eastAsia="en-US" w:bidi="ar-SA"/>
        </w:rPr>
        <w:t>  Dewhirst said that Gwetsilh was the home of one of the four Tsilhqot'in groups identified in the 1838 Hudson's Bay Company census as attached to Fort Chilcotin. In fact, the Gwetsilh or "Koo Tsil" was the group most closely associated with the Chilcotin post, appearing in the 1838 census as "Indians about the Fort" and making frequent appearances in the journals kept by William McBean, the clerk in charge of the fort during that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716</w:t>
      </w:r>
      <w:r>
        <w:rPr>
          <w:rFonts w:ascii="arial" w:eastAsia="arial" w:hAnsi="arial" w:cs="arial"/>
          <w:color w:val="000000"/>
          <w:sz w:val="20"/>
          <w:lang w:val="en-US" w:eastAsia="en-US" w:bidi="ar-SA"/>
        </w:rPr>
        <w:t>  Eldridge agreed with Dewhirst's identification of Koo Tsil with Gwetsilh. Of the four sites that appear to be associated with the 1838 HBC census (Gwetsilh, Tlegwated, Tsilangh, and Biny Gwechugh/Gwedats'ish), Gwetsilh, situated approximately five kilometres away from the probable location of Fort Chilcotin, would lie closest to the post.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717</w:t>
      </w:r>
      <w:r>
        <w:rPr>
          <w:rFonts w:ascii="arial" w:eastAsia="arial" w:hAnsi="arial" w:cs="arial"/>
          <w:color w:val="000000"/>
          <w:sz w:val="20"/>
          <w:lang w:val="en-US" w:eastAsia="en-US" w:bidi="ar-SA"/>
        </w:rPr>
        <w:t>  Evidence in this case suggests that Gwetsilh continued to be used in the twentieth century as a preferred fishing location and summer gathering site by Tsilhqot'in people from different bands. Fish drying racks are maintained in the bush above the river, next to a campground.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ii. ?Elhixidlin (Whitewater)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718</w:t>
      </w:r>
      <w:r>
        <w:rPr>
          <w:rFonts w:ascii="arial" w:eastAsia="arial" w:hAnsi="arial" w:cs="arial"/>
          <w:color w:val="000000"/>
          <w:sz w:val="20"/>
          <w:lang w:val="en-US" w:eastAsia="en-US" w:bidi="ar-SA"/>
        </w:rPr>
        <w:t>  At the confluence of the Tsilhqox and the Dasiqox (also called the Whitewater) is a site named ?Elhixidlin. It appears to have been located by elder Martin Quilt on the north side of the confluence and would thus be outside the Claim Area. This site is also called Taseko Mouth. There are no archeological records referring to this site. Dr. Brealey in his report at p. 73 wrote: "... the earliest firm reference appears to be in 1864, when Cox dispatches McLean to what Brown later called a 'great rendezvous' of the Tsilhqot'in, and which seems to have been the confluence between the Taseko and Chilko Rivers."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iii. Tl'egwated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719</w:t>
      </w:r>
      <w:r>
        <w:rPr>
          <w:rFonts w:ascii="arial" w:eastAsia="arial" w:hAnsi="arial" w:cs="arial"/>
          <w:color w:val="000000"/>
          <w:sz w:val="20"/>
          <w:lang w:val="en-US" w:eastAsia="en-US" w:bidi="ar-SA"/>
        </w:rPr>
        <w:t>  Tl'egwated is located on the Tsilhqox, roughly parallel to the north end of Little Eagle Lake (Lhuy Nachasgwengulin). Here, there are at least 15 pit houses located on both sides of the river. At one time there was also a Tsilhqot'in foot bridge (binlish) across the river providing access to Tachelach'ed.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720</w:t>
      </w:r>
      <w:r>
        <w:rPr>
          <w:rFonts w:ascii="arial" w:eastAsia="arial" w:hAnsi="arial" w:cs="arial"/>
          <w:color w:val="000000"/>
          <w:sz w:val="20"/>
          <w:lang w:val="en-US" w:eastAsia="en-US" w:bidi="ar-SA"/>
        </w:rPr>
        <w:t>  The main site at Tl'egwated, where archaeologists have recorded a large number of extensive pit house depressions (ElRw-4), is located on the west bank of the Tsilhqox, and thus outside of the Claim Area. The pit houses on the east bank are within Tachelach'ed and fall inside the Claim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721</w:t>
      </w:r>
      <w:r>
        <w:rPr>
          <w:rFonts w:ascii="arial" w:eastAsia="arial" w:hAnsi="arial" w:cs="arial"/>
          <w:color w:val="000000"/>
          <w:sz w:val="20"/>
          <w:lang w:val="en-US" w:eastAsia="en-US" w:bidi="ar-SA"/>
        </w:rPr>
        <w:t xml:space="preserve">  The archaeological site recorded as ElRw-4 represents "the largest and most impressive site in the area" of Naghatalhchoz Biny and the Tsilhqox: Matson et al., </w:t>
      </w:r>
      <w:r>
        <w:rPr>
          <w:rFonts w:ascii="arial" w:eastAsia="arial" w:hAnsi="arial" w:cs="arial"/>
          <w:i/>
          <w:color w:val="000000"/>
          <w:sz w:val="20"/>
          <w:lang w:val="en-US" w:eastAsia="en-US" w:bidi="ar-SA"/>
        </w:rPr>
        <w:t>The Eagle Lake Project: Report of the 1979 Season</w:t>
      </w:r>
      <w:r>
        <w:rPr>
          <w:rFonts w:ascii="arial" w:eastAsia="arial" w:hAnsi="arial" w:cs="arial"/>
          <w:color w:val="000000"/>
          <w:sz w:val="20"/>
          <w:lang w:val="en-US" w:eastAsia="en-US" w:bidi="ar-SA"/>
        </w:rPr>
        <w:t xml:space="preserve"> (University of British Columbia, 1980) [unpublished], p. 64. Some 169 pit features have been mapped on or near the site, including numerous pit houses of a very large size. The site, also known as Kigli Holes, is generally regarded as non-Athapaskan (Plateau Pithouse Tradition) in origin, but appears to have been partly occupied by Tsilhqot'in people prior to and at the time of sovereignty assertion. Both Dewhirst and Eldridge believe Tl'egwated to be the home of the "Tlo quot tock" Indians recorded as attached to Fort Chilcotin in the Hudson's Bay Company census of 1838. It may also mark the site where Father Nobili visited a relatively large concentration of Tsilhqot'in people in the winter of 1845. A cross commemorating Nobili's visit has been re-erected by Tsilhqot'in people on the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722</w:t>
      </w:r>
      <w:r>
        <w:rPr>
          <w:rFonts w:ascii="arial" w:eastAsia="arial" w:hAnsi="arial" w:cs="arial"/>
          <w:color w:val="000000"/>
          <w:sz w:val="20"/>
          <w:lang w:val="en-US" w:eastAsia="en-US" w:bidi="ar-SA"/>
        </w:rPr>
        <w:t>  On the evidence, I conclude that Tl'egwated can be identified with archeological site ElRw-4, and represents the site known to the Hudson's Bay Company as Tlo quot tock as well as the pit house village visited by Nobili. An inference can be drawn that even in the mid-1800's, the population of larger village sites was not stable, or alternatively, the population figures are a reflection of semi-nomadic movements. The Hudson's Bay Company census recorded only four families, with a total of 28 people, as Tlo quot tock "Indians" resident at the site during the winter of 1838. Yet, when Father Nobili visited Tl'egwated seven years later, he recorded upwards of 120 residents staying in two very large pit houses and additional people in a smaller third pit house. It is possible, although unlikely, that the majority of Tlo quot tock Indians were staying at a different site, or a variety of different sites, during the winter of 1838. Eldridge suggested Father Nobili might have visited a different group at a separate site nearby. And there is always the possibility that the counting was poorly done and incomplete.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723</w:t>
      </w:r>
      <w:r>
        <w:rPr>
          <w:rFonts w:ascii="arial" w:eastAsia="arial" w:hAnsi="arial" w:cs="arial"/>
          <w:color w:val="000000"/>
          <w:sz w:val="20"/>
          <w:lang w:val="en-US" w:eastAsia="en-US" w:bidi="ar-SA"/>
        </w:rPr>
        <w:t>  Mabel William testified that her Grandmother Hanlhdzany's family lived in a Ihiz qwen yex at Tl'egwated during winter when it was really cold when she was a child. Mabel William said that when she was a child, her family would camp at Tl'egwated in the late summer. The use of Tl'egwated in this manner, with both sides of the river connected by a footbridge (binlish) for access to Tachelach'ed, continued into the twentieth century.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724</w:t>
      </w:r>
      <w:r>
        <w:rPr>
          <w:rFonts w:ascii="arial" w:eastAsia="arial" w:hAnsi="arial" w:cs="arial"/>
          <w:color w:val="000000"/>
          <w:sz w:val="20"/>
          <w:lang w:val="en-US" w:eastAsia="en-US" w:bidi="ar-SA"/>
        </w:rPr>
        <w:t>  I conclude that the number of people recorded in a given location reflect movements of people with the seasons, returning to this site on both sides of the Tsilhqox in the late summer, most likely to remain throughout the winter season. There are gravesites at this location but these sites would post date the arrival of missionaries who persuaded Tsilhqot'in people to cease the practice of cremation.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725</w:t>
      </w:r>
      <w:r>
        <w:rPr>
          <w:rFonts w:ascii="arial" w:eastAsia="arial" w:hAnsi="arial" w:cs="arial"/>
          <w:color w:val="000000"/>
          <w:sz w:val="20"/>
          <w:lang w:val="en-US" w:eastAsia="en-US" w:bidi="ar-SA"/>
        </w:rPr>
        <w:t>  The archaeological studies show the remains of a very considerable series of house pits, only three of which were occupied during Father Nobili's visit. Thus, it appears that not all pit houses on the site were occupied simultaneously, at least at the time of his visit.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iv. Tachi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726</w:t>
      </w:r>
      <w:r>
        <w:rPr>
          <w:rFonts w:ascii="arial" w:eastAsia="arial" w:hAnsi="arial" w:cs="arial"/>
          <w:color w:val="000000"/>
          <w:sz w:val="20"/>
          <w:lang w:val="en-US" w:eastAsia="en-US" w:bidi="ar-SA"/>
        </w:rPr>
        <w:t>  Theophile Ubil Lulua testified that Adam Guichon told him there are lhiz qwen yex located at Tachi, a Tsilhqot'in word meaning mouth of a river or creek. In this case, it refers to the mouth of Dan Qi Yex (Bidwell Creek) where it flows into the Tsilhqox. There is a Tsilhqot'in burial site at that location. Tachi appears to lie outside the Claim Area. This site, located by only one witness, appears to be very close to Tl'egwated.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v. Tsilangh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727</w:t>
      </w:r>
      <w:r>
        <w:rPr>
          <w:rFonts w:ascii="arial" w:eastAsia="arial" w:hAnsi="arial" w:cs="arial"/>
          <w:color w:val="000000"/>
          <w:sz w:val="20"/>
          <w:lang w:val="en-US" w:eastAsia="en-US" w:bidi="ar-SA"/>
        </w:rPr>
        <w:t>  About 1.5 kilometres upstream from Dan Qi Yex lies Tsilangh which Minnie Charleyboy said was a Tsilhqot'in salmon fishing place. It too seems to be on the west side of the Tsilhqox and therefore outside the Claim Area. Dewhirst identified Tsilangh with the "Tsu Luh" Indians as attached to Chilcotin post in the Hudson's Bay Company census of 1838. Eldridge agreed with Dewhirst's association of the Tsu Luh with the place known as Tsilangh, although he was not able to confirm the location of a site because there is, at present, no archaeological inventory of the specific area. In Eldridge's view, Tsilangh may be where Connolly encountered 35 men and a large number of women and children contained in three pit houses, and may also be where Father Nobili stopped in the winter of 1845, if not at Tl'egwated. Brealey expressed the opinion that this was the Tse-lah referred to by McBean of the HBC.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vi. Tsi Lhizbed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728</w:t>
      </w:r>
      <w:r>
        <w:rPr>
          <w:rFonts w:ascii="arial" w:eastAsia="arial" w:hAnsi="arial" w:cs="arial"/>
          <w:color w:val="000000"/>
          <w:sz w:val="20"/>
          <w:lang w:val="en-US" w:eastAsia="en-US" w:bidi="ar-SA"/>
        </w:rPr>
        <w:t>  In her affidavit #1, Mabel William testified that Tsi Lhizbed was "not far upriver, over the hill from Tsilangh." It is "across the river from Tachelach'ed." This would place Tsi Lhizbed on the west side of the Tsilhqox, outside of the Claim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729</w:t>
      </w:r>
      <w:r>
        <w:rPr>
          <w:rFonts w:ascii="arial" w:eastAsia="arial" w:hAnsi="arial" w:cs="arial"/>
          <w:color w:val="000000"/>
          <w:sz w:val="20"/>
          <w:lang w:val="en-US" w:eastAsia="en-US" w:bidi="ar-SA"/>
        </w:rPr>
        <w:t>  In her affidavit, which appears to be the sole source of evidence concerning this site, Mabel William deposed that she saw lhiz qwen yex at Tsi Lhizbed. She stated as well that when she was young, Tsilhqot'in people, mainly from Tsi Del Del (Redstone), would camp there for salmon fishing.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vii. Nusay Bighinlin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730</w:t>
      </w:r>
      <w:r>
        <w:rPr>
          <w:rFonts w:ascii="arial" w:eastAsia="arial" w:hAnsi="arial" w:cs="arial"/>
          <w:color w:val="000000"/>
          <w:sz w:val="20"/>
          <w:lang w:val="en-US" w:eastAsia="en-US" w:bidi="ar-SA"/>
        </w:rPr>
        <w:t>  Nusay Bighinlin is upstream from Tsi Lhizbed on the Tsilhqox, where a single pit house site lies near the confluence of Natasewed Yeqox (Brittany Creek) and the Tsilhqox inside Tachelach'ed'ed. Nusay Bighinlin is within the Claim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731</w:t>
      </w:r>
      <w:r>
        <w:rPr>
          <w:rFonts w:ascii="arial" w:eastAsia="arial" w:hAnsi="arial" w:cs="arial"/>
          <w:color w:val="000000"/>
          <w:sz w:val="20"/>
          <w:lang w:val="en-US" w:eastAsia="en-US" w:bidi="ar-SA"/>
        </w:rPr>
        <w:t xml:space="preserve">  No historical records were cited that confirm Tsilhqot'in residence at Nusay Bighinlin at or about the time of sovereignty assertion. There is some archaeological evidence for the area nearest the confluence of Natasewed Yeqox and the Tsilhqox. In </w:t>
      </w:r>
      <w:r>
        <w:rPr>
          <w:rFonts w:ascii="arial" w:eastAsia="arial" w:hAnsi="arial" w:cs="arial"/>
          <w:i/>
          <w:color w:val="000000"/>
          <w:sz w:val="20"/>
          <w:lang w:val="en-US" w:eastAsia="en-US" w:bidi="ar-SA"/>
        </w:rPr>
        <w:t>The Eagle Lake Project</w:t>
      </w:r>
      <w:r>
        <w:rPr>
          <w:rFonts w:ascii="arial" w:eastAsia="arial" w:hAnsi="arial" w:cs="arial"/>
          <w:color w:val="000000"/>
          <w:sz w:val="20"/>
          <w:lang w:val="en-US" w:eastAsia="en-US" w:bidi="ar-SA"/>
        </w:rPr>
        <w:t xml:space="preserve"> report, at p. 67, Matson et al. recorded a riverside lithic scatter site (EkSa-33) with "abundant surface material but little depth." After recording the presence of a klo-cut or kavick point, as well as a multiple-side notched point, Matson et al. concluded at p. 67: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radiocarbon date indicates the presence of a Pre-Chilcotin occupation, as suggested for ElRw 4. It also confirms the probable mixed nature of the site and lack of substantial time depth.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732</w:t>
      </w:r>
      <w:r>
        <w:rPr>
          <w:rFonts w:ascii="arial" w:eastAsia="arial" w:hAnsi="arial" w:cs="arial"/>
          <w:color w:val="000000"/>
          <w:sz w:val="20"/>
          <w:lang w:val="en-US" w:eastAsia="en-US" w:bidi="ar-SA"/>
        </w:rPr>
        <w:t xml:space="preserve">  There is an additional site located by Matson et al and referred to as EkSa-35. It is described in </w:t>
      </w:r>
      <w:r>
        <w:rPr>
          <w:rFonts w:ascii="arial" w:eastAsia="arial" w:hAnsi="arial" w:cs="arial"/>
          <w:i/>
          <w:color w:val="000000"/>
          <w:sz w:val="20"/>
          <w:lang w:val="en-US" w:eastAsia="en-US" w:bidi="ar-SA"/>
        </w:rPr>
        <w:t>The Eagle Lake Project</w:t>
      </w:r>
      <w:r>
        <w:rPr>
          <w:rFonts w:ascii="arial" w:eastAsia="arial" w:hAnsi="arial" w:cs="arial"/>
          <w:color w:val="000000"/>
          <w:sz w:val="20"/>
          <w:lang w:val="en-US" w:eastAsia="en-US" w:bidi="ar-SA"/>
        </w:rPr>
        <w:t xml:space="preserve"> report at p. 69 as a "housepit truncated by the river" near Natasewed Yeqox. Found during the investigation were two projectile points associated with recent Athapaskan archaeological sites. The report concluded at p. 72 that, although the sample from EkSa-35 was limited, the information gathered was in "agreement with what would be expected for a Chilcotin [o]ccupation". EkSa-35 is located further upstream than EkSa-33 and lies perhaps a kilometre south of the juncture of Natasewed Yeqox and the Tsilhqox. In a personal note from Magne to Tyhurst referred to in the latter's Ph.D dissertation dated July 1984, Magne said that the site had subsequently been radiocarbon dated to 500 years B.P. (Before Present). This would locate a presence of Tsilhqot'in people well before sovereignty assertion making it a reasonable to infer, as I do, that there were Tsilhqot'in people one kilometre away, at the Nusay Bighinlin site, well before the assertion of sovereignty.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733</w:t>
      </w:r>
      <w:r>
        <w:rPr>
          <w:rFonts w:ascii="arial" w:eastAsia="arial" w:hAnsi="arial" w:cs="arial"/>
          <w:color w:val="000000"/>
          <w:sz w:val="20"/>
          <w:lang w:val="en-US" w:eastAsia="en-US" w:bidi="ar-SA"/>
        </w:rPr>
        <w:t>  Use of Nusay Bighinlin continued into the twentieth century. There is a cabin at that location which was used as a salmon fishing site. Norman George Setah picked berries at this site and testified that there was an ancient crossing at this location as it was part of a trail network connecting Tatl'ah Biny to Niba ?Elhenenalqelh (Capt. Georgetown). Setah used the crossing to get from Tis Tis Gunlin to Nusay Bighinlin. Tsilhqot'in people fished in the spring and hunted in the fall at this location, living in ?el bid qungh (lean to's).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734</w:t>
      </w:r>
      <w:r>
        <w:rPr>
          <w:rFonts w:ascii="arial" w:eastAsia="arial" w:hAnsi="arial" w:cs="arial"/>
          <w:color w:val="000000"/>
          <w:sz w:val="20"/>
          <w:lang w:val="en-US" w:eastAsia="en-US" w:bidi="ar-SA"/>
        </w:rPr>
        <w:t xml:space="preserve">  Slightly south of Nusay Bighinlin, still on the eastern bank of the Tsilhqox, is an archaeological site featuring a number of cultural depressions registered as EkSa-85, marked with a star in Figure 1 attached to Eldridge's report, denoting a site of five pit houses or more. Eldridge did not discuss the site in the body of his report as he was not aware of historical records pertaining to the site. The archaeological site form for EkSa-85 identifies the cultural affiliation for the site as Athapaskan Chilcotin/Stone Chilcotin. The form also indicates that the site was on Crown land when the site form was entered </w:t>
      </w:r>
      <w:r>
        <w:rPr>
          <w:rFonts w:ascii="arial" w:eastAsia="arial" w:hAnsi="arial" w:cs="arial"/>
          <w:i/>
          <w:color w:val="000000"/>
          <w:sz w:val="20"/>
          <w:lang w:val="en-US" w:eastAsia="en-US" w:bidi="ar-SA"/>
        </w:rPr>
        <w:t>circa</w:t>
      </w:r>
      <w:r>
        <w:rPr>
          <w:rFonts w:ascii="arial" w:eastAsia="arial" w:hAnsi="arial" w:cs="arial"/>
          <w:color w:val="000000"/>
          <w:sz w:val="20"/>
          <w:lang w:val="en-US" w:eastAsia="en-US" w:bidi="ar-SA"/>
        </w:rPr>
        <w:t xml:space="preserve"> 1979-1980.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viii. Ts'eman Ts'ezchi or Ts'esman Ts'ez</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735</w:t>
      </w:r>
      <w:r>
        <w:rPr>
          <w:rFonts w:ascii="arial" w:eastAsia="arial" w:hAnsi="arial" w:cs="arial"/>
          <w:color w:val="000000"/>
          <w:sz w:val="20"/>
          <w:lang w:val="en-US" w:eastAsia="en-US" w:bidi="ar-SA"/>
        </w:rPr>
        <w:t>  Ts'eman Ts'ezchi or Ts'esman Ts'ez is located a few miles upstream from Nusay Bighinlin, on the western bank of the Tsilhqox. Theophile Ubill Lulua's family built a cabin there in the fall of 1950. It is located about six miles northeast of Naghatalhchoz Biny. The site lies outside of the Claim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736</w:t>
      </w:r>
      <w:r>
        <w:rPr>
          <w:rFonts w:ascii="arial" w:eastAsia="arial" w:hAnsi="arial" w:cs="arial"/>
          <w:color w:val="000000"/>
          <w:sz w:val="20"/>
          <w:lang w:val="en-US" w:eastAsia="en-US" w:bidi="ar-SA"/>
        </w:rPr>
        <w:t xml:space="preserve">  In his affidavit, Theophile Ubill Lulua deposed that Felix Lulua had a cabin in the same location, built </w:t>
      </w:r>
      <w:r>
        <w:rPr>
          <w:rFonts w:ascii="arial" w:eastAsia="arial" w:hAnsi="arial" w:cs="arial"/>
          <w:i/>
          <w:color w:val="000000"/>
          <w:sz w:val="20"/>
          <w:lang w:val="en-US" w:eastAsia="en-US" w:bidi="ar-SA"/>
        </w:rPr>
        <w:t>circa</w:t>
      </w:r>
      <w:r>
        <w:rPr>
          <w:rFonts w:ascii="arial" w:eastAsia="arial" w:hAnsi="arial" w:cs="arial"/>
          <w:color w:val="000000"/>
          <w:sz w:val="20"/>
          <w:lang w:val="en-US" w:eastAsia="en-US" w:bidi="ar-SA"/>
        </w:rPr>
        <w:t xml:space="preserve"> 1948, which has since burnt down. Theophile Ubill Lulua's family built a cabin in the area as did Oggie and Elmer Lulua. Members of the Lulua family continue to live in both remaining cabins. David Lulua, who was 51 when he testified, told the court that he had stayed at Ts'eman Ts'ezchi between the ages of five and 19 while trapping.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737</w:t>
      </w:r>
      <w:r>
        <w:rPr>
          <w:rFonts w:ascii="arial" w:eastAsia="arial" w:hAnsi="arial" w:cs="arial"/>
          <w:color w:val="000000"/>
          <w:sz w:val="20"/>
          <w:lang w:val="en-US" w:eastAsia="en-US" w:bidi="ar-SA"/>
        </w:rPr>
        <w:t>  Minnie Charleyboy testified that she was born at Ts'eman Ts'ezchi in 1934. She told the court that she had seen lhiz qwen yex at Ts'eman Ts'ezchi and that she had been told they belonged to the ?Esggidam. She testified that Nimayaz's (Nemiah's) daughter Julianna is buried at that location. She stated there were no dwellings on the other side of the Tsilhqox, inside the Claim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ix. Tsi T'is Gulin and Henry's Crossing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738</w:t>
      </w:r>
      <w:r>
        <w:rPr>
          <w:rFonts w:ascii="arial" w:eastAsia="arial" w:hAnsi="arial" w:cs="arial"/>
          <w:color w:val="000000"/>
          <w:sz w:val="20"/>
          <w:lang w:val="en-US" w:eastAsia="en-US" w:bidi="ar-SA"/>
        </w:rPr>
        <w:t>  Henry's Crossing, named after Eagle Lake Henry, is located on the Tsilhqox to the east of Naghatalhchoz Biny. It has a footprint on both banks of the Tsilhqox. Tsi T'is Gunlin is the name used by Tsilhqot'in people for the place on the river just south of Henry's Crossing.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739</w:t>
      </w:r>
      <w:r>
        <w:rPr>
          <w:rFonts w:ascii="arial" w:eastAsia="arial" w:hAnsi="arial" w:cs="arial"/>
          <w:color w:val="000000"/>
          <w:sz w:val="20"/>
          <w:lang w:val="en-US" w:eastAsia="en-US" w:bidi="ar-SA"/>
        </w:rPr>
        <w:t>  Henry's Crossing was marked in slightly different locations by Chief William and Harry Setah (place name 77) and Theophile Ubill Lulua (place name 13). Witnesses for the plaintiff, Martin Quilt, Francis Setah and Theophile Ubill Lulua, marked three separate locations for Tsi T'is Gunlin, perhaps a kilometre or two apart It is not unusual or surprising that there would be such differences with witnesses working on a map they had not seen before. If witnesses were asked to take someone to these locations I am certain all would arrive at the same place. However, the multiple locations for the sites, coupled with the indeterminacy of the Trapline boundary (which nears the Tsilhqox in the vicinity of Tsi T'is Gunlin and Henry's Crossing), make it very difficult to say whether the sites fall inside or outside of the Claim Area. The lands on the eastern bank of the Tsilhqox lie within the Claim Area. The lands on the western bank, however, may fall within the narrow gap between the Western Trapline's northeastern boundary and Tachelach'ed.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740</w:t>
      </w:r>
      <w:r>
        <w:rPr>
          <w:rFonts w:ascii="arial" w:eastAsia="arial" w:hAnsi="arial" w:cs="arial"/>
          <w:color w:val="000000"/>
          <w:sz w:val="20"/>
          <w:lang w:val="en-US" w:eastAsia="en-US" w:bidi="ar-SA"/>
        </w:rPr>
        <w:t>  According to Mabel William, there are pit house remains at Tsi T'is Gunlin, upstream from Nusay Bighinlin on the western bank of the Tsilhqox. Chief William testified he had been told there were pit house remains on the west bank of the Tsilhqox just north of the bridge at Henry's Crossing, although he had not seen them himself. According to his grandmother and uncles, Tsilhqot'in people lived in the pit houses.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741</w:t>
      </w:r>
      <w:r>
        <w:rPr>
          <w:rFonts w:ascii="arial" w:eastAsia="arial" w:hAnsi="arial" w:cs="arial"/>
          <w:color w:val="000000"/>
          <w:sz w:val="20"/>
          <w:lang w:val="en-US" w:eastAsia="en-US" w:bidi="ar-SA"/>
        </w:rPr>
        <w:t xml:space="preserve">  Cultural depressions have been recorded on the eastern bank of the Tsilhqox in an area that may correspond roughly to Henry's Crossing. In response to a question put by counsel for Canada, Eldridge marked an archaeological site of five or more pit houses on the eastern bank of the Chilko, registered as EkSa-124. No historical records connect this site to Tsilhqot'in residence </w:t>
      </w:r>
      <w:r>
        <w:rPr>
          <w:rFonts w:ascii="arial" w:eastAsia="arial" w:hAnsi="arial" w:cs="arial"/>
          <w:i/>
          <w:color w:val="000000"/>
          <w:sz w:val="20"/>
          <w:lang w:val="en-US" w:eastAsia="en-US" w:bidi="ar-SA"/>
        </w:rPr>
        <w:t>circa</w:t>
      </w:r>
      <w:r>
        <w:rPr>
          <w:rFonts w:ascii="arial" w:eastAsia="arial" w:hAnsi="arial" w:cs="arial"/>
          <w:color w:val="000000"/>
          <w:sz w:val="20"/>
          <w:lang w:val="en-US" w:eastAsia="en-US" w:bidi="ar-SA"/>
        </w:rPr>
        <w:t xml:space="preserve"> 1846.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742</w:t>
      </w:r>
      <w:r>
        <w:rPr>
          <w:rFonts w:ascii="arial" w:eastAsia="arial" w:hAnsi="arial" w:cs="arial"/>
          <w:color w:val="000000"/>
          <w:sz w:val="20"/>
          <w:lang w:val="en-US" w:eastAsia="en-US" w:bidi="ar-SA"/>
        </w:rPr>
        <w:t>  Two of Dewhirst's photos show Tommy Lulua's old cabin and his son, Henry Lulua's cabin near Henry's Crossing. In one of them there is a house pit depression right next to Tommy Lulua's old cabin. Dewhirst testified that the site showed physical remains of Tsilhqot'in use over several generations, at least back to Nunsulian. Nunsulian was born before 1850, and was the father of Jack Lulua and an ancestor of many present members of the Xeni Gwet'in.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743</w:t>
      </w:r>
      <w:r>
        <w:rPr>
          <w:rFonts w:ascii="arial" w:eastAsia="arial" w:hAnsi="arial" w:cs="arial"/>
          <w:color w:val="000000"/>
          <w:sz w:val="20"/>
          <w:lang w:val="en-US" w:eastAsia="en-US" w:bidi="ar-SA"/>
        </w:rPr>
        <w:t>  Various Tsilhqot'in witnesses testified to the use of Henry's Crossing as a summer fishing site. It is also the site of the modern annual "Brittany Gathering". David Setah testified that his family camped on the east bank of the river at Henry's Crossing. As a child, Harry Setah stayed in a canvas tent on the Natasewed Biny (east) side of Henry's Crossing, at one of a dozen or so campsites there; his family was often one of several who were there at the same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744</w:t>
      </w:r>
      <w:r>
        <w:rPr>
          <w:rFonts w:ascii="arial" w:eastAsia="arial" w:hAnsi="arial" w:cs="arial"/>
          <w:color w:val="000000"/>
          <w:sz w:val="20"/>
          <w:lang w:val="en-US" w:eastAsia="en-US" w:bidi="ar-SA"/>
        </w:rPr>
        <w:t>  There are lhiz qwen yex at Tsi T'is Gulin and Tsilhqot'in people, including Jack Lulua (who was born in 1870), continued to build houses and live there well into the twentieth century. Some houses remain standing. In 1964 the provincial Lands Branch noted that Jack Lulua's son Tommy Lulua (1901-1978) was "still residing" on the north eastern portion of District Lot 350, Coast District, "and has possibly built a log fence around the bottom land which extends onto the SW corner of Lot 353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745</w:t>
      </w:r>
      <w:r>
        <w:rPr>
          <w:rFonts w:ascii="arial" w:eastAsia="arial" w:hAnsi="arial" w:cs="arial"/>
          <w:color w:val="000000"/>
          <w:sz w:val="20"/>
          <w:lang w:val="en-US" w:eastAsia="en-US" w:bidi="ar-SA"/>
        </w:rPr>
        <w:t>  Minnie Charleyboy, Eliza William and Doris Lulua testified that their great grandfather Nentsul ?Eyen (Nunsulian) is buried at Tsi Tis Gulin. In addition, Minnie Charleyboy identified the location as a salmon fishing camp.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746</w:t>
      </w:r>
      <w:r>
        <w:rPr>
          <w:rFonts w:ascii="arial" w:eastAsia="arial" w:hAnsi="arial" w:cs="arial"/>
          <w:color w:val="000000"/>
          <w:sz w:val="20"/>
          <w:lang w:val="en-US" w:eastAsia="en-US" w:bidi="ar-SA"/>
        </w:rPr>
        <w:t>  In 1910, a B.C. government surveyor sketched and attested to the location of "Indian Graves" on Lot 363 near the mouth of Lingfield Creek, just south of Tsi T'is Gunlin.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x. Ts'u Nintil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747</w:t>
      </w:r>
      <w:r>
        <w:rPr>
          <w:rFonts w:ascii="arial" w:eastAsia="arial" w:hAnsi="arial" w:cs="arial"/>
          <w:color w:val="000000"/>
          <w:sz w:val="20"/>
          <w:lang w:val="en-US" w:eastAsia="en-US" w:bidi="ar-SA"/>
        </w:rPr>
        <w:t>  Norman George Setah testified that Ts'u Nintil is about a half mile away from Tsi T'is Gunlin. He camped at this location on the west side of the Tsilhqox, outside the Claim Area. This is a salmon fishing area on the river frequented by Tsilhqot'in people. Minnie Charleyboy said that the salmon fishing always took place on the Nemiah side (east) of the Tsilhqox. Fishing at this location continues to take place, in season. Theophile Ubill Lulua testified that there were lhiz qwen yex in the area. This is a location that spans both sides of the river and is inside and outside the Claim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Biny Gwetsel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748</w:t>
      </w:r>
      <w:r>
        <w:rPr>
          <w:rFonts w:ascii="arial" w:eastAsia="arial" w:hAnsi="arial" w:cs="arial"/>
          <w:color w:val="000000"/>
          <w:sz w:val="20"/>
          <w:lang w:val="en-US" w:eastAsia="en-US" w:bidi="ar-SA"/>
        </w:rPr>
        <w:t>  Biny Gwetsel was marked in two different locations along the eastern bank of the Tsilhqox by Francis Setah and Norman George Setah. Both these locations would appear to lie in the narrow gap between Tachelach'ed and Western Trapline portions of the Claim Area, and thus outside the Claim Area. Although she did not locate Biny Gwetsel on a map, Minnie Charleyboy described the area as roughly where a big creek flowed into the Tsilhqox from the west. She testified that it was both a cremation and grave site. Gilbert Solomon identified Biny Gwetsel as the site of a pit house village on the east side of the Tsilhqox that he visited with archaeologist Michael Klassen. If this site corresponds with EkSa-97, located on the eastern bank of the Tsilhqox about halfway between Tsi T'is Gunlin to the north and Biny Gwechugh (Canoe Crossing) to the south, the site would lie within the Claim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749</w:t>
      </w:r>
      <w:r>
        <w:rPr>
          <w:rFonts w:ascii="arial" w:eastAsia="arial" w:hAnsi="arial" w:cs="arial"/>
          <w:color w:val="000000"/>
          <w:sz w:val="20"/>
          <w:lang w:val="en-US" w:eastAsia="en-US" w:bidi="ar-SA"/>
        </w:rPr>
        <w:t>  Francis Setah described Biny Gwetsel as a spring tislagh (steelhead salmon) spawning location. He testified that, according to his grandmother, the ?Esggidam killed or chased the ?Ena Tsel from Biny Gwetsel. Minnie Charleyboy testified that the place known as Biny Gwetsel was a popular tislagh fishing spot, where people would fish on both sides of the river. She said that ancestors and moderns alike slept either in tents or under the trees at this location. She said there was a Tsilhqot'in gravesite on the western bank of the Tsilhqox between Biny Gwetsel and Lingfield Creek.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750</w:t>
      </w:r>
      <w:r>
        <w:rPr>
          <w:rFonts w:ascii="arial" w:eastAsia="arial" w:hAnsi="arial" w:cs="arial"/>
          <w:color w:val="000000"/>
          <w:sz w:val="20"/>
          <w:lang w:val="en-US" w:eastAsia="en-US" w:bidi="ar-SA"/>
        </w:rPr>
        <w:t>  No historical records were cited that would confirm Tsilhqot'in residence on the eastern bank of the Tsilhqox near Biny Gwetsel in or around 1846. Eldridge concluded that the archaeological site recorded as EkSa-97 could not be the village visited by Father Nobili in 1845 since Nobili traveled only on the west bank of the Tsilhqox.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xii. Gwedeld'en T'ay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751</w:t>
      </w:r>
      <w:r>
        <w:rPr>
          <w:rFonts w:ascii="arial" w:eastAsia="arial" w:hAnsi="arial" w:cs="arial"/>
          <w:color w:val="000000"/>
          <w:sz w:val="20"/>
          <w:lang w:val="en-US" w:eastAsia="en-US" w:bidi="ar-SA"/>
        </w:rPr>
        <w:t>  In his affidavit, Theophile Ubill Lulua said that Tsilhqot'in people used to live in pit houses at Gwedeld'en T'ay, about two miles downstream from Biny Gwechugh. In oral testimony, Theophile Ubill Lulua confirmed that the site known as Gwedeld'en Tay is confined to the western side of the Tsilhqox, which means that the site falls outside of the Claim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752</w:t>
      </w:r>
      <w:r>
        <w:rPr>
          <w:rFonts w:ascii="arial" w:eastAsia="arial" w:hAnsi="arial" w:cs="arial"/>
          <w:color w:val="000000"/>
          <w:sz w:val="20"/>
          <w:lang w:val="en-US" w:eastAsia="en-US" w:bidi="ar-SA"/>
        </w:rPr>
        <w:t>  Both Theophile Ubill Lulua and Minnie Charleyboy associate the campsite at Gwedeld'en T'ay with graves and drumming; the name means "Indian Drum". Theophile Ubill Lulua testified that Tsilhqot'in people are buried there and that you can hear them drumming. Minnie Charleyboy testified that no one drums there 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xiii. Biny Gwechugh (Canoe Crossing)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753</w:t>
      </w:r>
      <w:r>
        <w:rPr>
          <w:rFonts w:ascii="arial" w:eastAsia="arial" w:hAnsi="arial" w:cs="arial"/>
          <w:color w:val="000000"/>
          <w:sz w:val="20"/>
          <w:lang w:val="en-US" w:eastAsia="en-US" w:bidi="ar-SA"/>
        </w:rPr>
        <w:t>  Biny Gwechugh, as its English name, Canoe Crossing, suggests, is a place where the Tsilhqox could be conveniently forded. The name applies to sites on both banks of the Tsilhqox, although the main site appears to be situated on the western bank. Biny Gwechugh is located about 3.5 kilometres north of the mouth of Tsilhqox Biny. Eldridge and Dewhirst agreed that this location next to the village site at Talhiqox Biny (Tatlayoko Lake) has the best correlation between historical records of village sites and the archaeological records. The site is registered in Victoria under Borden numbers EjSa-5 and EjSa-1483.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754</w:t>
      </w:r>
      <w:r>
        <w:rPr>
          <w:rFonts w:ascii="arial" w:eastAsia="arial" w:hAnsi="arial" w:cs="arial"/>
          <w:color w:val="000000"/>
          <w:sz w:val="20"/>
          <w:lang w:val="en-US" w:eastAsia="en-US" w:bidi="ar-SA"/>
        </w:rPr>
        <w:t>  This site was identified on the base map by Francis Setah, Chief William, and Theophile Ubill Lulua. The western side of Biny Gwechugh falls outside of the Claim Area, while the eastern side is within the Claim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755</w:t>
      </w:r>
      <w:r>
        <w:rPr>
          <w:rFonts w:ascii="arial" w:eastAsia="arial" w:hAnsi="arial" w:cs="arial"/>
          <w:color w:val="000000"/>
          <w:sz w:val="20"/>
          <w:lang w:val="en-US" w:eastAsia="en-US" w:bidi="ar-SA"/>
        </w:rPr>
        <w:t>  Minnie Charleyboy testified that she had been told that Qaq'ez (or Kahkul), the great-great grandfather of Chief William (and brother of Lha Ts'as'?in), was raised in an underground house at Biny Gwechugh. She also fished in a deep area of Biny Gwechugh called Qats'ay bid, using a net. She said that the ?Esiggdam used to fish at Biny Gwechugh. She named other Tsilhqot'in people who lived in the Tsilhqot'in pit house village at Biny Gwechugh including Nezulhtsin's parents and Nisewichish's parents. This dates the site as early nineteenth century.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756</w:t>
      </w:r>
      <w:r>
        <w:rPr>
          <w:rFonts w:ascii="arial" w:eastAsia="arial" w:hAnsi="arial" w:cs="arial"/>
          <w:color w:val="000000"/>
          <w:sz w:val="20"/>
          <w:lang w:val="en-US" w:eastAsia="en-US" w:bidi="ar-SA"/>
        </w:rPr>
        <w:t>  Theophile Ubill Lulua testified to learning from Eagle Lake Henry that about 40 lhiz qwen yex once lined both sides of the river in the area of Biny Gwechugh. Theophile Ubill Lulua could not say how many people lived in the lhiz qwen yex, but he did know that the residents of Biny Gwechugh had all moved away or died of old age by the time Eagle Lake Henry was 18 years 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757</w:t>
      </w:r>
      <w:r>
        <w:rPr>
          <w:rFonts w:ascii="arial" w:eastAsia="arial" w:hAnsi="arial" w:cs="arial"/>
          <w:color w:val="000000"/>
          <w:sz w:val="20"/>
          <w:lang w:val="en-US" w:eastAsia="en-US" w:bidi="ar-SA"/>
        </w:rPr>
        <w:t xml:space="preserve">  Archaeological evidence confirms the existence of cultural depressions on both sides of the Tsilhqox in the area of Biny Gwechugh. The main archaeological site, EjSa-5, is located on the west bank of the Tsilhqox. Matson et al. described the site in 1979 as including "several concentrations of large housepits as well as a large lithic scatter located on a grass covered terrace next to the stream": </w:t>
      </w:r>
      <w:r>
        <w:rPr>
          <w:rFonts w:ascii="arial" w:eastAsia="arial" w:hAnsi="arial" w:cs="arial"/>
          <w:i/>
          <w:color w:val="000000"/>
          <w:sz w:val="20"/>
          <w:lang w:val="en-US" w:eastAsia="en-US" w:bidi="ar-SA"/>
        </w:rPr>
        <w:t>The Eagle Lake Project</w:t>
      </w:r>
      <w:r>
        <w:rPr>
          <w:rFonts w:ascii="arial" w:eastAsia="arial" w:hAnsi="arial" w:cs="arial"/>
          <w:color w:val="000000"/>
          <w:sz w:val="20"/>
          <w:lang w:val="en-US" w:eastAsia="en-US" w:bidi="ar-SA"/>
        </w:rPr>
        <w:t xml:space="preserve"> report, pp. 55-56. A secondary site, for which archaeological information is also available although it cannot be linked to historical records, lies on the eastern bank within the Claim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758</w:t>
      </w:r>
      <w:r>
        <w:rPr>
          <w:rFonts w:ascii="arial" w:eastAsia="arial" w:hAnsi="arial" w:cs="arial"/>
          <w:color w:val="000000"/>
          <w:sz w:val="20"/>
          <w:lang w:val="en-US" w:eastAsia="en-US" w:bidi="ar-SA"/>
        </w:rPr>
        <w:t>  Both Eldridge and Dewhirst were of the opinion that either Biny Gwechugh or Gwedats'ish was the home of the "Tase Ley" or Long Lake Indians, identified as one of four Tsilhqot'in groups attached to Fort Chilcotin according to the HBC census of 1838. In addition, the larger archaeological site at Biny Gwechugh, EjSa-5, located on the west bank of the Tsilhqox, probably corresponds to one of the Tsilhqot'in villages visited by HBC traders, McDougall and Connolly and the missionary Father Nobili in the first half of the nineteenth century. Nobili, who is thought to have visited the site in his travels on the Chilcotin plateau in 1845, recorded erecting a cross on a hill near the village.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759</w:t>
      </w:r>
      <w:r>
        <w:rPr>
          <w:rFonts w:ascii="arial" w:eastAsia="arial" w:hAnsi="arial" w:cs="arial"/>
          <w:color w:val="000000"/>
          <w:sz w:val="20"/>
          <w:lang w:val="en-US" w:eastAsia="en-US" w:bidi="ar-SA"/>
        </w:rPr>
        <w:t>  Modern Tsilhqot'in people have commemorated the missionary's visit to Biny Gwechugh by re-erecting the cross on a ledge on the west shore of the Tsilhqox, overlooking the 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760</w:t>
      </w:r>
      <w:r>
        <w:rPr>
          <w:rFonts w:ascii="arial" w:eastAsia="arial" w:hAnsi="arial" w:cs="arial"/>
          <w:color w:val="000000"/>
          <w:sz w:val="20"/>
          <w:lang w:val="en-US" w:eastAsia="en-US" w:bidi="ar-SA"/>
        </w:rPr>
        <w:t>  Directly across the river from Biny Gwechugh (EjSa-5) is archaeological site, EjSa-14, also recorded by a team of anthropologists in 1979. EjSa-14 contains some 14 house pits and 21 cache pits. Tsilhqot'in people used and continue to use both sides of the river at this location.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xiv. Sul Gunlin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761</w:t>
      </w:r>
      <w:r>
        <w:rPr>
          <w:rFonts w:ascii="arial" w:eastAsia="arial" w:hAnsi="arial" w:cs="arial"/>
          <w:color w:val="000000"/>
          <w:sz w:val="20"/>
          <w:lang w:val="en-US" w:eastAsia="en-US" w:bidi="ar-SA"/>
        </w:rPr>
        <w:t>  Sul Gunlin is located very near to the outlet of Tsilhqox Biny on the eastern shore of the lake. It is within the Claim Area. Doris Lulua was taught that the ancestors lived in lhiz qwen yex in the vicinity of Sul Gunlin.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762</w:t>
      </w:r>
      <w:r>
        <w:rPr>
          <w:rFonts w:ascii="arial" w:eastAsia="arial" w:hAnsi="arial" w:cs="arial"/>
          <w:color w:val="000000"/>
          <w:sz w:val="20"/>
          <w:lang w:val="en-US" w:eastAsia="en-US" w:bidi="ar-SA"/>
        </w:rPr>
        <w:t xml:space="preserve">  Theophile Ubill Lulua described Sul Gunlin as a "wild rhubarb place" where Eagle Lake Henry had a hunting cabin. He also testified that he grew up in the area. He said he had seen four lhiz qwen yex at what is now the site of an airport. The airport was constructed in 1962 over top of these archeological remains. No archaeological or historical records were cited that would confirm Tsilhqot'in residence at this site </w:t>
      </w:r>
      <w:r>
        <w:rPr>
          <w:rFonts w:ascii="arial" w:eastAsia="arial" w:hAnsi="arial" w:cs="arial"/>
          <w:i/>
          <w:color w:val="000000"/>
          <w:sz w:val="20"/>
          <w:lang w:val="en-US" w:eastAsia="en-US" w:bidi="ar-SA"/>
        </w:rPr>
        <w:t>circa</w:t>
      </w:r>
      <w:r>
        <w:rPr>
          <w:rFonts w:ascii="arial" w:eastAsia="arial" w:hAnsi="arial" w:cs="arial"/>
          <w:color w:val="000000"/>
          <w:sz w:val="20"/>
          <w:lang w:val="en-US" w:eastAsia="en-US" w:bidi="ar-SA"/>
        </w:rPr>
        <w:t xml:space="preserve"> 1846, but given its proximity to Biny Gwechugh, it is logical to infer, as I do, that this was a site used and occupied by Tsilhqot'in people at the time of sovereignty assertion.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763</w:t>
      </w:r>
      <w:r>
        <w:rPr>
          <w:rFonts w:ascii="arial" w:eastAsia="arial" w:hAnsi="arial" w:cs="arial"/>
          <w:color w:val="000000"/>
          <w:sz w:val="20"/>
          <w:lang w:val="en-US" w:eastAsia="en-US" w:bidi="ar-SA"/>
        </w:rPr>
        <w:t>  Sul Gunlin appears to lie within the boundaries of Ts'il?os Provincial Park. According to Doris Lulua, the area of Sul Gunlin includes the DFO site and Chilko Lake Lodge.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 Xeni (Nemiah Valley)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764</w:t>
      </w:r>
      <w:r>
        <w:rPr>
          <w:rFonts w:ascii="arial" w:eastAsia="arial" w:hAnsi="arial" w:cs="arial"/>
          <w:color w:val="000000"/>
          <w:sz w:val="20"/>
          <w:lang w:val="en-US" w:eastAsia="en-US" w:bidi="ar-SA"/>
        </w:rPr>
        <w:t>  Xeni is a place of long standing Tsilhqot'in occupation. The word Xeni is said to be a rough substitute for Nemiah. Xeni Yeqox (Nemiah Creek) drains into the valley. Unlike the Tsilhqox corridor, the Xeni sites do not appear in the historical documents until the turn of the last century. The first distinct reference came when Edmund Elkins attempted to take up residence in the valley in the late nineteenth century. The southern boundary of Tachelach'ed cuts through Xeni and thus it is only partly within Tachelach'ed. It is also within the Western Trapline Territory.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765</w:t>
      </w:r>
      <w:r>
        <w:rPr>
          <w:rFonts w:ascii="arial" w:eastAsia="arial" w:hAnsi="arial" w:cs="arial"/>
          <w:color w:val="000000"/>
          <w:sz w:val="20"/>
          <w:lang w:val="en-US" w:eastAsia="en-US" w:bidi="ar-SA"/>
        </w:rPr>
        <w:t>  As with other parts of the Claim Area, and taking into account the invitation of counsel to express an opinion on where Tsilhqot'in Aboriginal title might lie, it is convenient to consider Xeni as a separate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766</w:t>
      </w:r>
      <w:r>
        <w:rPr>
          <w:rFonts w:ascii="arial" w:eastAsia="arial" w:hAnsi="arial" w:cs="arial"/>
          <w:color w:val="000000"/>
          <w:sz w:val="20"/>
          <w:lang w:val="en-US" w:eastAsia="en-US" w:bidi="ar-SA"/>
        </w:rPr>
        <w:t>  Tsilhqox Biny provides the western boundary of Xeni. Ts'il?os (Mount Tatlow) defines its southern boundary. Gweqez Dzelh and Xeni Dwelh provide the northern boundary, while the base of Tsiyi (Tsi ?Ezish Dzelh or Cardiff Mountain) where it meets the Dasiqox, marks its eastern boundary.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767</w:t>
      </w:r>
      <w:r>
        <w:rPr>
          <w:rFonts w:ascii="arial" w:eastAsia="arial" w:hAnsi="arial" w:cs="arial"/>
          <w:color w:val="000000"/>
          <w:sz w:val="20"/>
          <w:lang w:val="en-US" w:eastAsia="en-US" w:bidi="ar-SA"/>
        </w:rPr>
        <w:t>  When Indian Reserve Commissioner A.W. Vowell set aside two reserves on the eastern shore of Tsilhqox Biny, he wrote to the Deputy Commissioner of Lands and Works on October 14, 1899 that one of them was located "where some families have built houses and live in the winter." R.P. Bishop noted in his December 31, 1922 Report to Surveyor-General J.E. Umbach under "Indians" that "there are several old village sites in the valley". Thus, at the time the reserves were created, Tsilhqot'in people were there living in long-established winter quarters.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768</w:t>
      </w:r>
      <w:r>
        <w:rPr>
          <w:rFonts w:ascii="arial" w:eastAsia="arial" w:hAnsi="arial" w:cs="arial"/>
          <w:color w:val="000000"/>
          <w:sz w:val="20"/>
          <w:lang w:val="en-US" w:eastAsia="en-US" w:bidi="ar-SA"/>
        </w:rPr>
        <w:t>  Despite the presence of reserves in Xeni and the fact that most band members reside on reserve, there are a number of band members who live off reserve. The reserves are not included in the Claim Area. There seems to be little regard paid to the fact that not all of Xeni is reserve land. The land appears to be used as needed by the Xeni Gwet'in without licence, lease or payment. Band members who occupy homes off reserve in Xeni include: Eileen William, Emma Pierce, Elsie Quilt, Alex Lulua, Ubill Hunlin, Eugene William, Danny Sammy William and William Lulua.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769</w:t>
      </w:r>
      <w:r>
        <w:rPr>
          <w:rFonts w:ascii="arial" w:eastAsia="arial" w:hAnsi="arial" w:cs="arial"/>
          <w:color w:val="000000"/>
          <w:sz w:val="20"/>
          <w:lang w:val="en-US" w:eastAsia="en-US" w:bidi="ar-SA"/>
        </w:rPr>
        <w:t xml:space="preserve">  Chief Nemiah was born in Xeni </w:t>
      </w:r>
      <w:r>
        <w:rPr>
          <w:rFonts w:ascii="arial" w:eastAsia="arial" w:hAnsi="arial" w:cs="arial"/>
          <w:i/>
          <w:color w:val="000000"/>
          <w:sz w:val="20"/>
          <w:lang w:val="en-US" w:eastAsia="en-US" w:bidi="ar-SA"/>
        </w:rPr>
        <w:t>circa</w:t>
      </w:r>
      <w:r>
        <w:rPr>
          <w:rFonts w:ascii="arial" w:eastAsia="arial" w:hAnsi="arial" w:cs="arial"/>
          <w:color w:val="000000"/>
          <w:sz w:val="20"/>
          <w:lang w:val="en-US" w:eastAsia="en-US" w:bidi="ar-SA"/>
        </w:rPr>
        <w:t xml:space="preserve"> 1827. It appears that he died on July 11, 1927. His death certificate notes his age to be in excess of 100 years at that time. Dewhirst notes his D.O.B. as </w:t>
      </w:r>
      <w:r>
        <w:rPr>
          <w:rFonts w:ascii="arial" w:eastAsia="arial" w:hAnsi="arial" w:cs="arial"/>
          <w:i/>
          <w:color w:val="000000"/>
          <w:sz w:val="20"/>
          <w:lang w:val="en-US" w:eastAsia="en-US" w:bidi="ar-SA"/>
        </w:rPr>
        <w:t>circa</w:t>
      </w:r>
      <w:r>
        <w:rPr>
          <w:rFonts w:ascii="arial" w:eastAsia="arial" w:hAnsi="arial" w:cs="arial"/>
          <w:color w:val="000000"/>
          <w:sz w:val="20"/>
          <w:lang w:val="en-US" w:eastAsia="en-US" w:bidi="ar-SA"/>
        </w:rPr>
        <w:t xml:space="preserve"> 1830. Chief Sil Canem was buried in Xeni. Chief ?Achig was buried at Xexti in Xeni. Current Chief William was also born in Xeni.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i. Various Sites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770</w:t>
      </w:r>
      <w:r>
        <w:rPr>
          <w:rFonts w:ascii="arial" w:eastAsia="arial" w:hAnsi="arial" w:cs="arial"/>
          <w:color w:val="000000"/>
          <w:sz w:val="20"/>
          <w:lang w:val="en-US" w:eastAsia="en-US" w:bidi="ar-SA"/>
        </w:rPr>
        <w:t>  There are numerous sites in the valley with Tsilhqot'in names. These sites include Ses Ghen Tach'I (a fishing site) and Tses Nanint'i (a camping site), where several trails come together at the west end of the valley.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771</w:t>
      </w:r>
      <w:r>
        <w:rPr>
          <w:rFonts w:ascii="arial" w:eastAsia="arial" w:hAnsi="arial" w:cs="arial"/>
          <w:color w:val="000000"/>
          <w:sz w:val="20"/>
          <w:lang w:val="en-US" w:eastAsia="en-US" w:bidi="ar-SA"/>
        </w:rPr>
        <w:t>  Lhiz Bay at the western end of the valley is both on and off reserve. It is the site where Chief ?Achig had an altercation with the settler named Edmund Elkins in the late nineteenth century. As a result of this incident, Elkins was forced to relocate to another area in Tachelach'ed. It appears that the location of Elkins' attempted pre-emption is now on reserve.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772</w:t>
      </w:r>
      <w:r>
        <w:rPr>
          <w:rFonts w:ascii="arial" w:eastAsia="arial" w:hAnsi="arial" w:cs="arial"/>
          <w:color w:val="000000"/>
          <w:sz w:val="20"/>
          <w:lang w:val="en-US" w:eastAsia="en-US" w:bidi="ar-SA"/>
        </w:rPr>
        <w:t xml:space="preserve">  Lhiz Bay is a likely candidate for one of the "several old village sites in the valley", noted by the surveyor, R.P. Bishop, in 1922. Norman George Setah personally recalled houses at Lhiz Bay which were occupied by people now deceased. He recalled that when he was around five years old he burned down the house of Johnny Setah or ?Eweniwen (b. </w:t>
      </w:r>
      <w:r>
        <w:rPr>
          <w:rFonts w:ascii="arial" w:eastAsia="arial" w:hAnsi="arial" w:cs="arial"/>
          <w:i/>
          <w:color w:val="000000"/>
          <w:sz w:val="20"/>
          <w:lang w:val="en-US" w:eastAsia="en-US" w:bidi="ar-SA"/>
        </w:rPr>
        <w:t>circa</w:t>
      </w:r>
      <w:r>
        <w:rPr>
          <w:rFonts w:ascii="arial" w:eastAsia="arial" w:hAnsi="arial" w:cs="arial"/>
          <w:color w:val="000000"/>
          <w:sz w:val="20"/>
          <w:lang w:val="en-US" w:eastAsia="en-US" w:bidi="ar-SA"/>
        </w:rPr>
        <w:t xml:space="preserve"> 1871 or 1875, d. 06 March 1955). It was a log house with a grass floor. Little George Setah (b. 1897 or 1899, d. 07 October 1971) also had a house in Lhiz Bay.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773</w:t>
      </w:r>
      <w:r>
        <w:rPr>
          <w:rFonts w:ascii="arial" w:eastAsia="arial" w:hAnsi="arial" w:cs="arial"/>
          <w:color w:val="000000"/>
          <w:sz w:val="20"/>
          <w:lang w:val="en-US" w:eastAsia="en-US" w:bidi="ar-SA"/>
        </w:rPr>
        <w:t>  There is some confusion in the evidence between Lhiz Bay and Lhiz Bay Biny, a small lake south of the Lezbye I.R. #6 boundary. It is clear, however, that most of Lhiz Bay is on reserve and, to that extent, not included in the Claim Area. There is no archaeological evidence available for either of these locations.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774</w:t>
      </w:r>
      <w:r>
        <w:rPr>
          <w:rFonts w:ascii="arial" w:eastAsia="arial" w:hAnsi="arial" w:cs="arial"/>
          <w:color w:val="000000"/>
          <w:sz w:val="20"/>
          <w:lang w:val="en-US" w:eastAsia="en-US" w:bidi="ar-SA"/>
        </w:rPr>
        <w:t>  On March 5, 1969, British Columbia sold Block A of lot 305 to Daniel William (then Chief of the Nemiah Valley Indian Band) for $845. The band requested that the land be made into a reserve, and it eventually became Lezbye I.R. #6.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775</w:t>
      </w:r>
      <w:r>
        <w:rPr>
          <w:rFonts w:ascii="arial" w:eastAsia="arial" w:hAnsi="arial" w:cs="arial"/>
          <w:color w:val="000000"/>
          <w:sz w:val="20"/>
          <w:lang w:val="en-US" w:eastAsia="en-US" w:bidi="ar-SA"/>
        </w:rPr>
        <w:t>  Xexti is a Tsilhqot'in burial place in Xeni near Xexti Biny (Nemiah Lake). It is not on reserve. Four generations of Setahs are said to be buried at this site dating back to Old Sit'ax (Louis Setah). His death certificate records that he was about 100 years of age when he died in Xeni on October 29, 1927. There is no archaeological evidence available for this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776</w:t>
      </w:r>
      <w:r>
        <w:rPr>
          <w:rFonts w:ascii="arial" w:eastAsia="arial" w:hAnsi="arial" w:cs="arial"/>
          <w:color w:val="000000"/>
          <w:sz w:val="20"/>
          <w:lang w:val="en-US" w:eastAsia="en-US" w:bidi="ar-SA"/>
        </w:rPr>
        <w:t>  Tl'ebayi lies at the west end of Xeni Biny. Much of it, but not all, is on reserve. There are the remains of at least two lhiz qwen yex at this location. It is the present school site and the site of the band offices of the Xeni Gwet'in First Nations.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777</w:t>
      </w:r>
      <w:r>
        <w:rPr>
          <w:rFonts w:ascii="arial" w:eastAsia="arial" w:hAnsi="arial" w:cs="arial"/>
          <w:color w:val="000000"/>
          <w:sz w:val="20"/>
          <w:lang w:val="en-US" w:eastAsia="en-US" w:bidi="ar-SA"/>
        </w:rPr>
        <w:t>  ?Et'an Ghintil is an underground house site on the south shore of Xeni Biny. Gilbert Solomon said that it was occupied by the ?Esggidam.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778</w:t>
      </w:r>
      <w:r>
        <w:rPr>
          <w:rFonts w:ascii="arial" w:eastAsia="arial" w:hAnsi="arial" w:cs="arial"/>
          <w:color w:val="000000"/>
          <w:sz w:val="20"/>
          <w:lang w:val="en-US" w:eastAsia="en-US" w:bidi="ar-SA"/>
        </w:rPr>
        <w:t>  North of Xeni Biny, roughly at the centre of the lake, is Tl'ets'inged. This site is approximately half way between the reserves at the east and west ends of Xeni Biny. Ubill Hunlin has lived there with his family for about 25 years. Francis William has an old cabin there. Members of Chief William's family have a cabin at this site and use it as a fishing camp from time to time. Xeni Gwet'in people camp there for berry picking.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779</w:t>
      </w:r>
      <w:r>
        <w:rPr>
          <w:rFonts w:ascii="arial" w:eastAsia="arial" w:hAnsi="arial" w:cs="arial"/>
          <w:color w:val="000000"/>
          <w:sz w:val="20"/>
          <w:lang w:val="en-US" w:eastAsia="en-US" w:bidi="ar-SA"/>
        </w:rPr>
        <w:t>  Joseph William was taught by his grandmother, Annie William, that the ?Esggidam would pile rocks and set up a snare to catch ?elhtilh (wild chickens) at a place called Tsi Nadenisdzay, which is above Tl'ets'inged on the slope of Xeni Dzelh which rises up from Xeni Biny. It is not on reserve and therefore, within the Claim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780</w:t>
      </w:r>
      <w:r>
        <w:rPr>
          <w:rFonts w:ascii="arial" w:eastAsia="arial" w:hAnsi="arial" w:cs="arial"/>
          <w:color w:val="000000"/>
          <w:sz w:val="20"/>
          <w:lang w:val="en-US" w:eastAsia="en-US" w:bidi="ar-SA"/>
        </w:rPr>
        <w:t>  Naghataneqed is at the east end of Xeni Biny and is mostly on reserve. There are several old house pits in the vicinity. Tsilhqot'in houses and a gravesite are located there. Gatherings are held at Naghataneqed and have been from a time before the church was built there. David Setah also referred to an old village at Naghataneqed which is not on reserve.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781</w:t>
      </w:r>
      <w:r>
        <w:rPr>
          <w:rFonts w:ascii="arial" w:eastAsia="arial" w:hAnsi="arial" w:cs="arial"/>
          <w:color w:val="000000"/>
          <w:sz w:val="20"/>
          <w:lang w:val="en-US" w:eastAsia="en-US" w:bidi="ar-SA"/>
        </w:rPr>
        <w:t>  The gravesite at Naghataneqed is called Chel Letesgan. When the "big flu" came in 1918, before the reserve was surveyed, there were a number of people living in cabins at Naghataneqed. Those people included Tselakoy and his wife, ?Estinlh and their family, ?Amed's mother and ?Eskish (Captain George). Thirty two people who died in the sickness of 1918 are buried there. Captain George (1883-1973) is buried at Chel Letesgan.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782</w:t>
      </w:r>
      <w:r>
        <w:rPr>
          <w:rFonts w:ascii="arial" w:eastAsia="arial" w:hAnsi="arial" w:cs="arial"/>
          <w:color w:val="000000"/>
          <w:sz w:val="20"/>
          <w:lang w:val="en-US" w:eastAsia="en-US" w:bidi="ar-SA"/>
        </w:rPr>
        <w:t>  Tl'etates is said to be off reserve at the east end of Xeni Biny at Naghataneqed. This is where Chief William was born. Many other Tsilhqot'in people have lived at Naghataneqed during the last century.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ii. 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783</w:t>
      </w:r>
      <w:r>
        <w:rPr>
          <w:rFonts w:ascii="arial" w:eastAsia="arial" w:hAnsi="arial" w:cs="arial"/>
          <w:color w:val="000000"/>
          <w:sz w:val="20"/>
          <w:lang w:val="en-US" w:eastAsia="en-US" w:bidi="ar-SA"/>
        </w:rPr>
        <w:t>  Much of the evidence concerning the use and occupation of the various places in Xeni relate to twentieth century activities. Oral history evidence provides an understanding of use and occupation in the nineteenth century. That evidence records use and occupation by the ?Esggidam, living in and about the valley, using the old trails, hunting, fishing and harvesting root and medicinal plants. There is also evidence of house pit depressions. I infer that these were the remains of pit houses in which Tsilhqot'in people lived. This entire area is also in close proximity to the head of Tsilhqox Biny where the evidence clearly shows Tsilhqot'in occupation pre-sovereignty.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 Tachelach'ed (Brittany Triangle)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784</w:t>
      </w:r>
      <w:r>
        <w:rPr>
          <w:rFonts w:ascii="arial" w:eastAsia="arial" w:hAnsi="arial" w:cs="arial"/>
          <w:color w:val="000000"/>
          <w:sz w:val="20"/>
          <w:lang w:val="en-US" w:eastAsia="en-US" w:bidi="ar-SA"/>
        </w:rPr>
        <w:t>  The name Tachelach'ed refers to the whole area between the Tsilhqox and Dasiqox. Tsilhqot'in people identify the waters of Tachelach'ed as follows. In the southwest, Natasewed Yeqox runs through Natasewed Biny (Brittany Lake), Tsi Tex Biny (Murray Taylor Lake) and Ben Chuy Biny to its outlet on the Tsilhqox at Nusay Bighinlin. The spring water of north central Tachelach'ed is found at ?Esqi Tintenisdzah (Child Got Lost). In the southeast, the Nuntsi chain of waters runs to the Dasiqox. Elkin Valley, named for the first settler in the area and whom Chief ?Achig caused to move to the valley's southern perimeter, contains ?Elhghatish Biny (Vedan Lake) and Nabi Tsi Biny (Elkin Lake). Together these lakes are known as the Twin Lakes. To the valley's west is Tsanlgen Biny (Chaunigan Lake), which drains northeast to Elkin Creek.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785</w:t>
      </w:r>
      <w:r>
        <w:rPr>
          <w:rFonts w:ascii="arial" w:eastAsia="arial" w:hAnsi="arial" w:cs="arial"/>
          <w:color w:val="000000"/>
          <w:sz w:val="20"/>
          <w:lang w:val="en-US" w:eastAsia="en-US" w:bidi="ar-SA"/>
        </w:rPr>
        <w:t>  The western boundary of this triangular tract follows the banks of the Tsilhqox. Its southwestern edge runs along the eastern shore of Tsilhqox Biny from the lake outlet to a point at the southwest corner of the Xeni Gwet'in reserve in Xeni where it meets the baseline southern boundary. The eastern boundary is defined by the Dasiqox. The northern tip is at ?Elhixidlin (Tsilhqox-Dasiqox confluence).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786</w:t>
      </w:r>
      <w:r>
        <w:rPr>
          <w:rFonts w:ascii="arial" w:eastAsia="arial" w:hAnsi="arial" w:cs="arial"/>
          <w:color w:val="000000"/>
          <w:sz w:val="20"/>
          <w:lang w:val="en-US" w:eastAsia="en-US" w:bidi="ar-SA"/>
        </w:rPr>
        <w:t>  The southern boundary of Tachelach'ed was described in three different locations by witnesses. Mabel William described Tachelach'ed as extending south to Ts'il?os. This description includes Xeni, as Ts'il?os stretches eastward to the head of the Dasiqox. Martin Quilt testified that Tachelach'ed extends further south to the head waters of Tsilhqox Biny and Dasiqox Biny. Francis Setah's evidence indicates the southern boundary is as discussed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787</w:t>
      </w:r>
      <w:r>
        <w:rPr>
          <w:rFonts w:ascii="arial" w:eastAsia="arial" w:hAnsi="arial" w:cs="arial"/>
          <w:color w:val="000000"/>
          <w:sz w:val="20"/>
          <w:lang w:val="en-US" w:eastAsia="en-US" w:bidi="ar-SA"/>
        </w:rPr>
        <w:t>  Viewed conservatively, the southern boundary runs west to east from Tsilhqox Biny along the Claim Area's mountain plateau transition zone, to the Dasiqox. The boundary on the base map follows the Nemiah Valley Road from the Davidson Bridge crossing over the Dasiqox in a westerly direction until it reaches Xeni Biny, then follows that lake's southern shore to its confluence with Xeni Yeqox where it follows the creek to the eastern shore of Tsilhqox Biny. This triangular tract of land is bounded on the south by Ts'uni?ad Dzelh (Tsuniah Mountain), Ts'uni?ad (Tsuniah Valley), Gweq'ez Dzelh (Nemiah Mountain), Mainguy Lake and Xeni Dzelh (Konni Mountain).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788</w:t>
      </w:r>
      <w:r>
        <w:rPr>
          <w:rFonts w:ascii="arial" w:eastAsia="arial" w:hAnsi="arial" w:cs="arial"/>
          <w:color w:val="000000"/>
          <w:sz w:val="20"/>
          <w:lang w:val="en-US" w:eastAsia="en-US" w:bidi="ar-SA"/>
        </w:rPr>
        <w:t>  Excluding this disagreement over the southern boundary, all Tsilhqot'in witnesses were unanimous that the above mentioned lands and waters are within Tachelach'ed. Thus, Tachelach'ed is seen as a triangular tract of land with a largely uniform character, namely, the plateau dominated forestlands between the Tsilhqox and Dasiqox. The plaintiff's argument proceeded on the assumption that the conservative definition of the southern boundary applies.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789</w:t>
      </w:r>
      <w:r>
        <w:rPr>
          <w:rFonts w:ascii="arial" w:eastAsia="arial" w:hAnsi="arial" w:cs="arial"/>
          <w:color w:val="000000"/>
          <w:sz w:val="20"/>
          <w:lang w:val="en-US" w:eastAsia="en-US" w:bidi="ar-SA"/>
        </w:rPr>
        <w:t>  The plaintiff says that Tsilhqot'in people physically occupied Tachelach'ed prior to, at and well after the assertion of Crown sovereignty. That occupation includes the construction of dwellings, as well as a regular use of Tachelach'ed by Tsilhqot'in people for hunting, fishing and trapping.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790</w:t>
      </w:r>
      <w:r>
        <w:rPr>
          <w:rFonts w:ascii="arial" w:eastAsia="arial" w:hAnsi="arial" w:cs="arial"/>
          <w:color w:val="000000"/>
          <w:sz w:val="20"/>
          <w:lang w:val="en-US" w:eastAsia="en-US" w:bidi="ar-SA"/>
        </w:rPr>
        <w:t>  Few sites within Tachelach'ed can be linked by either historical or archaeological evidence to Tsilhqot'in villages or communities in the time period around 1846. In 1822 McDougall recorded that the land east of the Tsilhqox was a "favourite hunting ground" for Tsilhqot'in people. Most of the evidence available concerns twentieth century use and residence. During the twentieth century, Tsilhqot'in people appear to have moved into areas in Tachelach'ed where hay and water could be readily obtained in order to engage in ranching.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791</w:t>
      </w:r>
      <w:r>
        <w:rPr>
          <w:rFonts w:ascii="arial" w:eastAsia="arial" w:hAnsi="arial" w:cs="arial"/>
          <w:color w:val="000000"/>
          <w:sz w:val="20"/>
          <w:lang w:val="en-US" w:eastAsia="en-US" w:bidi="ar-SA"/>
        </w:rPr>
        <w:t>  The evidence discloses that the area around the major lakes in Tachelach'ed, including Natasewed Biny, Tsalngen Biny, ?Elhgatish Biny, and Ts'uni?ad Biny contains pit house remains. Mabel William saw a niyah qungh near Ben Chuy Biny in Tachelach'ed. She said that it had "rotted down" and all the logs had fallen in. Ben Chuy Biny is a long lake inland from Nusay Bighinlin.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792</w:t>
      </w:r>
      <w:r>
        <w:rPr>
          <w:rFonts w:ascii="arial" w:eastAsia="arial" w:hAnsi="arial" w:cs="arial"/>
          <w:color w:val="000000"/>
          <w:sz w:val="20"/>
          <w:lang w:val="en-US" w:eastAsia="en-US" w:bidi="ar-SA"/>
        </w:rPr>
        <w:t>  As semi-nomadic people, there is no doubt that Tsilhqot'in people have derived subsistence from every quarter of Tachelach'ed. They have hunted, fished and moved about this area since before first contact with Europeans. It is a central part of their oral traditions, providing strength and continuity to their lives as Tsilhqot'in people. However, the entire area of Tachelch'ed does not qualify for a declaration of Tsilhqot'in Aboriginal title due to the absence of evidence with respect to the northern and central portions of the triangle. I later discuss those portions of Tachelach'ed that do warrant a finding of Aboriginal title.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793</w:t>
      </w:r>
      <w:r>
        <w:rPr>
          <w:rFonts w:ascii="arial" w:eastAsia="arial" w:hAnsi="arial" w:cs="arial"/>
          <w:color w:val="000000"/>
          <w:sz w:val="20"/>
          <w:lang w:val="en-US" w:eastAsia="en-US" w:bidi="ar-SA"/>
        </w:rPr>
        <w:t>  In reaching this conclusion, I have taken the following factors into account:</w:t>
      </w:r>
      <w:r>
        <w:rPr>
          <w:rFonts w:ascii="arial" w:eastAsia="arial" w:hAnsi="arial" w:cs="arial"/>
          <w:sz w:val="20"/>
          <w:lang w:val="en-US" w:eastAsia="en-US" w:bidi="ar-SA"/>
        </w:rPr>
        <w:cr/>
      </w:r>
    </w:p>
    <w:p>
      <w:pPr>
        <w:numPr>
          <w:numId w:val="2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Tachelach'ed is a vast area comprising almost 142,000 hectares.</w:t>
      </w:r>
    </w:p>
    <w:p>
      <w:pPr>
        <w:numPr>
          <w:numId w:val="2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time of sovereignty assertion, the population of Tsilhqot'in people in this immediate area was approximately 300. That population could mainly be found along the Tsilhqox corridor, at the outlet area of Tsilhqox Biny and southward into Xeni. It is not possible to recreate today an accurate census for that period.</w:t>
      </w:r>
    </w:p>
    <w:p>
      <w:pPr>
        <w:numPr>
          <w:numId w:val="2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Occupation of a more permanent nature during the winter season was confined to the lakes and rivers at the southern end of Tachelach'ed and towards the Tsilhqox.</w:t>
      </w:r>
    </w:p>
    <w:p>
      <w:pPr>
        <w:numPr>
          <w:numId w:val="2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Other than the presence of HBC traders, there is no evidence of occupation by others at the significant historical point of sovereignty assertion.</w:t>
      </w:r>
    </w:p>
    <w:p>
      <w:pPr>
        <w:numPr>
          <w:numId w:val="2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Oral history evidence may be traced to the late nineteenth century and the twentieth century. It is extremely difficult to find oral history evidence to accurately connect to a period over 150 years ago.</w:t>
      </w:r>
    </w:p>
    <w:p>
      <w:pPr>
        <w:numPr>
          <w:numId w:val="2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oral history evidence does not demonstrate the same degree of use throughout the entire area. There appears to have been a much wider use at the southern end of the triangle and over towards the Tsilhqox than in other areas of Tachelach'ed.</w:t>
      </w:r>
    </w:p>
    <w:p>
      <w:pPr>
        <w:numPr>
          <w:numId w:val="2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an absence of historical evidence concerning the interior of Tachelach'ed at the critical historical point.</w:t>
      </w:r>
    </w:p>
    <w:p>
      <w:pPr>
        <w:numPr>
          <w:numId w:val="2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evidence of the remains of traditional housing in the interior of Tachelach'ed but no archaeological or anthropological evidence to tie these remains to Tsilhqot'in use at the time of sovereignty assertion. If the age of some of these remains were known, it might be easier to connect them to Tsilhqot'in use. Notwithstanding this absence of evidence, I am prepared to draw the inference and acknowledge the use of this housing by Tsilhqot'in people on a balance of probabilities but, once again, the time and extent of use is not known.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794</w:t>
      </w:r>
      <w:r>
        <w:rPr>
          <w:rFonts w:ascii="arial" w:eastAsia="arial" w:hAnsi="arial" w:cs="arial"/>
          <w:color w:val="000000"/>
          <w:sz w:val="20"/>
          <w:lang w:val="en-US" w:eastAsia="en-US" w:bidi="ar-SA"/>
        </w:rPr>
        <w:t>  In summary, there are areas within Tachelach'ed where I consider the use and occupation by Tsilhqot'in people at the time of sovereignty assertion to be sufficient to warrant a finding of Aboriginal title. The evidence does not lead to a finding of sufficient use and occupation throughout Tachelach'ed.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795</w:t>
      </w:r>
      <w:r>
        <w:rPr>
          <w:rFonts w:ascii="arial" w:eastAsia="arial" w:hAnsi="arial" w:cs="arial"/>
          <w:color w:val="000000"/>
          <w:sz w:val="20"/>
          <w:lang w:val="en-US" w:eastAsia="en-US" w:bidi="ar-SA"/>
        </w:rPr>
        <w:t>  I now consider specific locations where Tsilhqot'in Aboriginal title might lie in Tachelach'ed.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i. Gweq'ez Dzelh and Xeni Dzelh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796</w:t>
      </w:r>
      <w:r>
        <w:rPr>
          <w:rFonts w:ascii="arial" w:eastAsia="arial" w:hAnsi="arial" w:cs="arial"/>
          <w:color w:val="000000"/>
          <w:sz w:val="20"/>
          <w:lang w:val="en-US" w:eastAsia="en-US" w:bidi="ar-SA"/>
        </w:rPr>
        <w:t>  Gweq'ez Dzelh (Nemiah Mountain) and Xeni Dzelh (Konni Mountain) are located in the transition zone between the Chilcotin Range and the rolling terrain of the Chilcotin Plateau. They are bounded on the northwest by Ts'uni?ad, on the west by Tsilhqox Biny, on the south by Xeni, on the east by Elkin Valley and on the north by the leveling Chilcotin Plateau lands between the Dasiqox and Tsilhqox.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797</w:t>
      </w:r>
      <w:r>
        <w:rPr>
          <w:rFonts w:ascii="arial" w:eastAsia="arial" w:hAnsi="arial" w:cs="arial"/>
          <w:color w:val="000000"/>
          <w:sz w:val="20"/>
          <w:lang w:val="en-US" w:eastAsia="en-US" w:bidi="ar-SA"/>
        </w:rPr>
        <w:t>  The mountains are oriented on a west-east axis; Gweq'ez Dzelh on the west and Xeni Dzelh on the east. The two mountains are joined by a small valley, ?Esqi Dzul Tese?an, that drains waters south into central Xeni. These waters originate from both Shishan Tl'ad (mountain sheep basin) on east Gweq'ez Dzelh and from small lakes on northwest Xeni Dzelh, in particular, Nen Nuy Dilex Biny, Chantl'ex Biny and Ts'itse?ex Biny.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798</w:t>
      </w:r>
      <w:r>
        <w:rPr>
          <w:rFonts w:ascii="arial" w:eastAsia="arial" w:hAnsi="arial" w:cs="arial"/>
          <w:color w:val="000000"/>
          <w:sz w:val="20"/>
          <w:lang w:val="en-US" w:eastAsia="en-US" w:bidi="ar-SA"/>
        </w:rPr>
        <w:t>  The areas surrounding and including these mountains are tied together by a network of Tsilhqot'in trails. These trails connect Xeni to the fishing grounds on Tsuni?ah Biny and farther to the Tsilhqox. These trails provided a regular means of access for Tsilhqot'in people to areas where they hunted, fished and gathered medicinal plants, root plants and berries.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ii. ?Esqi Nintanisdzah (Child Got Lost)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799</w:t>
      </w:r>
      <w:r>
        <w:rPr>
          <w:rFonts w:ascii="arial" w:eastAsia="arial" w:hAnsi="arial" w:cs="arial"/>
          <w:color w:val="000000"/>
          <w:sz w:val="20"/>
          <w:lang w:val="en-US" w:eastAsia="en-US" w:bidi="ar-SA"/>
        </w:rPr>
        <w:t>  Midway between Natasewed Biny and the confluence of the Tsilhqox and Dasiqox is a place known as ?Esqi Nintanisdzah. There is a story of a child getting lost in the area in the early 1930's. Spring water and a meadow that provides feed for horses is available in this area. This location was used in the last century as a late fall or early winter deer hunting site. The use of this location seems to have fallen off with the passing of the years. There is no written historical or archeological evidence about this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iii. Nu Natase?ex (Mountain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800</w:t>
      </w:r>
      <w:r>
        <w:rPr>
          <w:rFonts w:ascii="arial" w:eastAsia="arial" w:hAnsi="arial" w:cs="arial"/>
          <w:color w:val="000000"/>
          <w:sz w:val="20"/>
          <w:lang w:val="en-US" w:eastAsia="en-US" w:bidi="ar-SA"/>
        </w:rPr>
        <w:t>  Nu Natase?ex is located east of the Tsilhqox, roughly parallel to the north end of Naghatalhchoz Biny (Big Eagle Lake).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801</w:t>
      </w:r>
      <w:r>
        <w:rPr>
          <w:rFonts w:ascii="arial" w:eastAsia="arial" w:hAnsi="arial" w:cs="arial"/>
          <w:color w:val="000000"/>
          <w:sz w:val="20"/>
          <w:lang w:val="en-US" w:eastAsia="en-US" w:bidi="ar-SA"/>
        </w:rPr>
        <w:t>  No archaeological or historical records were cited that would confirm Tsilhqot'in residence at this site in or around 1846. According to the oral history evidence, Tsilhqot'in families have had houses at Nu Natase?ex since the turn of the twentieth century. Burial grounds at the site mark the graves of a number of people who died there as a result of the 1918 influenza epidemic.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802</w:t>
      </w:r>
      <w:r>
        <w:rPr>
          <w:rFonts w:ascii="arial" w:eastAsia="arial" w:hAnsi="arial" w:cs="arial"/>
          <w:color w:val="000000"/>
          <w:sz w:val="20"/>
          <w:lang w:val="en-US" w:eastAsia="en-US" w:bidi="ar-SA"/>
        </w:rPr>
        <w:t xml:space="preserve">  Mabel William deposed that ?Elegesi (Eagle Lake Henry) told her that at the time of the great flu, Nezulhtsin (also known as Jamadis, born </w:t>
      </w:r>
      <w:r>
        <w:rPr>
          <w:rFonts w:ascii="arial" w:eastAsia="arial" w:hAnsi="arial" w:cs="arial"/>
          <w:i/>
          <w:color w:val="000000"/>
          <w:sz w:val="20"/>
          <w:lang w:val="en-US" w:eastAsia="en-US" w:bidi="ar-SA"/>
        </w:rPr>
        <w:t>circa</w:t>
      </w:r>
      <w:r>
        <w:rPr>
          <w:rFonts w:ascii="arial" w:eastAsia="arial" w:hAnsi="arial" w:cs="arial"/>
          <w:color w:val="000000"/>
          <w:sz w:val="20"/>
          <w:lang w:val="en-US" w:eastAsia="en-US" w:bidi="ar-SA"/>
        </w:rPr>
        <w:t xml:space="preserve"> 1824 or 1827) and his wife had a niyah qungh at Nu Natase?ex. This oral history link between Nu Natase?ex and Nezulhtsin appears to indicate occupation of this site by Tsilhqot'in people at the time of sovereignty assertion.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803</w:t>
      </w:r>
      <w:r>
        <w:rPr>
          <w:rFonts w:ascii="arial" w:eastAsia="arial" w:hAnsi="arial" w:cs="arial"/>
          <w:color w:val="000000"/>
          <w:sz w:val="20"/>
          <w:lang w:val="en-US" w:eastAsia="en-US" w:bidi="ar-SA"/>
        </w:rPr>
        <w:t>  Nu Natase?ex is closely associated with Eagle Lake Henry. He and his two wives are said to be buried at that location. A number of witnesses testified that Eagle Lake Henry lived at Nu Natase?ex, where he was sometimes joined by other Tsilhqot'in people from time to time. A series of documents detail Eagle Lake Henry's application to purchase Coast District Lot 1191. This lot is located several kilometres east of the Tsilhqox and was to be used for ranching purposes. The survey documents suggest that Eagle Lake Henry was living in the area for about 16 or 17 years before applying to purchase the land in the early 1940's. He applied as an enfranchised Indian. A Crown Grant to Lot 1191 was issued to Eagle Lake Henry in December of 1944.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iv. Natasewed Biny (Brittany Lake)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804</w:t>
      </w:r>
      <w:r>
        <w:rPr>
          <w:rFonts w:ascii="arial" w:eastAsia="arial" w:hAnsi="arial" w:cs="arial"/>
          <w:color w:val="000000"/>
          <w:sz w:val="20"/>
          <w:lang w:val="en-US" w:eastAsia="en-US" w:bidi="ar-SA"/>
        </w:rPr>
        <w:t>  Not far from Nu Natase?ex is Natasewed Biny. It is a horseshoe shaped lake located east of Naghatalhchoz Biny and is within Tachelach'ed.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805</w:t>
      </w:r>
      <w:r>
        <w:rPr>
          <w:rFonts w:ascii="arial" w:eastAsia="arial" w:hAnsi="arial" w:cs="arial"/>
          <w:color w:val="000000"/>
          <w:sz w:val="20"/>
          <w:lang w:val="en-US" w:eastAsia="en-US" w:bidi="ar-SA"/>
        </w:rPr>
        <w:t>  While no historical records were adduced that would confirm Tsilhqot'in residence at this site in or around 1846, there is some evidence of pre-sovereignty occupation. Theophile Ubill Lulua testified that he saw four pit house remains at the north end of Natasewed Biny where "old people" used to live. He was also told about other pit house remains at that location. Eliza William deposed that her adoptive grandfather, Nezulhtsin fished in the area of Natasewed Biny.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v. Captain George Town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806</w:t>
      </w:r>
      <w:r>
        <w:rPr>
          <w:rFonts w:ascii="arial" w:eastAsia="arial" w:hAnsi="arial" w:cs="arial"/>
          <w:color w:val="000000"/>
          <w:sz w:val="20"/>
          <w:lang w:val="en-US" w:eastAsia="en-US" w:bidi="ar-SA"/>
        </w:rPr>
        <w:t>  Captain George Town, and nearby Neba?elhnaxnenelh?elqelh (Deni Belh Tenalqelh) are located east of Natasewed Biny and north of the Twin Lakes (?Elhghatish Biny and Nabi Tsi Biny) within Tachelach'ed. The site is named after Captain George, an enfranchised Tsilhqot'in person, who established a ranch in the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807</w:t>
      </w:r>
      <w:r>
        <w:rPr>
          <w:rFonts w:ascii="arial" w:eastAsia="arial" w:hAnsi="arial" w:cs="arial"/>
          <w:color w:val="000000"/>
          <w:sz w:val="20"/>
          <w:lang w:val="en-US" w:eastAsia="en-US" w:bidi="ar-SA"/>
        </w:rPr>
        <w:t>  Ubill Hunlin testified that Captain George's grandfather lived at Deni Belh Tenalqelh, and that Tsilhqot'in ?Esggidam occupied the site before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808</w:t>
      </w:r>
      <w:r>
        <w:rPr>
          <w:rFonts w:ascii="arial" w:eastAsia="arial" w:hAnsi="arial" w:cs="arial"/>
          <w:color w:val="000000"/>
          <w:sz w:val="20"/>
          <w:lang w:val="en-US" w:eastAsia="en-US" w:bidi="ar-SA"/>
        </w:rPr>
        <w:t>  The plaintiff argues that Captain George became enfranchised in order to take back a parcel of land that had been pre-empted by a non-Tsilhqot'in person. However, there is no indication that Lillooet Lot 7381, which Captain George eventually obtained, was previously alienated to another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vi. Far Meadow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809</w:t>
      </w:r>
      <w:r>
        <w:rPr>
          <w:rFonts w:ascii="arial" w:eastAsia="arial" w:hAnsi="arial" w:cs="arial"/>
          <w:color w:val="000000"/>
          <w:sz w:val="20"/>
          <w:lang w:val="en-US" w:eastAsia="en-US" w:bidi="ar-SA"/>
        </w:rPr>
        <w:t>  North of Captain George Town, still within Tachelach'ed is Far Meadow. While no archaeological or historical evidence was adduced that would confirm Tsilhqot'in residence at this site in or around 1846, there is evidence of residence by individual Tsilhqot'in people throughout the twentieth century. According to Chief William, Sil Canem built a cabin at Far Meadow. That cabin was later occupied by Eagle Lake Henry. A number of Tsilhqot'in witnesses testified to having lived there during the winter.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810</w:t>
      </w:r>
      <w:r>
        <w:rPr>
          <w:rFonts w:ascii="arial" w:eastAsia="arial" w:hAnsi="arial" w:cs="arial"/>
          <w:color w:val="000000"/>
          <w:sz w:val="20"/>
          <w:lang w:val="en-US" w:eastAsia="en-US" w:bidi="ar-SA"/>
        </w:rPr>
        <w:t>  In 1926, Surveyor J. Davidson surveyed Lillooet District Lot 5411 at or near the place marked as Far Meadow. The survey was requested by Eagle Lake Henry. It appears to have been facilitated by a letter dated 14 January 1922 from W.E. Ditchburn, Chief Inspector of Indian Agencies, to the provincial Deputy Minister of Lands. The letter, written 3 September 1921 to W.E. Ditchburn, cites a report by Indian Agent A. Daunt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beg to inform you that there is one Indian in the area north and west of Hanceville, whose holdings of Crown lands should receive some protection.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case is, however, somewhat difficult to deal with, for not only are the lands unsurveyed, but he has so many places, and so much grazing fenced, that it would be impossible to obtain a representative portion within the confines of, say a 160 acre lot.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man's name is "Eagle Lake Henry", 29 years of age, married, no children, but sister aged eleven lives with him.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belongs to no Band, and acknowledges no Chief, having been born in the vicinity of Eagle Lake of parents who had themselves remained aloof from other Indians.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811</w:t>
      </w:r>
      <w:r>
        <w:rPr>
          <w:rFonts w:ascii="arial" w:eastAsia="arial" w:hAnsi="arial" w:cs="arial"/>
          <w:color w:val="000000"/>
          <w:sz w:val="20"/>
          <w:lang w:val="en-US" w:eastAsia="en-US" w:bidi="ar-SA"/>
        </w:rPr>
        <w:t>  The letter continues on to note that Eagle Lake Henry had "50 head of cattle and 30 horses", and identified his house as a "very good log cabin of three rooms ... situated about five miles south of the mouth of Brittany Creek, and three miles east of the Chilco River". In 1933 Eagle Lake Henry applied for, and received, a Crown Grant for Lot 5411.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vii. Delgi Ch'osh or Lhuy Tu Xadats'ebe?elhtalh (Big Lake)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812</w:t>
      </w:r>
      <w:r>
        <w:rPr>
          <w:rFonts w:ascii="arial" w:eastAsia="arial" w:hAnsi="arial" w:cs="arial"/>
          <w:color w:val="000000"/>
          <w:sz w:val="20"/>
          <w:lang w:val="en-US" w:eastAsia="en-US" w:bidi="ar-SA"/>
        </w:rPr>
        <w:t>  Captain George's family had a fishing site at Delgi Ch'osh. There he constructed a pine windbreaker as a shelter. A number of Tsilhqot'in people have used this location as a springtime fishing campsite.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viii. Ts'uni?ad Biny (Tsuniah Lake)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813</w:t>
      </w:r>
      <w:r>
        <w:rPr>
          <w:rFonts w:ascii="arial" w:eastAsia="arial" w:hAnsi="arial" w:cs="arial"/>
          <w:color w:val="000000"/>
          <w:sz w:val="20"/>
          <w:lang w:val="en-US" w:eastAsia="en-US" w:bidi="ar-SA"/>
        </w:rPr>
        <w:t>  Ts'uni?ad Biny is a significant valley bottom lake. It is the large lake east of Tsilhqox Biny and north of Xeni. The southwest end of the lake lies close to Tsilhqox Biny. The northeast end lies at roughly the same latitude as the juncture of Tsilhqox Biny and the Tsilhqox. As a result of the McKenna-McBride Commission, a fishing reserve - Tsuniah Lake IR #5 - was set aside for Tsilhqot'in people on the southwest end of Ts'uni?ad Biny in 1916.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814</w:t>
      </w:r>
      <w:r>
        <w:rPr>
          <w:rFonts w:ascii="arial" w:eastAsia="arial" w:hAnsi="arial" w:cs="arial"/>
          <w:color w:val="000000"/>
          <w:sz w:val="20"/>
          <w:lang w:val="en-US" w:eastAsia="en-US" w:bidi="ar-SA"/>
        </w:rPr>
        <w:t>  The valley includes a small peninsula, Ts'utalh?ad, to the north of Ts'uni?ad Biny. Ts'uni?ad Yeqox drains the lake in the southwest and runs a short distance down to Tsilhqox Biny. At the southwest perimeter of the valley is Nenatats'ededilh (Four Mile Lake, Little Lagoon). On the northwest is Ts'uni?ad Dzelh (Tsuniah Mountain) and to the south, Gweq'ez Dzelh.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815</w:t>
      </w:r>
      <w:r>
        <w:rPr>
          <w:rFonts w:ascii="arial" w:eastAsia="arial" w:hAnsi="arial" w:cs="arial"/>
          <w:color w:val="000000"/>
          <w:sz w:val="20"/>
          <w:lang w:val="en-US" w:eastAsia="en-US" w:bidi="ar-SA"/>
        </w:rPr>
        <w:t>  Theophile Ubill Lulua and Gilbert Solomon testified to seeing, or knowing of, pit house remains at both ends of Ts'uni?ad Biny. According to Theophile Ubill Lulua, some of these remains were filled in during the construction of the Tsuniah Lake Lodge and Merritt airstrips, and are no longer visible. Theophile Ubill Lulua also knew of old niyah qungh at the north end of Ts'uni?ad Biny. Mabel William testified that Nezulhtsin and his wife had a niyah qungh at a place called Ts'u Talh?ad at the north end of the lake. Ts'uni?ad Biny served as a spring fishing site for the distant relatives of some witnesses. According to Norman George Setah, the ?Esggidam hunted in the spring around the lake, and held a gathering called dishugh delmid nagwaghized there every May.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816</w:t>
      </w:r>
      <w:r>
        <w:rPr>
          <w:rFonts w:ascii="arial" w:eastAsia="arial" w:hAnsi="arial" w:cs="arial"/>
          <w:color w:val="000000"/>
          <w:sz w:val="20"/>
          <w:lang w:val="en-US" w:eastAsia="en-US" w:bidi="ar-SA"/>
        </w:rPr>
        <w:t>  A map of the Chilcotin plateau dating from 1864 (Cox Map) shows a fishing site at the present location of Tsuniah Lake IR #5 and the reference "Certain to find Indians at this point early in Spring." In the twentieth century, Tsilhqot'in people camped around the lake and used it as an early spring fishing camp. Witnesses also testified about cremation and burial sites at both ends of the lake. Nezulhtsin is buried at the north end of the lake and a structure has been built to mark the grave location.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817</w:t>
      </w:r>
      <w:r>
        <w:rPr>
          <w:rFonts w:ascii="arial" w:eastAsia="arial" w:hAnsi="arial" w:cs="arial"/>
          <w:color w:val="000000"/>
          <w:sz w:val="20"/>
          <w:lang w:val="en-US" w:eastAsia="en-US" w:bidi="ar-SA"/>
        </w:rPr>
        <w:t>  By the mid-twentieth century few people appeared to use Ts'uni?ad Biny as a residence site. Theophie Ubill Lulua stated in his affidavit that when he was young, his family stayed in two cabins on Ts'uni?ad Biny; a small one at the north end of the lake as well as a larger one that had originally been built by a white man. Theophile Ubill Lulua's family used the cabin only seasonally. No other Tsilhqot'in people had cabins there when he was growing up. Theophile Ubill Lulua's family stopped using the cabins when he was 13 years 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818</w:t>
      </w:r>
      <w:r>
        <w:rPr>
          <w:rFonts w:ascii="arial" w:eastAsia="arial" w:hAnsi="arial" w:cs="arial"/>
          <w:color w:val="000000"/>
          <w:sz w:val="20"/>
          <w:lang w:val="en-US" w:eastAsia="en-US" w:bidi="ar-SA"/>
        </w:rPr>
        <w:t>  Ts'uni?ad Biny lies within that definite tract of land, connecting Xeni to the shores of Tsilhqox Biny, the Tsilhqox and further north to Naghatalhchoz.</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ix. ?Elhghatish (Between the Lakes)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819</w:t>
      </w:r>
      <w:r>
        <w:rPr>
          <w:rFonts w:ascii="arial" w:eastAsia="arial" w:hAnsi="arial" w:cs="arial"/>
          <w:color w:val="000000"/>
          <w:sz w:val="20"/>
          <w:lang w:val="en-US" w:eastAsia="en-US" w:bidi="ar-SA"/>
        </w:rPr>
        <w:t>  ?Elhghatish is the name of an area between the Twin Lakes (?Elhghatish Biny and Nabi Tsi Biny) in Tachelach'ed, north of the southeast corner of Xeni.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820</w:t>
      </w:r>
      <w:r>
        <w:rPr>
          <w:rFonts w:ascii="arial" w:eastAsia="arial" w:hAnsi="arial" w:cs="arial"/>
          <w:color w:val="000000"/>
          <w:sz w:val="20"/>
          <w:lang w:val="en-US" w:eastAsia="en-US" w:bidi="ar-SA"/>
        </w:rPr>
        <w:t>  No archaeological or historical records were adduced that would confirm Tsilhqot'in residence at this site in or around 1846. Tsilhqot'in witnesses identified pit house remains (lhiz qwen yex) at ?Elhghatish which were said to have been occupied by Tsilhqot'in ancestors. Ubill Hunlin testified that Captain George's family had a fishing site at this location. They constructed a pine windbreaker as a shelter at this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821</w:t>
      </w:r>
      <w:r>
        <w:rPr>
          <w:rFonts w:ascii="arial" w:eastAsia="arial" w:hAnsi="arial" w:cs="arial"/>
          <w:color w:val="000000"/>
          <w:sz w:val="20"/>
          <w:lang w:val="en-US" w:eastAsia="en-US" w:bidi="ar-SA"/>
        </w:rPr>
        <w:t>  Lot 4669 was surveyed on behalf of, and leased for residential purposes to Rosie Pierce and her (non-Tsilhqot'in) husband in 1976. In a letter dated July 1974, received by the Inspection Division, Lands Service in Williams Lake, explaining why she wanted to lease the land, Pierce stated in part:</w:t>
      </w:r>
      <w:r>
        <w:rPr>
          <w:rFonts w:ascii="arial" w:eastAsia="arial" w:hAnsi="arial" w:cs="arial"/>
          <w:sz w:val="20"/>
          <w:lang w:val="en-US" w:eastAsia="en-US" w:bidi="ar-SA"/>
        </w:rPr>
        <w:cr/>
      </w:r>
    </w:p>
    <w:p>
      <w:pPr>
        <w:numPr>
          <w:numId w:val="2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am a chilcotin indian who was born and raised in this area.</w:t>
      </w:r>
    </w:p>
    <w:p>
      <w:pPr>
        <w:numPr>
          <w:numId w:val="2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am now married to a white man and can no longer claim Indian rites.</w:t>
      </w:r>
    </w:p>
    <w:p>
      <w:pPr>
        <w:numPr>
          <w:numId w:val="2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would like to have this as a home site, garden and room to keep two or three horses for our own use.</w:t>
      </w:r>
    </w:p>
    <w:p>
      <w:pPr>
        <w:numPr>
          <w:numId w:val="2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Much of my family and friends live in this area and would like land of my own to call a home.</w:t>
      </w:r>
    </w:p>
    <w:p>
      <w:pPr>
        <w:numPr>
          <w:numId w:val="2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land in question has been a garden ground for my family for many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822</w:t>
      </w:r>
      <w:r>
        <w:rPr>
          <w:rFonts w:ascii="arial" w:eastAsia="arial" w:hAnsi="arial" w:cs="arial"/>
          <w:color w:val="000000"/>
          <w:sz w:val="20"/>
          <w:lang w:val="en-US" w:eastAsia="en-US" w:bidi="ar-SA"/>
        </w:rPr>
        <w:t>  The difficulty referred to in para. 2 has since been corrected by federal legislation. After receiving the lease, Ms. Pierce attempted in 1989, without success, to have it transferred to the Xeni Gwet'in band.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x. Tsanlgen Biny (Chaunigan Lake)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823</w:t>
      </w:r>
      <w:r>
        <w:rPr>
          <w:rFonts w:ascii="arial" w:eastAsia="arial" w:hAnsi="arial" w:cs="arial"/>
          <w:color w:val="000000"/>
          <w:sz w:val="20"/>
          <w:lang w:val="en-US" w:eastAsia="en-US" w:bidi="ar-SA"/>
        </w:rPr>
        <w:t>  Tsanlgen Biny lies just west of ?Elhghatish in Tachelach'ed.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824</w:t>
      </w:r>
      <w:r>
        <w:rPr>
          <w:rFonts w:ascii="arial" w:eastAsia="arial" w:hAnsi="arial" w:cs="arial"/>
          <w:color w:val="000000"/>
          <w:sz w:val="20"/>
          <w:lang w:val="en-US" w:eastAsia="en-US" w:bidi="ar-SA"/>
        </w:rPr>
        <w:t>  According to Gilbert Solomon, there are remains of pit houses that were once occupied by Tsilhqot'in ancestors at Tsanlgen Biny. Martin Quilt testified that one of the pit houses contained human remains.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 Western Trapline Territory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825</w:t>
      </w:r>
      <w:r>
        <w:rPr>
          <w:rFonts w:ascii="arial" w:eastAsia="arial" w:hAnsi="arial" w:cs="arial"/>
          <w:color w:val="000000"/>
          <w:sz w:val="20"/>
          <w:lang w:val="en-US" w:eastAsia="en-US" w:bidi="ar-SA"/>
        </w:rPr>
        <w:t>  The Western Trapline Territory overlaps with areas in Tachelach'ed. The entire area of the Western Trapline does not qualify for a declaration of Tsilhqot'in Aboriginal title. While there is no doubt that there was a Tsilhqot'in presence in the entire area at the time of sovereignty assertion, much of the area was not occupied to the extent required to ground a declaration of Tsilhqot'in Aboriginal title. Once again, in considering the invitation of counsel to express an opinion on where Tsilhqot'in Aboriginal title might lie, it is convenient to consider discrete smaller portions of the Western Trapline Territory.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i. Lhuy Nachasgwengulin (Little Eagle Lake)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826</w:t>
      </w:r>
      <w:r>
        <w:rPr>
          <w:rFonts w:ascii="arial" w:eastAsia="arial" w:hAnsi="arial" w:cs="arial"/>
          <w:color w:val="000000"/>
          <w:sz w:val="20"/>
          <w:lang w:val="en-US" w:eastAsia="en-US" w:bidi="ar-SA"/>
        </w:rPr>
        <w:t>  Lhuy Nachasgwengulin is at the northwestern tip of the Western Trapline Territory. It is located southeast of Tatl'ah Biny. It is a shallow plateau lake draining north to Tatl'ah Biny on the edge of the Chilcotin Plateau. The boundary of the Western Trapline runs through Lhuy Nachasgwengulin. Therefore the southeastern part of the lake falls outside the Claim Area. The balance of the lake is within the Claim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827</w:t>
      </w:r>
      <w:r>
        <w:rPr>
          <w:rFonts w:ascii="arial" w:eastAsia="arial" w:hAnsi="arial" w:cs="arial"/>
          <w:color w:val="000000"/>
          <w:sz w:val="20"/>
          <w:lang w:val="en-US" w:eastAsia="en-US" w:bidi="ar-SA"/>
        </w:rPr>
        <w:t>  Norman George Setah testified to seeing 10 to 12 pit houses at Lhuy Nachasgwengulin some of which were intact when he first visited the site 50 years ago. He marked these sites at the westernmost end of the lake. When he first saw them, some of the structures were complete with the notched pole used by the occupants as a ladder.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828</w:t>
      </w:r>
      <w:r>
        <w:rPr>
          <w:rFonts w:ascii="arial" w:eastAsia="arial" w:hAnsi="arial" w:cs="arial"/>
          <w:color w:val="000000"/>
          <w:sz w:val="20"/>
          <w:lang w:val="en-US" w:eastAsia="en-US" w:bidi="ar-SA"/>
        </w:rPr>
        <w:t>  Setah noted that there was a little cabin on the trail close to the pit house remains that his family and other Tsilhqot'in people would use when they traveled to Tsi Del Del. In the twentieth century, a trip each year to see the priest at Tsi Del Del was integrated into the seasonal rounds.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829</w:t>
      </w:r>
      <w:r>
        <w:rPr>
          <w:rFonts w:ascii="arial" w:eastAsia="arial" w:hAnsi="arial" w:cs="arial"/>
          <w:color w:val="000000"/>
          <w:sz w:val="20"/>
          <w:lang w:val="en-US" w:eastAsia="en-US" w:bidi="ar-SA"/>
        </w:rPr>
        <w:t>  There is no other evidence concerning occupation or use of this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ii. Gwedzin Biny (Quitzee or Cochin Lake)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830</w:t>
      </w:r>
      <w:r>
        <w:rPr>
          <w:rFonts w:ascii="arial" w:eastAsia="arial" w:hAnsi="arial" w:cs="arial"/>
          <w:color w:val="000000"/>
          <w:sz w:val="20"/>
          <w:lang w:val="en-US" w:eastAsia="en-US" w:bidi="ar-SA"/>
        </w:rPr>
        <w:t>  Gwedzin Biny is a smaller lake lying northwest of Naghatalhchoz Biny. It is also a shallow plateau lake and it drains south to feed into Talhiqox Biny. Talhiqox Biny is a significant valley-bottom lake with a southern outlet located in the Coast Range or Cascade Mountains. Gwedzin Biny falls within the Claim Area. Gwedzin are the lands about Gwedzin Biny.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831</w:t>
      </w:r>
      <w:r>
        <w:rPr>
          <w:rFonts w:ascii="arial" w:eastAsia="arial" w:hAnsi="arial" w:cs="arial"/>
          <w:color w:val="000000"/>
          <w:sz w:val="20"/>
          <w:lang w:val="en-US" w:eastAsia="en-US" w:bidi="ar-SA"/>
        </w:rPr>
        <w:t xml:space="preserve">  In August 1875 George Dawson, traveling through the Chilcotin plateau as a surveyor on behalf of the Geological Survey of Canada, camped at Gwedzin Biny. His notes are published in the </w:t>
      </w:r>
      <w:r>
        <w:rPr>
          <w:rFonts w:ascii="arial" w:eastAsia="arial" w:hAnsi="arial" w:cs="arial"/>
          <w:i/>
          <w:color w:val="000000"/>
          <w:sz w:val="20"/>
          <w:lang w:val="en-US" w:eastAsia="en-US" w:bidi="ar-SA"/>
        </w:rPr>
        <w:t>Journals of George M. Dawson: British Columbia,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1875-1878</w:t>
      </w:r>
      <w:r>
        <w:rPr>
          <w:rFonts w:ascii="arial" w:eastAsia="arial" w:hAnsi="arial" w:cs="arial"/>
          <w:color w:val="000000"/>
          <w:sz w:val="20"/>
          <w:lang w:val="en-US" w:eastAsia="en-US" w:bidi="ar-SA"/>
        </w:rPr>
        <w:t>. His journal for August 31, at p. 76 reports: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Passed White Water L. &amp; camped at S.E. end of Cochin L, where site of indian village marked on map really only a camp, &amp; now abandoned. A newly made indian grave on the crest of a little knoll logs piled in square form on the ground, &amp; a pole standing up with an old tin pan spiked upon it, &amp; bearing a red rag for a flag. Found Cached in the bushes several fish traps which had been used in the lake.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832</w:t>
      </w:r>
      <w:r>
        <w:rPr>
          <w:rFonts w:ascii="arial" w:eastAsia="arial" w:hAnsi="arial" w:cs="arial"/>
          <w:color w:val="000000"/>
          <w:sz w:val="20"/>
          <w:lang w:val="en-US" w:eastAsia="en-US" w:bidi="ar-SA"/>
        </w:rPr>
        <w:t>  Numerous Tsilhqot'in people are said to have stayed at Gwedzin in the twentieth century to fish during the summer. Some Tsilhqot'in people have cabins there and live there more permanently. Many Tsilhqot'in people go to this location for early summer fishing and camp all around the lake, often on their way to Tsimol Ch'ed (Potato Mountain). The area has also been used for late fall nists'i hunting as they move from the mountain to the plateau land for winter. Doris Lulua deposed that Eagle Lake Henry told her that a Tsilhqot'in person, ?Ighelqez, lived there year-around but she did not say when or for how long. ?Ighelqez is said to be buried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iii. Ch'ezqud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833</w:t>
      </w:r>
      <w:r>
        <w:rPr>
          <w:rFonts w:ascii="arial" w:eastAsia="arial" w:hAnsi="arial" w:cs="arial"/>
          <w:color w:val="000000"/>
          <w:sz w:val="20"/>
          <w:lang w:val="en-US" w:eastAsia="en-US" w:bidi="ar-SA"/>
        </w:rPr>
        <w:t>  Ch'ezqud is a site located just off the western end of Naghatalhchoz Biny. Minnie Charleyboy described it as the area where the creek leaving ?Edibiny enters Naghatalhchoz Biny. Ch'ezqud is within the Claim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834</w:t>
      </w:r>
      <w:r>
        <w:rPr>
          <w:rFonts w:ascii="arial" w:eastAsia="arial" w:hAnsi="arial" w:cs="arial"/>
          <w:color w:val="000000"/>
          <w:sz w:val="20"/>
          <w:lang w:val="en-US" w:eastAsia="en-US" w:bidi="ar-SA"/>
        </w:rPr>
        <w:t>  Minnie Charleyboy said she had seen niyah qungh remains at the site, and that her grandfather had lived in one at that location. Minnie Charleyboy testified that she stayed at Ch'ezqud in early summer with Tommy Lulua and her adoptive grandmother, Sa Yets'en. According to Minnie Charleyboy, Sa Yets'en's mother, Elizabeth, used to spend winters at Ch'ezqud. This evidence indicates a mid-nineteenth century use. She also named a number of Tsilhqot'in people who used Ch'ezqud as a station for catching nilhish (kokanee) in September, and delji-yaz (suckers) in the spring. Her family stayed in a tent while fishing in spring and fall. Tl'etsen (wild onions) are gathered and hay is cut nearby. According to Minnie Charleyboy, there are also graves at the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835</w:t>
      </w:r>
      <w:r>
        <w:rPr>
          <w:rFonts w:ascii="arial" w:eastAsia="arial" w:hAnsi="arial" w:cs="arial"/>
          <w:color w:val="000000"/>
          <w:sz w:val="20"/>
          <w:lang w:val="en-US" w:eastAsia="en-US" w:bidi="ar-SA"/>
        </w:rPr>
        <w:t>  Doris Lulua also testified that her mother had a winter home at Ch'ezqud. She deposed that her mother told her there was a cremation site at that location.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836</w:t>
      </w:r>
      <w:r>
        <w:rPr>
          <w:rFonts w:ascii="arial" w:eastAsia="arial" w:hAnsi="arial" w:cs="arial"/>
          <w:color w:val="000000"/>
          <w:sz w:val="20"/>
          <w:lang w:val="en-US" w:eastAsia="en-US" w:bidi="ar-SA"/>
        </w:rPr>
        <w:t>  According to Mabel William, some of the colonial forces sent to arrest the Tsilhqot'in people who had killed members of Waddington's road crew camped at Ch'ezqud. In her affidavit, Mabel William said that her grandfather taught her that Samadlin (McLean) was killed at Ch'ezqud. His killers escaped into Naghatalhchoz Biny.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iv. ?Edibiny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837</w:t>
      </w:r>
      <w:r>
        <w:rPr>
          <w:rFonts w:ascii="arial" w:eastAsia="arial" w:hAnsi="arial" w:cs="arial"/>
          <w:color w:val="000000"/>
          <w:sz w:val="20"/>
          <w:lang w:val="en-US" w:eastAsia="en-US" w:bidi="ar-SA"/>
        </w:rPr>
        <w:t>  ?Edibiny is a small lake lying south of the west end of Naghatalhchoz Biny, connected to Naghatalhchoz Biny by a creek. It lies within the Claim Area. Minnie Charleyboy testified that there are cache pits and lhiz qwen yex remains near ?Edibiny. Sa Yets'en told Minnie Charleyboy that sites like ?Edibiny were chosen for winter residence by Tsilhqot'in people prior to the introduction of horses, since Tsilhqot'in people needed resources such as fish, water, and fuel for fires close by. Minnie Charleyboy testified that she herself had stayed in a niyah qungh at ?Edibiny. Minnie and Patrick Charleyboy keep a cabin at ?Edibiny, which they use a few times a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838</w:t>
      </w:r>
      <w:r>
        <w:rPr>
          <w:rFonts w:ascii="arial" w:eastAsia="arial" w:hAnsi="arial" w:cs="arial"/>
          <w:color w:val="000000"/>
          <w:sz w:val="20"/>
          <w:lang w:val="en-US" w:eastAsia="en-US" w:bidi="ar-SA"/>
        </w:rPr>
        <w:t>  Norman George Setah testified that his family and other Tsilhqot'in people fished at ?Edibiny using gill nets for delji-yaz in the spring, and nilhish in the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v. Naghatalhchoz Biny (Chelquoit Lake or Big Eagle Lake)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839</w:t>
      </w:r>
      <w:r>
        <w:rPr>
          <w:rFonts w:ascii="arial" w:eastAsia="arial" w:hAnsi="arial" w:cs="arial"/>
          <w:color w:val="000000"/>
          <w:sz w:val="20"/>
          <w:lang w:val="en-US" w:eastAsia="en-US" w:bidi="ar-SA"/>
        </w:rPr>
        <w:t>  Naghatalhchoz Biny is the Tsilhqot'in name for Big Eagle Lake. The boundary of the Western Trapline Territory runs through this lake lengthwise from its western to its eastern end. The northern half of the lake falls outside of the Claim Area, while the southern half is inside the Claim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840</w:t>
      </w:r>
      <w:r>
        <w:rPr>
          <w:rFonts w:ascii="arial" w:eastAsia="arial" w:hAnsi="arial" w:cs="arial"/>
          <w:color w:val="000000"/>
          <w:sz w:val="20"/>
          <w:lang w:val="en-US" w:eastAsia="en-US" w:bidi="ar-SA"/>
        </w:rPr>
        <w:t>  Naghatalhchoz is the area around Naghatalhchoz Biny. Only the southern portion is included in the Claim Area. The area on the north side of the lake is excluded from the Claim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841</w:t>
      </w:r>
      <w:r>
        <w:rPr>
          <w:rFonts w:ascii="arial" w:eastAsia="arial" w:hAnsi="arial" w:cs="arial"/>
          <w:color w:val="000000"/>
          <w:sz w:val="20"/>
          <w:lang w:val="en-US" w:eastAsia="en-US" w:bidi="ar-SA"/>
        </w:rPr>
        <w:t>  The Naghatalhchoz Biny basin is situated just northwest of Tsilhqox Biny outlet and west of the Tsilhqox. Naghatalhchoz Biny is a shallow plateau lake that drains northeast to the Tsilhqox as it begins its run through the Chilcotin Plateau.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842</w:t>
      </w:r>
      <w:r>
        <w:rPr>
          <w:rFonts w:ascii="arial" w:eastAsia="arial" w:hAnsi="arial" w:cs="arial"/>
          <w:color w:val="000000"/>
          <w:sz w:val="20"/>
          <w:lang w:val="en-US" w:eastAsia="en-US" w:bidi="ar-SA"/>
        </w:rPr>
        <w:t>  A number of witnesses associated Naghatalhchoz Biny with a particular group of Tsilhqot'in people, the Naghatalhchoz Gwet'in. These people later merged with the Xeni Gwet'in Band. In the twentieth century Naghatalhchoz Biny was associated with the Lulua family. Other individuals and families visited or used the area for hunting, fishing and gathering purposes into the twentieth century.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843</w:t>
      </w:r>
      <w:r>
        <w:rPr>
          <w:rFonts w:ascii="arial" w:eastAsia="arial" w:hAnsi="arial" w:cs="arial"/>
          <w:color w:val="000000"/>
          <w:sz w:val="20"/>
          <w:lang w:val="en-US" w:eastAsia="en-US" w:bidi="ar-SA"/>
        </w:rPr>
        <w:t>  In the 1970's, a team of archaeologists led by Richard Matson undertook a comprehensive survey of the area around Naghatalhchoz Biny, recording most, if not all, of the sites for which archaeological information is available today. That research refers to the location as the Bear Lake site or EkSa36. According to Matson, this site was particularly interesting for understanding early occupation of the Claim Area. This site at Naghatalhchoz Biny was thought likely to have been Athapaskan in origin. This can be contrasted with the major pit house villages along the Tsilhqox at sites such as Tlegwated, which are understood to have been originally inhabited by Plateau Pithouse Tradition people.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844</w:t>
      </w:r>
      <w:r>
        <w:rPr>
          <w:rFonts w:ascii="arial" w:eastAsia="arial" w:hAnsi="arial" w:cs="arial"/>
          <w:color w:val="000000"/>
          <w:sz w:val="20"/>
          <w:lang w:val="en-US" w:eastAsia="en-US" w:bidi="ar-SA"/>
        </w:rPr>
        <w:t>  There are lhiz qwen yex remains on the south side of the lake. Sa Nagwedijan is the Tsilhqot'in name for one of these sites. Theophile Ubill Lulua testified that Eileen Ellen Lulua and her son, Edward, lived in a niyah qungh at Naghatalhchoz Biny in the mid-1920's. Eliza William deposed that Nezulthsin lived in the area. There is evidence of occupation of this area dating back to Nezulthsin. It is said that he and his wife lived in a niyah qungh in the area of Naghatalhchoz Biny.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845</w:t>
      </w:r>
      <w:r>
        <w:rPr>
          <w:rFonts w:ascii="arial" w:eastAsia="arial" w:hAnsi="arial" w:cs="arial"/>
          <w:color w:val="000000"/>
          <w:sz w:val="20"/>
          <w:lang w:val="en-US" w:eastAsia="en-US" w:bidi="ar-SA"/>
        </w:rPr>
        <w:t>  In his 1953 dissertation, Robert Lane identified Tsilhqot'in pit house remains on the south shore of Naghatalhchoz Biny. The Naghatalhchoz Biny pit houses are one of only two or three such sites identified by Lane that fall within the boundaries of the Claim Area. Lane also reported six or more sites with pit houses of non-Tsilhqot'in origin. Although he reported that Tsilhqot'in people abandoned the use of lhiz qwen yex before the 1850's, Lane also stated that a "reputable white informant" claimed that one pit house was still inhabited in the 1930's or early 1940's near Naghatalhchoz Biny: Lane Thesis, p. 157. From the evidence I heard in the course of the trial, I conclude that Lane was incorrect in this observation concerning the abandonment of lhiz qwen yex.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846</w:t>
      </w:r>
      <w:r>
        <w:rPr>
          <w:rFonts w:ascii="arial" w:eastAsia="arial" w:hAnsi="arial" w:cs="arial"/>
          <w:color w:val="000000"/>
          <w:sz w:val="20"/>
          <w:lang w:val="en-US" w:eastAsia="en-US" w:bidi="ar-SA"/>
        </w:rPr>
        <w:t>  In contrast to the larger Tsilhqox corridor sites such as those at Tl'egwated and Biny Gwechugh, the typically Athapaskan cultural sites in the area of Naghatalhchoz Biny are much smaller in size, and would have supported a much smaller population. While archaeological evidence suggests that Athapaskan habitation at certain sites in the Naghatalhchoz Biny area may date prior to the end of the eighteenth century, the historical literature only begins to record Tsilhqot'in use of and residence in the area in the 1860's.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847</w:t>
      </w:r>
      <w:r>
        <w:rPr>
          <w:rFonts w:ascii="arial" w:eastAsia="arial" w:hAnsi="arial" w:cs="arial"/>
          <w:color w:val="000000"/>
          <w:sz w:val="20"/>
          <w:lang w:val="en-US" w:eastAsia="en-US" w:bidi="ar-SA"/>
        </w:rPr>
        <w:t>  It is significant that members of the Lulua family continue to use this location for fishing, hunting and a range of other activities on the 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vi. Tsi gheh ne?eten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848</w:t>
      </w:r>
      <w:r>
        <w:rPr>
          <w:rFonts w:ascii="arial" w:eastAsia="arial" w:hAnsi="arial" w:cs="arial"/>
          <w:color w:val="000000"/>
          <w:sz w:val="20"/>
          <w:lang w:val="en-US" w:eastAsia="en-US" w:bidi="ar-SA"/>
        </w:rPr>
        <w:t>  Doris Lulua has a home located at Tsi gheh ne?eten, just a few miles south of the east end of Naghatalhchoz Biny. It is within the Western Trapline Territory. An airstrip was built nearby. Tsi gheh ne?eten is at a main trail linking communities at Gwedats'ish (the mouth of Tsilhqox) and Biny Gwechugh with those downstream on the Tsilhqox, and at Naghatalhchoz Biny. It connects to other trails, including trails to Tsimol Ch'ed, Gwedzin Biny, Ts'uni?ad Biny, Xeni and Talhiqox Biny. This main trail is also part of a network used to access areas seasonally for hunting and fishing and gathering sunt'iny, berries and medicinal plants.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849</w:t>
      </w:r>
      <w:r>
        <w:rPr>
          <w:rFonts w:ascii="arial" w:eastAsia="arial" w:hAnsi="arial" w:cs="arial"/>
          <w:color w:val="000000"/>
          <w:sz w:val="20"/>
          <w:lang w:val="en-US" w:eastAsia="en-US" w:bidi="ar-SA"/>
        </w:rPr>
        <w:t>  At the time of Chief William's testimony in the fall of 2003, Casimir and Madeline Lulua were living north of Naghatalhchoz Biny, outside the Claim Area. Only Doris Lulua was living near the airstrip south of Shishan-qox.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850</w:t>
      </w:r>
      <w:r>
        <w:rPr>
          <w:rFonts w:ascii="arial" w:eastAsia="arial" w:hAnsi="arial" w:cs="arial"/>
          <w:color w:val="000000"/>
          <w:sz w:val="20"/>
          <w:lang w:val="en-US" w:eastAsia="en-US" w:bidi="ar-SA"/>
        </w:rPr>
        <w:t>  It is significant that the British Columbia Crown surveyor declared that Indian cabins at Naghatalhchoz were "owned" by Indians. Mr. Taylor, the surveyor in 1910 of District Lot 357, which is adjacent to the south east end of Naghatalhchoz Biny, swore a declaration on June 25, 1910, attesting to certain facts, including, among other things, that Lot 357 had Indian cabins: "The Indian cabins below shown owned by a ... siwash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vii. Sa Nagwedijan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851</w:t>
      </w:r>
      <w:r>
        <w:rPr>
          <w:rFonts w:ascii="arial" w:eastAsia="arial" w:hAnsi="arial" w:cs="arial"/>
          <w:color w:val="000000"/>
          <w:sz w:val="20"/>
          <w:lang w:val="en-US" w:eastAsia="en-US" w:bidi="ar-SA"/>
        </w:rPr>
        <w:t>  Theophile Ubill Lulua identified a site he called Sa Nagwedijan on the south shore of Naghatalhchoz Biny, towards the eastern end of the lake. Sa Nagwedijan falls within the Claim Area. No other witnesses described a site by this name.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852</w:t>
      </w:r>
      <w:r>
        <w:rPr>
          <w:rFonts w:ascii="arial" w:eastAsia="arial" w:hAnsi="arial" w:cs="arial"/>
          <w:color w:val="000000"/>
          <w:sz w:val="20"/>
          <w:lang w:val="en-US" w:eastAsia="en-US" w:bidi="ar-SA"/>
        </w:rPr>
        <w:t>  Theophile Ubill Lulua testified that he grew up in the area of Sa Nagwedijan. He noted that his Aunt Eileen (or Madeline) Lulua and her son Edward stayed in a niyah qungh at Sa Nagwedijan in the 1920's. According to Theophile Ubill Lulua, there were also lhiz qwen yex remains at Sa Nagwedijan.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853</w:t>
      </w:r>
      <w:r>
        <w:rPr>
          <w:rFonts w:ascii="arial" w:eastAsia="arial" w:hAnsi="arial" w:cs="arial"/>
          <w:color w:val="000000"/>
          <w:sz w:val="20"/>
          <w:lang w:val="en-US" w:eastAsia="en-US" w:bidi="ar-SA"/>
        </w:rPr>
        <w:t>  No archaeological or historical records were adduced that would confirm Tsilhqot'in residence at this site in or around 1846.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viii. Tsi Ch'ed Diz?an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854</w:t>
      </w:r>
      <w:r>
        <w:rPr>
          <w:rFonts w:ascii="arial" w:eastAsia="arial" w:hAnsi="arial" w:cs="arial"/>
          <w:color w:val="000000"/>
          <w:sz w:val="20"/>
          <w:lang w:val="en-US" w:eastAsia="en-US" w:bidi="ar-SA"/>
        </w:rPr>
        <w:t>  A number of Tsilhqot'in witnesses described a place called Tsi Ch'ed Diz?an. Tsi Ch'ed Diz?an lies at the far eastern end of Naghatalhchoz Biny, within the Claim Area. It marks the location of a grave yard where members of the Lulua family are buried.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855</w:t>
      </w:r>
      <w:r>
        <w:rPr>
          <w:rFonts w:ascii="arial" w:eastAsia="arial" w:hAnsi="arial" w:cs="arial"/>
          <w:color w:val="000000"/>
          <w:sz w:val="20"/>
          <w:lang w:val="en-US" w:eastAsia="en-US" w:bidi="ar-SA"/>
        </w:rPr>
        <w:t>  According to Theophile Ubill Lulua pit house remains are located about a mile west of the graveyard at Tsi Ch'ed Diz?an. This site is close to, but does not appear to overlap the Bear Lake site discussed by Matson as a typically Athapaskan site with three pit features.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856</w:t>
      </w:r>
      <w:r>
        <w:rPr>
          <w:rFonts w:ascii="arial" w:eastAsia="arial" w:hAnsi="arial" w:cs="arial"/>
          <w:color w:val="000000"/>
          <w:sz w:val="20"/>
          <w:lang w:val="en-US" w:eastAsia="en-US" w:bidi="ar-SA"/>
        </w:rPr>
        <w:t>  This site was at one end of the connecting corridor between the Xeni Gwet'in and the Naghatalhchoz Gwet'in in the area around Naghatalhchoz Biny.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ix. Tsilhqox Biny (Chilko Lake)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857</w:t>
      </w:r>
      <w:r>
        <w:rPr>
          <w:rFonts w:ascii="arial" w:eastAsia="arial" w:hAnsi="arial" w:cs="arial"/>
          <w:color w:val="000000"/>
          <w:sz w:val="20"/>
          <w:lang w:val="en-US" w:eastAsia="en-US" w:bidi="ar-SA"/>
        </w:rPr>
        <w:t>  On January 18, 1822, HBC Clerk George McDougall concluded in a letter to John Suart that, "By dint of enquiry &amp; with the help of small sticks", there were "6 Large Ground Lodges, about the Lake, containing 53 Families". Eldridge concludes that this number excludes the lodges on the River, which were counted separately. There has been no archaeological study of Tsilhqox Biny. Eldridge is of the view that if a survey was done, the six large ground lodges could be found.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858</w:t>
      </w:r>
      <w:r>
        <w:rPr>
          <w:rFonts w:ascii="arial" w:eastAsia="arial" w:hAnsi="arial" w:cs="arial"/>
          <w:color w:val="000000"/>
          <w:sz w:val="20"/>
          <w:lang w:val="en-US" w:eastAsia="en-US" w:bidi="ar-SA"/>
        </w:rPr>
        <w:t>  There are lhiz qwen yex remains on both sides of Tsilhqox Biny. Tsilhqox Tu Tl'az (Edmond Creek) is at the south end of the lake. There is a trapping campsite located there. Most of Tsilhqox Biny, apart from the very north end of the lake and the land bordering Xeni, falls within Ts'il?os Provincial Park. The entire lake is in the Western Trapline Territory with the exception of a small portion on the northeast side of the lake which is outside the Claim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x. Tsilhqox Biny Area - Gwedats'ish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859</w:t>
      </w:r>
      <w:r>
        <w:rPr>
          <w:rFonts w:ascii="arial" w:eastAsia="arial" w:hAnsi="arial" w:cs="arial"/>
          <w:color w:val="000000"/>
          <w:sz w:val="20"/>
          <w:lang w:val="en-US" w:eastAsia="en-US" w:bidi="ar-SA"/>
        </w:rPr>
        <w:t>  Gwedats'ish is located at the very north end of Tsilhqox Biny. It is a substantial archaeological site, likely pre-Tsilhqot'in in origin. This site was partly inhabited by Tsilhqot'in groups by the early 1800's.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860</w:t>
      </w:r>
      <w:r>
        <w:rPr>
          <w:rFonts w:ascii="arial" w:eastAsia="arial" w:hAnsi="arial" w:cs="arial"/>
          <w:color w:val="000000"/>
          <w:sz w:val="20"/>
          <w:lang w:val="en-US" w:eastAsia="en-US" w:bidi="ar-SA"/>
        </w:rPr>
        <w:t>  Witnesses also referred to Gwedats'ish, or part of it, as the "DFO site". The Department of Fisheries and Oceans has operated a research station at the north end of Tsilhqox Biny for a number of decades. It is also referred to as "Chilko Lake Lodge". That lodge and its airstrip are also located at the north end of the lake. The relation of any of these sites to the Claim Area remains very unclear. Canada says that District Lot 599, where the Department of Fisheries and Oceans operates its research centre on lands leased from the provincial government, falls outside the Claim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861</w:t>
      </w:r>
      <w:r>
        <w:rPr>
          <w:rFonts w:ascii="arial" w:eastAsia="arial" w:hAnsi="arial" w:cs="arial"/>
          <w:color w:val="000000"/>
          <w:sz w:val="20"/>
          <w:lang w:val="en-US" w:eastAsia="en-US" w:bidi="ar-SA"/>
        </w:rPr>
        <w:t>  Remains of a substantial village of pit houses can be found at the north end of Tsilhqox Biny where it joins the Tsilhqox. The site was first registered as EjSa-11 by a team of archaeologists working in the area in 1979 and was revisited for a more detailed investigation in 1997. In 1997 archaeologists mapped 21 cultural depressions, but also noted that five depressions previously recorded had disappeared as a result of site disturbance. Witnesses testified that the lodge and DFO site currently cover an ancient lhiz qwen yex village that was inhabited by Tsilhqot'in people. These pit houses may have comprised some of the 25 lodges that were said to have lined the Tsilhqox; or they may have been included in the "6 Large Ground Lodges" referred to by McDougall in 1822.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862</w:t>
      </w:r>
      <w:r>
        <w:rPr>
          <w:rFonts w:ascii="arial" w:eastAsia="arial" w:hAnsi="arial" w:cs="arial"/>
          <w:color w:val="000000"/>
          <w:sz w:val="20"/>
          <w:lang w:val="en-US" w:eastAsia="en-US" w:bidi="ar-SA"/>
        </w:rPr>
        <w:t>  Mabel William said that these pit houses were occupied up to the time of her grandmother Hanlhdzany's time. This would place the abandonment of these pit houses at some period in the latter half of the nineteenth century.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863</w:t>
      </w:r>
      <w:r>
        <w:rPr>
          <w:rFonts w:ascii="arial" w:eastAsia="arial" w:hAnsi="arial" w:cs="arial"/>
          <w:color w:val="000000"/>
          <w:sz w:val="20"/>
          <w:lang w:val="en-US" w:eastAsia="en-US" w:bidi="ar-SA"/>
        </w:rPr>
        <w:t>  Dewhirst and Eldridge were of the opinion that either Biny Gwechugh or Gwedats'ish was the home of the "Tase Ley" or Long Lake Indians. As already mentioned, this was identified as one of four Tsilhqot'in groups attached to Fort Chilcotin according to the Hudson's Bay Company census of 1838. In Eldridge's opinion, EjSa-11 probably marks the location where, according to Connolly's 1825 report, Tsilhqot'in people associated with Tsilhqox Biny generally resided. Later HBC accounts link the Long Lake Indians to a Chief known as Quill Quall Yaw. Both Eldridge and Dewhirst accept that this is likely the same chief that Father Nobili met, either at Gwedats'ish or Biny Gwechugh, in the winter of 1845.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864</w:t>
      </w:r>
      <w:r>
        <w:rPr>
          <w:rFonts w:ascii="arial" w:eastAsia="arial" w:hAnsi="arial" w:cs="arial"/>
          <w:color w:val="000000"/>
          <w:sz w:val="20"/>
          <w:lang w:val="en-US" w:eastAsia="en-US" w:bidi="ar-SA"/>
        </w:rPr>
        <w:t>  Several witnesses also testified that this was also an ancient Tsilhqot'in cremation site. They described fishing at this site. Doris Lulua said that Tsilhqot'in people do not like to camp there because people were buried at that location.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xi. Tsilhqox Biny Area - Ch'a Biny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865</w:t>
      </w:r>
      <w:r>
        <w:rPr>
          <w:rFonts w:ascii="arial" w:eastAsia="arial" w:hAnsi="arial" w:cs="arial"/>
          <w:color w:val="000000"/>
          <w:sz w:val="20"/>
          <w:lang w:val="en-US" w:eastAsia="en-US" w:bidi="ar-SA"/>
        </w:rPr>
        <w:t>  Ch'a Biny is the Tsilhqot'in name for a lagoon opposite Xeni on the west side of Tsilhqox Biny. It lies within the Claim Area. Witnesses for the plaintiff testified that there are both niyah qungh and lhiz qwen yex remains in the area. Mabel William deposed that she stayed in one niyah qungh at Ch'a Biny, built by her husband's father, Sam Bulyan. Theophile Ubill Lulua said that there are at least four lhiz qwen yex remains at Ch'a Biny. Other witnesses testified to a campsite and trapping cabin in the area. No archaeological or historical records were cited that would confirm Tsilhqot'in residence at this site in or around 1846. Ch'a Biny was a point used to cross Tsilhqox Biny in modern and ancestral times.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866</w:t>
      </w:r>
      <w:r>
        <w:rPr>
          <w:rFonts w:ascii="arial" w:eastAsia="arial" w:hAnsi="arial" w:cs="arial"/>
          <w:color w:val="000000"/>
          <w:sz w:val="20"/>
          <w:lang w:val="en-US" w:eastAsia="en-US" w:bidi="ar-SA"/>
        </w:rPr>
        <w:t>  From the perspective of Tsilhqot'in people, Ch'a Biny has some mythical meaning as reflected in the story told by Francis William. According to the story, behind Ch'a Biny is the grave of a deyen with owl powers who died under a rockslide. Ch'a Biny lies within the boundaries of Ts'il?os Provincial Park.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xii. Ts'il?os (Mount Tatlow)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xiii. Dzelh Ch'ed (Snow Mountains) - Coast or Cascade Mountains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xiv. Tl'ech'id Gunaz (Long Valley), Yuhitah (Yohetta Valley), Ts'i Talh?ad (Rainbow Creek), Tsi Tese?an (Tchaikazan Valley) and Tsilhqox Tu Tl'az (Edmond Creek) watersheds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867</w:t>
      </w:r>
      <w:r>
        <w:rPr>
          <w:rFonts w:ascii="arial" w:eastAsia="arial" w:hAnsi="arial" w:cs="arial"/>
          <w:color w:val="000000"/>
          <w:sz w:val="20"/>
          <w:lang w:val="en-US" w:eastAsia="en-US" w:bidi="ar-SA"/>
        </w:rPr>
        <w:t>  Ts'il?os is located south of Xeni Biny inside Ts'il?os Park. Part of Ts'il?os is within the Claim Area. The eastern slope is between the two Trapline Territories. The name Ts'il?os derives from the legend of Ts'il?os and ?Eniyud.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868</w:t>
      </w:r>
      <w:r>
        <w:rPr>
          <w:rFonts w:ascii="arial" w:eastAsia="arial" w:hAnsi="arial" w:cs="arial"/>
          <w:color w:val="000000"/>
          <w:sz w:val="20"/>
          <w:lang w:val="en-US" w:eastAsia="en-US" w:bidi="ar-SA"/>
        </w:rPr>
        <w:t>  There are different resource gathering sites in the mountainous area bordering Tsilhqox Biny south of Xeni. Ts'il?os, the highest peak in the region, bounds southern Xeni. Its western slopes meet the shore of Tsilhqox Biny. South of Ts'il?os are the watersheds of Tl'ech'id Gunaz, Yuhitah, Ts'i Talh?ad, Tsi Tese?an and Tsilhqox Tu Tl'az. These lands are part of the sweep of the Coast or Cascade Mountains known to Tsilhqot'in people as Dzelh Ch'ed.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869</w:t>
      </w:r>
      <w:r>
        <w:rPr>
          <w:rFonts w:ascii="arial" w:eastAsia="arial" w:hAnsi="arial" w:cs="arial"/>
          <w:color w:val="000000"/>
          <w:sz w:val="20"/>
          <w:lang w:val="en-US" w:eastAsia="en-US" w:bidi="ar-SA"/>
        </w:rPr>
        <w:t>  East of Tsilhqox Biny is Yuhitah. It is bisected by the eastern boundary of the Western Trapline Territory. Only a part of the valley is in the Claim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870</w:t>
      </w:r>
      <w:r>
        <w:rPr>
          <w:rFonts w:ascii="arial" w:eastAsia="arial" w:hAnsi="arial" w:cs="arial"/>
          <w:color w:val="000000"/>
          <w:sz w:val="20"/>
          <w:lang w:val="en-US" w:eastAsia="en-US" w:bidi="ar-SA"/>
        </w:rPr>
        <w:t>  As the Yuhitah area was not visited by traders, missionaries or explorers there is no written historical record of the area. There is no doubt the area was used by Tsilhqot'in people in the twentieth century. While trapping activities of Tsilhqot'in people have fallen dramatically with the apparent collapse of the fur market, they continue to use this area for hunting and fishing. Witnesses recounted oral history of their ancestors using the area for hunting, trapping and fishing.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871</w:t>
      </w:r>
      <w:r>
        <w:rPr>
          <w:rFonts w:ascii="arial" w:eastAsia="arial" w:hAnsi="arial" w:cs="arial"/>
          <w:color w:val="000000"/>
          <w:sz w:val="20"/>
          <w:lang w:val="en-US" w:eastAsia="en-US" w:bidi="ar-SA"/>
        </w:rPr>
        <w:t>  The evidence leads to a conclusion that Tsilhqot'in people were present in these areas where they constructed dwellings for use as base camps. From these sites they hunted, trapped, fished and gathered roots and berries.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xv. Talhiqox Biny (Tatlayoko Lake)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872</w:t>
      </w:r>
      <w:r>
        <w:rPr>
          <w:rFonts w:ascii="arial" w:eastAsia="arial" w:hAnsi="arial" w:cs="arial"/>
          <w:color w:val="000000"/>
          <w:sz w:val="20"/>
          <w:lang w:val="en-US" w:eastAsia="en-US" w:bidi="ar-SA"/>
        </w:rPr>
        <w:t>  Talhiqox Biny is a long narrow lake to the west of, and running roughly parallel to, the north end of Tsilhqox Biny. The boundary of the Western Trapline Territory runs through the middle of Talhiqox Biny from the northern end to near its southern end. The entire west shore of the lake falls outside the Claim Area. Most of the eastern shore lies within the Claim Area. ?Eniyud, the legendary wife of Ts'il?os, presides over the west side of Talhiqox Biny. Information on Tsilhqot'in use of Talhiqox Biny in the pre- or early contact period is limited. However, there are historical references to sites on Talhiqox Biny dating from the 1860's and 1870's.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873</w:t>
      </w:r>
      <w:r>
        <w:rPr>
          <w:rFonts w:ascii="arial" w:eastAsia="arial" w:hAnsi="arial" w:cs="arial"/>
          <w:color w:val="000000"/>
          <w:sz w:val="20"/>
          <w:lang w:val="en-US" w:eastAsia="en-US" w:bidi="ar-SA"/>
        </w:rPr>
        <w:t>  In 1863 road builder Alfred Waddington produced an untitled sketch map of the Homathko River and Tatl'ah Biny area. Waddington's map identifies a "Village and horses" at the north end of the unnamed Talhiqox Biny. It also shows trails connecting the village at north Talhiqox Biny to a fishery at south Lhuy Nachasgwengulin; south Lhuy Nachasgwengulin to the southwest end of "Tacla Lake" (Tatl'ah Biny). These trails run along the southeast side of Lhuy Nachasgwengulin towards the northeast end of Tatl'ah Biny and Bendzi Biny.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874</w:t>
      </w:r>
      <w:r>
        <w:rPr>
          <w:rFonts w:ascii="arial" w:eastAsia="arial" w:hAnsi="arial" w:cs="arial"/>
          <w:color w:val="000000"/>
          <w:sz w:val="20"/>
          <w:lang w:val="en-US" w:eastAsia="en-US" w:bidi="ar-SA"/>
        </w:rPr>
        <w:t>  On July 22, 1864 as part of a colonial expedition during the Chilcotin War, magistrate William Cox signed a map based on information from Chiefs Alexis and Eulas that is commonly known today as the Chilcotin War Map. This map identifies a trail network that includes a trail connecting to the Tsilhqox Biny outlet and running the west side of the Tsilhqox. Dewhirst described these trails as "an extensive trail network that connects the Tatlayoko-Tatla Valley to the Chilko Lake-Chilko River Valley".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875</w:t>
      </w:r>
      <w:r>
        <w:rPr>
          <w:rFonts w:ascii="arial" w:eastAsia="arial" w:hAnsi="arial" w:cs="arial"/>
          <w:color w:val="000000"/>
          <w:sz w:val="20"/>
          <w:lang w:val="en-US" w:eastAsia="en-US" w:bidi="ar-SA"/>
        </w:rPr>
        <w:t>  On August 19, 1864 John Brough's party, present in the area as part of the colonial expedition under Chartres Brew, poled their raft from the head of Talhiqox Biny 11 miles south along its east shore. This area is located in the Claim Area. Brough noted that he "[s]aw some old habitation by the way and places on the creeks where they [Indians] had been trapping long ago": Dewhirst Report, p. 58. On the return trip north several days later, Brough wrote that "J. Berry and two Indians left by the trail as they did not like to risk the raft": Dewhirst Report, p. 58. Dewhirst commented at p. 58 of his Report that, "[t]he Brough account of 1864 ... records an old habitation site and trails on the east shore [of] Tatlayoko Lake that ... likely pre-date 1846".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876</w:t>
      </w:r>
      <w:r>
        <w:rPr>
          <w:rFonts w:ascii="arial" w:eastAsia="arial" w:hAnsi="arial" w:cs="arial"/>
          <w:color w:val="000000"/>
          <w:sz w:val="20"/>
          <w:lang w:val="en-US" w:eastAsia="en-US" w:bidi="ar-SA"/>
        </w:rPr>
        <w:t>  No primary residence sites were marked by Tsilhqot'in witnesses at the northern end of Talhiqox Biny. Archaeological and historical records show two sites within the Claim Area, EjSc-9 and EjSc-1, both located near the north end of Talhiqox Biny at the foot of Tsimol Ch'ed. Of these two, EjSc-1 is the more significant habitation site, consisting of four or five small house pits. This site was first recorded in 1968 during a survey of park reserves. EjSc-1 is located on the eastern shore of Talhiqox Biny, about a kilometre from the head of the lake. As it is the only site in the present inventory with pit house features in an area that has undergone systematic archaeological sampling, Eldridge concluded that EjSc-1 likely corresponded with the habitations observed by John Brough in 1864. EjSc-9, located within the tree cover at the northern tip of Talhiqox Biny, was identified in 1982 as a camp or site where people returned regularly, although no pit house depressions were found in the area. The archaeological team who first investigated EjSc-9 identified the camp as the site mentioned in Tiedemann's 1862 journal. Eldridge agreed with this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877</w:t>
      </w:r>
      <w:r>
        <w:rPr>
          <w:rFonts w:ascii="arial" w:eastAsia="arial" w:hAnsi="arial" w:cs="arial"/>
          <w:color w:val="000000"/>
          <w:sz w:val="20"/>
          <w:lang w:val="en-US" w:eastAsia="en-US" w:bidi="ar-SA"/>
        </w:rPr>
        <w:t>  In 1862, H.O. Tiedemann, who traversed parts of the Claim Area while exploring a trail from Bute Inlet to Fort Alexandria on behalf of Alfred Waddington, found a well beaten trail and reached the north end of Talhiqox Biny in mid-June. According to his 1862 journal, there, he met an "old Indian" on June 16. A map dated to 1863 and attributed to Alfred Waddington showed a "village and horses" at the north end of Talhiqox Biny.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878</w:t>
      </w:r>
      <w:r>
        <w:rPr>
          <w:rFonts w:ascii="arial" w:eastAsia="arial" w:hAnsi="arial" w:cs="arial"/>
          <w:color w:val="000000"/>
          <w:sz w:val="20"/>
          <w:lang w:val="en-US" w:eastAsia="en-US" w:bidi="ar-SA"/>
        </w:rPr>
        <w:t>  As noted earlier, on August 19, 1864, John Brough reported seeing "some old habitations by the way and places on the creeks where they [Indians] had been trapping long ago" while he was rafting south down the east side of Talhiqox Biny. In Eldridge's opinion, the habitations observed by Brough were likely pit houses since they were visible from the lake and not set back in the forested areas.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879</w:t>
      </w:r>
      <w:r>
        <w:rPr>
          <w:rFonts w:ascii="arial" w:eastAsia="arial" w:hAnsi="arial" w:cs="arial"/>
          <w:color w:val="000000"/>
          <w:sz w:val="20"/>
          <w:lang w:val="en-US" w:eastAsia="en-US" w:bidi="ar-SA"/>
        </w:rPr>
        <w:t xml:space="preserve">  Passing through the area a dozen years later, Surveyor George Dawson reported on September 1, 1875 finding an "indian Camp on the Trail near the N. end of Tallyoco L.": </w:t>
      </w:r>
      <w:r>
        <w:rPr>
          <w:rFonts w:ascii="arial" w:eastAsia="arial" w:hAnsi="arial" w:cs="arial"/>
          <w:i/>
          <w:color w:val="000000"/>
          <w:sz w:val="20"/>
          <w:lang w:val="en-US" w:eastAsia="en-US" w:bidi="ar-SA"/>
        </w:rPr>
        <w:t>Journals of George M. Dawson: British Columbia, 1875-1878</w:t>
      </w:r>
      <w:r>
        <w:rPr>
          <w:rFonts w:ascii="arial" w:eastAsia="arial" w:hAnsi="arial" w:cs="arial"/>
          <w:color w:val="000000"/>
          <w:sz w:val="20"/>
          <w:lang w:val="en-US" w:eastAsia="en-US" w:bidi="ar-SA"/>
        </w:rPr>
        <w:t>, p. 78.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880</w:t>
      </w:r>
      <w:r>
        <w:rPr>
          <w:rFonts w:ascii="arial" w:eastAsia="arial" w:hAnsi="arial" w:cs="arial"/>
          <w:color w:val="000000"/>
          <w:sz w:val="20"/>
          <w:lang w:val="en-US" w:eastAsia="en-US" w:bidi="ar-SA"/>
        </w:rPr>
        <w:t>  Norman George Setah testified that Tsilhqot'in people stayed at Tach'idilin (a creek running into Talhiqox Biny) on the eastern shore of Talhiqox Biny. Tsilhqot'in people transported their dried meat from their fall hunting grounds in the south to their winter residences in the north along the trails on both sides of the lake and on the water, in ?etaslaz ts'i (spruce bark canoes). He also testified that his family hunted nists'i, nundi-chugh (cougar) and dlig (squirrel) at Tach'idilin and also fished for sabay (dolly varden) and dek'any (rainbow trout).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881</w:t>
      </w:r>
      <w:r>
        <w:rPr>
          <w:rFonts w:ascii="arial" w:eastAsia="arial" w:hAnsi="arial" w:cs="arial"/>
          <w:color w:val="000000"/>
          <w:sz w:val="20"/>
          <w:lang w:val="en-US" w:eastAsia="en-US" w:bidi="ar-SA"/>
        </w:rPr>
        <w:t>  Tsilhqot'in people camped in the area around Ch'a Biny, Gwech'az Biny and Tach'idilin and would hunt throughout this mountainous region down as far as Talhjez (Franklin Arm). Martin Quilt testified that the mountains to the west of Tsilhqox Biny are traditional Tsilhqot'in trapping and hunting grounds for sebay (mountain goat), sesjiz (marten), dlig (squirrels) and nundi (lynx). He described hunting and trapping trips taken through the fall up to Christmas.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xvi. Tsimol Ch'ed (Potato Mountain)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882</w:t>
      </w:r>
      <w:r>
        <w:rPr>
          <w:rFonts w:ascii="arial" w:eastAsia="arial" w:hAnsi="arial" w:cs="arial"/>
          <w:color w:val="000000"/>
          <w:sz w:val="20"/>
          <w:lang w:val="en-US" w:eastAsia="en-US" w:bidi="ar-SA"/>
        </w:rPr>
        <w:t>  Tsimol Ch'ed is located between the north ends of Tsilhqox Biny and Talhiqox Biny. It lies within the Claim Area. British Columbia maps describe the larger area of elevation into which Tsimol Ch'ed falls as the Potato Range.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883</w:t>
      </w:r>
      <w:r>
        <w:rPr>
          <w:rFonts w:ascii="arial" w:eastAsia="arial" w:hAnsi="arial" w:cs="arial"/>
          <w:color w:val="000000"/>
          <w:sz w:val="20"/>
          <w:lang w:val="en-US" w:eastAsia="en-US" w:bidi="ar-SA"/>
        </w:rPr>
        <w:t>  Talhiqox Biny is on the western boundary of this mountain range. Naghatalhchoz sits at the Range's northern boundary. Tsilhqox Biny borders Tsimol Ch'ed. Tizlin Dzelh (Tullin Mountain) is found in the northeast. The Ses-Chi (Cheshi Creek) pass bounds the southeastern frontier. Shishan-qox (Lingfield Creek) is the major waterway, its sources include ?Edaz Biny and ?Enes Biny, two small high elevation lakes. Tsimol Ch'ed drains northeast to the Tsilhqox.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884</w:t>
      </w:r>
      <w:r>
        <w:rPr>
          <w:rFonts w:ascii="arial" w:eastAsia="arial" w:hAnsi="arial" w:cs="arial"/>
          <w:color w:val="000000"/>
          <w:sz w:val="20"/>
          <w:lang w:val="en-US" w:eastAsia="en-US" w:bidi="ar-SA"/>
        </w:rPr>
        <w:t>  Tsilhqot'in people gathered roots on Tsimol Ch'ed and hunted in the area through the summer months. This practice continued from historical times up to the mid-twentieth century when it began to decline, largely due to the growth of ranching in the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885</w:t>
      </w:r>
      <w:r>
        <w:rPr>
          <w:rFonts w:ascii="arial" w:eastAsia="arial" w:hAnsi="arial" w:cs="arial"/>
          <w:color w:val="000000"/>
          <w:sz w:val="20"/>
          <w:lang w:val="en-US" w:eastAsia="en-US" w:bidi="ar-SA"/>
        </w:rPr>
        <w:t>  The area was used by Xeni Gwet'in and Naghatalhchoz Gwet'in and also by other Tsilhqot'in communities in the summer, generally mid to late June into July, when sunt'iny could be identified and harvested. Into the twentieth century, considerable numbers of Tsilhqot'in people have camped all over the mountain at sites such as K'anlh Gunlin, ?Edaz Biny and ?Elagi seqan. No single site on the mountain appears to have been used every year, or by all harvesters. Some families returned to preferred areas on a regular basis. According to Doris Lulua, ?Edaz Biny was one site where larger numbers of Tsilhqot'in people would congregate to fish, race horses, and play net'e?ah, a game played with bones.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886</w:t>
      </w:r>
      <w:r>
        <w:rPr>
          <w:rFonts w:ascii="arial" w:eastAsia="arial" w:hAnsi="arial" w:cs="arial"/>
          <w:color w:val="000000"/>
          <w:sz w:val="20"/>
          <w:lang w:val="en-US" w:eastAsia="en-US" w:bidi="ar-SA"/>
        </w:rPr>
        <w:t>  The slopes of Tsimol Ch'ed are as close as Tsilhqot'in people came to "cultivated fields" at the time of sovereignty assertion. They were not cultivated in a way that would have been recognized by a European person. However, the root extraction was managed and cultivated in a fashion that ensured a passing on of this important resource from generation to generation.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887</w:t>
      </w:r>
      <w:r>
        <w:rPr>
          <w:rFonts w:ascii="arial" w:eastAsia="arial" w:hAnsi="arial" w:cs="arial"/>
          <w:color w:val="000000"/>
          <w:sz w:val="20"/>
          <w:lang w:val="en-US" w:eastAsia="en-US" w:bidi="ar-SA"/>
        </w:rPr>
        <w:t>  The use of the mountain as a gathering ground fell off during the mid-twentieth century partly due to the use of the area as a grazing range. However, to this day Tsilhqot'in people continue to camp on Tsimol Ch'ed during the relatively brief period in the summer when sunt'iny are harvested.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xvii. Area West and South of Tsilhqox Biny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888</w:t>
      </w:r>
      <w:r>
        <w:rPr>
          <w:rFonts w:ascii="arial" w:eastAsia="arial" w:hAnsi="arial" w:cs="arial"/>
          <w:color w:val="000000"/>
          <w:sz w:val="20"/>
          <w:lang w:val="en-US" w:eastAsia="en-US" w:bidi="ar-SA"/>
        </w:rPr>
        <w:t>  At the southwest extremity of Tsilhqox Biny is Talhjez, lying in a southwest direction towards Bute Inlet. Lofty mountains surround the north and south boundaries of the arm. Nachent'az Dzelh is to the north of Talhjez. Yanats'idlush lies to the west. Tsi Nentsen Tsinsh Dzelh and Sebay Talgog provide a southern boundary. Tsilhqox Dzelh is located at the south-western end of Tsilhqox Biny.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889</w:t>
      </w:r>
      <w:r>
        <w:rPr>
          <w:rFonts w:ascii="arial" w:eastAsia="arial" w:hAnsi="arial" w:cs="arial"/>
          <w:color w:val="000000"/>
          <w:sz w:val="20"/>
          <w:lang w:val="en-US" w:eastAsia="en-US" w:bidi="ar-SA"/>
        </w:rPr>
        <w:t>  Tsilhqot'in people have used the lands surrounding Talhjez, including Nachent'az Dzelh, Tsi Nentsen Tsinsh Dzelh and Sebay Talgog, all around the southern end of Tsilhqox Biny, as hunting and trapping grounds.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xviii. West Side of Tsilhqox Biny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890</w:t>
      </w:r>
      <w:r>
        <w:rPr>
          <w:rFonts w:ascii="arial" w:eastAsia="arial" w:hAnsi="arial" w:cs="arial"/>
          <w:color w:val="000000"/>
          <w:sz w:val="20"/>
          <w:lang w:val="en-US" w:eastAsia="en-US" w:bidi="ar-SA"/>
        </w:rPr>
        <w:t>  To the north of Talhjez is T'asbay se?an Tl'ad (Mount Moore or Goat Mountain), Nilht'isiquz (Stikelan Creek Valley) and Tach'i Dilhgwenlh (Huckleberry mountain).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891</w:t>
      </w:r>
      <w:r>
        <w:rPr>
          <w:rFonts w:ascii="arial" w:eastAsia="arial" w:hAnsi="arial" w:cs="arial"/>
          <w:color w:val="000000"/>
          <w:sz w:val="20"/>
          <w:lang w:val="en-US" w:eastAsia="en-US" w:bidi="ar-SA"/>
        </w:rPr>
        <w:t>  This area west of Tsilhqox Biny, and southeast of Talhiqox Biny, is also a mountainous region. Dominating the area, and surrounding the Nilht'isiquz, is T'asbay se?an Tl'ad. To the northeast, and essentially on Tsilhqox Biny is Tach'i Dilhgwenlh. Between the two is the Tsilhqox Biny valley, surrounding the small body of water named Ch'a Biny, and running a narrow course north around Tach'i Dilhgwenlh Dzelh to Gwedats'ish. Tsimol Ch'ed bounds the Tsilhqox Biny valley to the northwest at this location.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892</w:t>
      </w:r>
      <w:r>
        <w:rPr>
          <w:rFonts w:ascii="arial" w:eastAsia="arial" w:hAnsi="arial" w:cs="arial"/>
          <w:color w:val="000000"/>
          <w:sz w:val="20"/>
          <w:lang w:val="en-US" w:eastAsia="en-US" w:bidi="ar-SA"/>
        </w:rPr>
        <w:t>  Since before the time of first contact, Tsilhqot'in people have used these lands as important hunting, trapping and gathering grounds, moving about from base camps.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 Eastern Trapline Territory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893</w:t>
      </w:r>
      <w:r>
        <w:rPr>
          <w:rFonts w:ascii="arial" w:eastAsia="arial" w:hAnsi="arial" w:cs="arial"/>
          <w:color w:val="000000"/>
          <w:sz w:val="20"/>
          <w:lang w:val="en-US" w:eastAsia="en-US" w:bidi="ar-SA"/>
        </w:rPr>
        <w:t>  I am satisfied Tsilhqot'in people were present in the Eastern Trapline Territory at the time of first contact. The area has been used by Tsilhqot'in people since that time for hunting, trapping, fishing and gathering of roots and berries. I am not able to find that any portion of the Eastern Trapline Territory was occupied at the time of sovereignty assertion to the extent necessary to ground a finding of Tsilhqot'in Aboriginal title. Despite this conclusion, I will review certain discrete areas within this portion of the Claim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i. Dasiqox Biny (Taseko Lake) and Eastward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894</w:t>
      </w:r>
      <w:r>
        <w:rPr>
          <w:rFonts w:ascii="arial" w:eastAsia="arial" w:hAnsi="arial" w:cs="arial"/>
          <w:color w:val="000000"/>
          <w:sz w:val="20"/>
          <w:lang w:val="en-US" w:eastAsia="en-US" w:bidi="ar-SA"/>
        </w:rPr>
        <w:t>  Dasiqox Biny and the Claim Area lands to the east are situated at the intersection of the mountain-plateau transition zone. Rugged mountains define the southern boundary of this area. A number of creeks and rivers, including the Lord River, Chita Creek, and the Dasiqox, drain into Dasiqox Biny. Moving northward, the Bisqox (Beece Creek) watershed separates Nabas Dzelh (Anvil Mountain) from its southern counterpart Dzelh Ch'ed. Further to the north the terrain is characterized by forests and meadows straddling the basins of Lhuy Nentsul (Little Fish Lake) and Teztan (Fish Lake) system, and the Jididzay Biny (Onion Lake) watershed.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895</w:t>
      </w:r>
      <w:r>
        <w:rPr>
          <w:rFonts w:ascii="arial" w:eastAsia="arial" w:hAnsi="arial" w:cs="arial"/>
          <w:color w:val="000000"/>
          <w:sz w:val="20"/>
          <w:lang w:val="en-US" w:eastAsia="en-US" w:bidi="ar-SA"/>
        </w:rPr>
        <w:t>  Dzelh Ch'ed dominates the southern landscape. Rivers including ?Ena Ch'ez Nadilin and the headwaters of the Dasiqox flow into Dasiqox Biny at its southernmost extremity, at Ts'i Ts'elhts'ig. The southern reaches are known as Dasiqox Tu Tl'az. Its narrows are known as Nanats'eqish and its outlet is called Nadilin Yex. The Dasiqox flows northward from Nadilin Yex to meet the Tsilhqox. Eastward from Nanats'eqish, the mountainous Gwetex Natel?as provides a passage for migrating nists'i as they make their way to the plateau country. In the northern portion of these lands, Nabas Dzelh towers over the Bisqox watershed, the meadows of Nabas, and the fish-bearing Teztan Biny and Jididzay Biny.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896</w:t>
      </w:r>
      <w:r>
        <w:rPr>
          <w:rFonts w:ascii="arial" w:eastAsia="arial" w:hAnsi="arial" w:cs="arial"/>
          <w:color w:val="000000"/>
          <w:sz w:val="20"/>
          <w:lang w:val="en-US" w:eastAsia="en-US" w:bidi="ar-SA"/>
        </w:rPr>
        <w:t>  Nists'i from the nearby Dzelh Ch'ed migrate into these lands through corridors such as those of T'ox T'ad, Nadilin Yex and Gwetex Natel?as. Gex (rabbit), nundi, nabi (muskrat), tsa (beaver), dlig and other furbearer animals are present near Teztan Biny, Jididzay Biny and Nabas Dzelh.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897</w:t>
      </w:r>
      <w:r>
        <w:rPr>
          <w:rFonts w:ascii="arial" w:eastAsia="arial" w:hAnsi="arial" w:cs="arial"/>
          <w:color w:val="000000"/>
          <w:sz w:val="20"/>
          <w:lang w:val="en-US" w:eastAsia="en-US" w:bidi="ar-SA"/>
        </w:rPr>
        <w:t>  There is evidence of Tsilhqot'in people occupying the lands to the east of Dasiqox Biny, centred in the lowlands of Nabas and about Bisqox, Teztan Biny, Jididzay Biny and Lhuy Nentsul. Tsilhqot'in people moved into the mountainous areas to the south and east of Dasiqox Biny in the summer and fall to harvest resources and prepare for the winter. They did so via the ancestral trail network, which is still used today.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ii. Teztan Biny (Fish Lake)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898</w:t>
      </w:r>
      <w:r>
        <w:rPr>
          <w:rFonts w:ascii="arial" w:eastAsia="arial" w:hAnsi="arial" w:cs="arial"/>
          <w:color w:val="000000"/>
          <w:sz w:val="20"/>
          <w:lang w:val="en-US" w:eastAsia="en-US" w:bidi="ar-SA"/>
        </w:rPr>
        <w:t>  Teztan Biny is located within the northern part of the Eastern Trapline Territory, roughly on the same latitude as the north end of Xeni.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899</w:t>
      </w:r>
      <w:r>
        <w:rPr>
          <w:rFonts w:ascii="arial" w:eastAsia="arial" w:hAnsi="arial" w:cs="arial"/>
          <w:color w:val="000000"/>
          <w:sz w:val="20"/>
          <w:lang w:val="en-US" w:eastAsia="en-US" w:bidi="ar-SA"/>
        </w:rPr>
        <w:t>  Brealey testified that archaeological studies of Teztan Biny indicate "18 roasting and/or pit depressions" in the area. Whether the cultural depressions have been identified as Tsilhqot'in in origin is not clear. Brealey's only source for this information is Robert Tyhurst's article, "Shuswap and Chilcotin use of Churn Creek" (Calgary: Environment Canada, 1994). That study that is not part of the evidence in this case. Gilbert Solomon saw the cultural depressions at Teztan Biny for the first time when visiting with archaeologists. He said that although he was told that Tsilhqot'in people lived there while fishing, he was not told they lived in underground homes.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900</w:t>
      </w:r>
      <w:r>
        <w:rPr>
          <w:rFonts w:ascii="arial" w:eastAsia="arial" w:hAnsi="arial" w:cs="arial"/>
          <w:color w:val="000000"/>
          <w:sz w:val="20"/>
          <w:lang w:val="en-US" w:eastAsia="en-US" w:bidi="ar-SA"/>
        </w:rPr>
        <w:t>  Tsilhqot'in witnesses have testified to the use of Teztan Biny in the twentieth century as a fishing and hunting camp. Francis William said there are also smaller lakes in the area around Dasiqox Biny where sabay and dek'any could be caught. He also spoke of killing a mus near Teztan Biny, along the road to Dasiqox Biny. Cecelia Quilt said that Old Seymour had a cabin near Teztan Biny. She recalled that her husband once stayed there all winter taking care of cattle and he said that an old Tsilhqot'in lady was buried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iii. Nabas Dzelh (Anvil Mountain)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901</w:t>
      </w:r>
      <w:r>
        <w:rPr>
          <w:rFonts w:ascii="arial" w:eastAsia="arial" w:hAnsi="arial" w:cs="arial"/>
          <w:color w:val="000000"/>
          <w:sz w:val="20"/>
          <w:lang w:val="en-US" w:eastAsia="en-US" w:bidi="ar-SA"/>
        </w:rPr>
        <w:t>  Nabas Dzelh was marked at two different locations by Harry Setah and Chief William. Both locations are on the eastern boundary of the Eastern Trapline. The mountain and area surrounding it straddles the border of the Claim Area. The name Nabas is also sometimes used to refer to the large area between Nebas Dzelh and Teztan Biny to the north.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902</w:t>
      </w:r>
      <w:r>
        <w:rPr>
          <w:rFonts w:ascii="arial" w:eastAsia="arial" w:hAnsi="arial" w:cs="arial"/>
          <w:color w:val="000000"/>
          <w:sz w:val="20"/>
          <w:lang w:val="en-US" w:eastAsia="en-US" w:bidi="ar-SA"/>
        </w:rPr>
        <w:t>  Cecelia Quilt was raised in the area of Nabas. She testified that Tsilhqot'in families used to stay in Nabas (on either side of the mountain) in the winter. They travelled into the mountains in the summer and fall to hunt, harvest plants, and dry meat. The people would stay up on Dzelh Ch'ed, in the summer and then move back to Nabas for the winter. Few of the cabins and barns they used are still standing. She understood from her parents that Tsilhqot'in people lived in the area since before their time. Other witnesses identified sites near Nabas (for example, Jididzay Biny) where other Tsilhqot'in families would stay.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903</w:t>
      </w:r>
      <w:r>
        <w:rPr>
          <w:rFonts w:ascii="arial" w:eastAsia="arial" w:hAnsi="arial" w:cs="arial"/>
          <w:color w:val="000000"/>
          <w:sz w:val="20"/>
          <w:lang w:val="en-US" w:eastAsia="en-US" w:bidi="ar-SA"/>
        </w:rPr>
        <w:t>  Henry Solomon had a cabin between Nabas and Teztan Biny, northwest of Nabas. Francis William testified that his brother Jimmy Bulyan lived in a cabin with his family at Whitewater Meadow, east of the Dasiqox. He also said that Lebusden had a cabin not far from his brother's cabin. He said that Tsilhqot'in people would camp at the north end of Dasiqox Biny, at Nadilin Yex. This location appears to be on the border of the Eastern Trapline. Other witnesses also identified campsites at Nadilin Yex.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904</w:t>
      </w:r>
      <w:r>
        <w:rPr>
          <w:rFonts w:ascii="arial" w:eastAsia="arial" w:hAnsi="arial" w:cs="arial"/>
          <w:color w:val="000000"/>
          <w:sz w:val="20"/>
          <w:lang w:val="en-US" w:eastAsia="en-US" w:bidi="ar-SA"/>
        </w:rPr>
        <w:t>  Brealey testified that Lhuy Nentsul, south of Nabas, has "several log buildings that were built at various points in time." He identified the site as an important fresh water fishery. The archaeology of the area was studied in conjunction with a mining proposal advanced by Taseko Mines. This study found that Lhuy Nentsul and its buildings were associated with the William family. The time frame of the William family's use of the area was not indicated in the excerpt from the report cited.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905</w:t>
      </w:r>
      <w:r>
        <w:rPr>
          <w:rFonts w:ascii="arial" w:eastAsia="arial" w:hAnsi="arial" w:cs="arial"/>
          <w:color w:val="000000"/>
          <w:sz w:val="20"/>
          <w:lang w:val="en-US" w:eastAsia="en-US" w:bidi="ar-SA"/>
        </w:rPr>
        <w:t>  Chief William indicated that at present there are no Tsilhqot'in people living in the Eastern Trapline area on a full-time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906</w:t>
      </w:r>
      <w:r>
        <w:rPr>
          <w:rFonts w:ascii="arial" w:eastAsia="arial" w:hAnsi="arial" w:cs="arial"/>
          <w:color w:val="000000"/>
          <w:sz w:val="20"/>
          <w:lang w:val="en-US" w:eastAsia="en-US" w:bidi="ar-SA"/>
        </w:rPr>
        <w:t>  I am satisfied that this area was used for hunting, trapping and fishing and gathering prior to first contact with Europeans.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iv. Gwetex Natel?as (Red Mountain)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907</w:t>
      </w:r>
      <w:r>
        <w:rPr>
          <w:rFonts w:ascii="arial" w:eastAsia="arial" w:hAnsi="arial" w:cs="arial"/>
          <w:color w:val="000000"/>
          <w:sz w:val="20"/>
          <w:lang w:val="en-US" w:eastAsia="en-US" w:bidi="ar-SA"/>
        </w:rPr>
        <w:t>  Gwetex Natel?as is located east of Dasiqox Biny within the Eastern Trapline Territory. According to Joseph William, nists'i cross Dasiqox Biny at the north and south end or at the narrows in the fall, and then sometimes stay in the mountains on the east side of the lakes before moving into the low country around Dediny Qox.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908</w:t>
      </w:r>
      <w:r>
        <w:rPr>
          <w:rFonts w:ascii="arial" w:eastAsia="arial" w:hAnsi="arial" w:cs="arial"/>
          <w:color w:val="000000"/>
          <w:sz w:val="20"/>
          <w:lang w:val="en-US" w:eastAsia="en-US" w:bidi="ar-SA"/>
        </w:rPr>
        <w:t>  Joseph William testified that his family used to stay at Nadilin Yex, at the north end of Dasiqox Biny and from there would go in search of nists'i and dediny at Gwetex Natel?as. He said Gwetex Natel?as was one of the areas where nists'i would cross the mountains. Tsilhqot'in people would hunt nists'I there from behind rock blinds.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909</w:t>
      </w:r>
      <w:r>
        <w:rPr>
          <w:rFonts w:ascii="arial" w:eastAsia="arial" w:hAnsi="arial" w:cs="arial"/>
          <w:color w:val="000000"/>
          <w:sz w:val="20"/>
          <w:lang w:val="en-US" w:eastAsia="en-US" w:bidi="ar-SA"/>
        </w:rPr>
        <w:t>  Harry Setah, who had been shown the site on an excursion with William Setah, described the deer blind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took a crossing and we went over towards Red Mountain, and he showed us a place where - right over here there's a rock stand here somewhere. There's a plateau and there's a blind - it's built about 5 feet high and it's about 10 feet long, where the deer goes by, and they had a spear or bow and arrow back in those days and it's still there right today.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910</w:t>
      </w:r>
      <w:r>
        <w:rPr>
          <w:rFonts w:ascii="arial" w:eastAsia="arial" w:hAnsi="arial" w:cs="arial"/>
          <w:color w:val="000000"/>
          <w:sz w:val="20"/>
          <w:lang w:val="en-US" w:eastAsia="en-US" w:bidi="ar-SA"/>
        </w:rPr>
        <w:t>  There is no archaeological information concerning the rock blinds at Gwetex Natel?as. David Setah testified that blinds were "used long time ago by our ancestors" when Tsilhqot'in people used bows and arrows to hunt.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911</w:t>
      </w:r>
      <w:r>
        <w:rPr>
          <w:rFonts w:ascii="arial" w:eastAsia="arial" w:hAnsi="arial" w:cs="arial"/>
          <w:color w:val="000000"/>
          <w:sz w:val="20"/>
          <w:lang w:val="en-US" w:eastAsia="en-US" w:bidi="ar-SA"/>
        </w:rPr>
        <w:t>  The evidence indicates occupation by Tsilhqot'in people to hunt and trap sufficient to ground such a Tsilhqot'in Aboriginal right to those activities in Gwetex Natel?as.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 EXCLUSIVITY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912</w:t>
      </w:r>
      <w:r>
        <w:rPr>
          <w:rFonts w:ascii="arial" w:eastAsia="arial" w:hAnsi="arial" w:cs="arial"/>
          <w:color w:val="000000"/>
          <w:sz w:val="20"/>
          <w:lang w:val="en-US" w:eastAsia="en-US" w:bidi="ar-SA"/>
        </w:rPr>
        <w:t xml:space="preserve">  An Aboriginal group seeking a declaration of Aboriginal title must prove the essential element of exclusivity. In </w:t>
      </w:r>
      <w:r>
        <w:rPr>
          <w:rFonts w:ascii="arial" w:eastAsia="arial" w:hAnsi="arial" w:cs="arial"/>
          <w:b/>
          <w:i/>
          <w:color w:val="000000"/>
          <w:sz w:val="20"/>
          <w:lang w:val="en-US" w:eastAsia="en-US" w:bidi="ar-SA"/>
        </w:rPr>
        <w:t>Delgamuukw</w:t>
      </w:r>
      <w:r>
        <w:rPr>
          <w:rFonts w:ascii="arial" w:eastAsia="arial" w:hAnsi="arial" w:cs="arial"/>
          <w:color w:val="000000"/>
          <w:sz w:val="20"/>
          <w:lang w:val="en-US" w:eastAsia="en-US" w:bidi="ar-SA"/>
        </w:rPr>
        <w:t xml:space="preserve"> (S.C.C.) at para. 155, Lamer C.J.C. explained that title will only vest in the Aboriginal community that held the ability to exclude others from the title lands.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913</w:t>
      </w:r>
      <w:r>
        <w:rPr>
          <w:rFonts w:ascii="arial" w:eastAsia="arial" w:hAnsi="arial" w:cs="arial"/>
          <w:color w:val="000000"/>
          <w:sz w:val="20"/>
          <w:lang w:val="en-US" w:eastAsia="en-US" w:bidi="ar-SA"/>
        </w:rPr>
        <w:t xml:space="preserve">  Trespass by other Aboriginal groups may actually support an inference of exclusivity where the claimant group had certain laws or practices such as granting permission to visitors to the territory: </w:t>
      </w:r>
      <w:r>
        <w:rPr>
          <w:rFonts w:ascii="arial" w:eastAsia="arial" w:hAnsi="arial" w:cs="arial"/>
          <w:b/>
          <w:i/>
          <w:color w:val="000000"/>
          <w:sz w:val="20"/>
          <w:lang w:val="en-US" w:eastAsia="en-US" w:bidi="ar-SA"/>
        </w:rPr>
        <w:t>Delgamuukw</w:t>
      </w:r>
      <w:r>
        <w:rPr>
          <w:rFonts w:ascii="arial" w:eastAsia="arial" w:hAnsi="arial" w:cs="arial"/>
          <w:color w:val="000000"/>
          <w:sz w:val="20"/>
          <w:lang w:val="en-US" w:eastAsia="en-US" w:bidi="ar-SA"/>
        </w:rPr>
        <w:t xml:space="preserve"> at para. 157.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914</w:t>
      </w:r>
      <w:r>
        <w:rPr>
          <w:rFonts w:ascii="arial" w:eastAsia="arial" w:hAnsi="arial" w:cs="arial"/>
          <w:color w:val="000000"/>
          <w:sz w:val="20"/>
          <w:lang w:val="en-US" w:eastAsia="en-US" w:bidi="ar-SA"/>
        </w:rPr>
        <w:t xml:space="preserve">  The Court revisited this subject in </w:t>
      </w:r>
      <w:r>
        <w:rPr>
          <w:rFonts w:ascii="arial" w:eastAsia="arial" w:hAnsi="arial" w:cs="arial"/>
          <w:b/>
          <w:i/>
          <w:color w:val="000000"/>
          <w:sz w:val="20"/>
          <w:lang w:val="en-US" w:eastAsia="en-US" w:bidi="ar-SA"/>
        </w:rPr>
        <w:t>Marshall; Bernard</w:t>
      </w:r>
      <w:r>
        <w:rPr>
          <w:rFonts w:ascii="arial" w:eastAsia="arial" w:hAnsi="arial" w:cs="arial"/>
          <w:color w:val="000000"/>
          <w:sz w:val="20"/>
          <w:lang w:val="en-US" w:eastAsia="en-US" w:bidi="ar-SA"/>
        </w:rPr>
        <w:t xml:space="preserve">. The Court acknowledged that pre-sovereignty Aboriginal societies may not have had a law or convention around excluding others. In that situation, one must look to the evidence to determine whether the element of exclusivity has been met. McLachlin C.J.C. observed in </w:t>
      </w:r>
      <w:r>
        <w:rPr>
          <w:rFonts w:ascii="arial" w:eastAsia="arial" w:hAnsi="arial" w:cs="arial"/>
          <w:b/>
          <w:i/>
          <w:color w:val="000000"/>
          <w:sz w:val="20"/>
          <w:lang w:val="en-US" w:eastAsia="en-US" w:bidi="ar-SA"/>
        </w:rPr>
        <w:t>Marshall; Bernard</w:t>
      </w:r>
      <w:r>
        <w:rPr>
          <w:rFonts w:ascii="arial" w:eastAsia="arial" w:hAnsi="arial" w:cs="arial"/>
          <w:color w:val="000000"/>
          <w:sz w:val="20"/>
          <w:lang w:val="en-US" w:eastAsia="en-US" w:bidi="ar-SA"/>
        </w:rPr>
        <w:t>, at paras. 64-65: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But evidence may be hard to find. The area may have been sparsely populated, with the result that clashes and the need to exclude strangers seldom if ever occurred. Or the people may have been peaceful and have chosen to exercise their control by sharing rather than exclusion. It is therefore critical to view the question of exclusion from the aboriginal perspective. To insist on evidence of overt acts of exclusion in such circumstances may, depending on the circumstances, be unfair. The problem is compounded by the difficulty of producing evidence of what happened hundreds of years ago where no tradition of written history exists.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follows that evidence of acts of exclusion is not required to establish aboriginal title. </w:t>
      </w:r>
      <w:r>
        <w:rPr>
          <w:rFonts w:ascii="arial" w:eastAsia="arial" w:hAnsi="arial" w:cs="arial"/>
          <w:i/>
          <w:color w:val="000000"/>
          <w:sz w:val="20"/>
          <w:lang w:val="en-US" w:eastAsia="en-US" w:bidi="ar-SA"/>
        </w:rPr>
        <w:t>All that is required is demonstration of effective control of the land by the group, from which a reasonable inference can be drawn that it could have excluded others had it chosen to do so. The fact that history, insofar as it can be ascertained, discloses no adverse claimants may support this inference</w:t>
      </w:r>
      <w:r>
        <w:rPr>
          <w:rFonts w:ascii="arial" w:eastAsia="arial" w:hAnsi="arial" w:cs="arial"/>
          <w:color w:val="000000"/>
          <w:sz w:val="20"/>
          <w:lang w:val="en-US" w:eastAsia="en-US" w:bidi="ar-SA"/>
        </w:rPr>
        <w:t>. This is what is meant by the requirement of aboriginal title that the lands have been occupied in an exclusive manner.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915</w:t>
      </w:r>
      <w:r>
        <w:rPr>
          <w:rFonts w:ascii="arial" w:eastAsia="arial" w:hAnsi="arial" w:cs="arial"/>
          <w:color w:val="000000"/>
          <w:sz w:val="20"/>
          <w:lang w:val="en-US" w:eastAsia="en-US" w:bidi="ar-SA"/>
        </w:rPr>
        <w:t>  The plaintiff argues that Tsilhqot'in people had the capacity to control their territory and in fact did exercise such control. It is submitted that the evidence supports a conclusion that Tsilhqot'in people entered into treaties or bonds of peace from time to time, exercised control over the movements of non-Tsilhqot'in people in their territory, and enjoyed a reputation amongst their neighbours as a people who fiercely defended their 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916</w:t>
      </w:r>
      <w:r>
        <w:rPr>
          <w:rFonts w:ascii="arial" w:eastAsia="arial" w:hAnsi="arial" w:cs="arial"/>
          <w:color w:val="000000"/>
          <w:sz w:val="20"/>
          <w:lang w:val="en-US" w:eastAsia="en-US" w:bidi="ar-SA"/>
        </w:rPr>
        <w:t>  Tsilhqot'in witnesses testified to their ancestors' use of scouts and runners to check for intruders and warn their communities. There is also some historical evidence of this practice, including the journals of Simon Fraser. On July 26, 1808 Simon Fraser recorded that "Chilkoetins ... had the information of our return from the lower parts of the river by messages across the Country": Letters and Journals of Simon Fraser, pp. 124-125.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917</w:t>
      </w:r>
      <w:r>
        <w:rPr>
          <w:rFonts w:ascii="arial" w:eastAsia="arial" w:hAnsi="arial" w:cs="arial"/>
          <w:color w:val="000000"/>
          <w:sz w:val="20"/>
          <w:lang w:val="en-US" w:eastAsia="en-US" w:bidi="ar-SA"/>
        </w:rPr>
        <w:t>  Professor Foster, a legal historian, wrote in his report at p. 23 that the archival records show that "[t]o be safe" in Tsilhqot'in country, "one had to be accompanied by Tsilhqot'in, paying what in effect was a 'toll' to enter and 'rent' if you wanted to stay and settle 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918</w:t>
      </w:r>
      <w:r>
        <w:rPr>
          <w:rFonts w:ascii="arial" w:eastAsia="arial" w:hAnsi="arial" w:cs="arial"/>
          <w:color w:val="000000"/>
          <w:sz w:val="20"/>
          <w:lang w:val="en-US" w:eastAsia="en-US" w:bidi="ar-SA"/>
        </w:rPr>
        <w:t>  The evidence at trial was that the early fur traders and explorers and later the CPP surveyors did indeed offer "presents" to the Tsilhqot'in people and other First Nations. The motivation behind giving these presents was to develop a positive economic relationship with the Aboriginal recipients. However, as Dr. Coates and Professor Foster pointed out, we do not know how these presents were received from the Aboriginal perspective. A letter written by Chief Factor Connolly in October 1829 to George McDougall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Presents also ought to be dealt out with a sparing hand, as they not unfrequently defeat the intention for which they are given, and in time instead of being received as favors are claimed as dues.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919</w:t>
      </w:r>
      <w:r>
        <w:rPr>
          <w:rFonts w:ascii="arial" w:eastAsia="arial" w:hAnsi="arial" w:cs="arial"/>
          <w:color w:val="000000"/>
          <w:sz w:val="20"/>
          <w:lang w:val="en-US" w:eastAsia="en-US" w:bidi="ar-SA"/>
        </w:rPr>
        <w:t>  Notwithstanding Connolly's advice and with consequent knowledge of how those payments would be perceived, the HBC fur traders continued to make presents to Tsilhqot'in people. These presents were given with such frequency that the payments to chiefs are referred to throughout the fur trading journals by terms such as "usual present", "ordinary present", "ordinary allowance", "annual present", "customary present", and "accustomed present". Considered from the Tsilhqot'in perspective, demands for payment were very likely linked to non-Tsilhqot'in passage through or use of Tsilhqot'in lands. Europeans were often well aware of the significance of these payments from the Aboriginal perspective and they made such payments for precisely this reason.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920</w:t>
      </w:r>
      <w:r>
        <w:rPr>
          <w:rFonts w:ascii="arial" w:eastAsia="arial" w:hAnsi="arial" w:cs="arial"/>
          <w:color w:val="000000"/>
          <w:sz w:val="20"/>
          <w:lang w:val="en-US" w:eastAsia="en-US" w:bidi="ar-SA"/>
        </w:rPr>
        <w:t>  Military practices were also used to instil fear of Tsilhqot'in warriors. One such military practice was a policy of killing as many opponents as possible but at the same time, deliberately allowing one or two badly wounded opponents the opportunity to escape death. Upon their return, these badly wounded individuals would present the best evidence possible of the fierceness of Tsilhqot'in warriors. This worked to instill fear of Tsilhqot'in people in all those who might venture into Tsilhqot'in territory.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921</w:t>
      </w:r>
      <w:r>
        <w:rPr>
          <w:rFonts w:ascii="arial" w:eastAsia="arial" w:hAnsi="arial" w:cs="arial"/>
          <w:color w:val="000000"/>
          <w:sz w:val="20"/>
          <w:lang w:val="en-US" w:eastAsia="en-US" w:bidi="ar-SA"/>
        </w:rPr>
        <w:t xml:space="preserve">  The historical records document situations where non-Tsilhqot'in Aboriginal guides refused to enter Tsilhqot'in territory, expressing fear of Tsilhqot'in people. One example of this was recorded by CPP Surveyor Marcus Smith in 1872, printed in Sandford Fleming's </w:t>
      </w:r>
      <w:r>
        <w:rPr>
          <w:rFonts w:ascii="arial" w:eastAsia="arial" w:hAnsi="arial" w:cs="arial"/>
          <w:i/>
          <w:color w:val="000000"/>
          <w:sz w:val="20"/>
          <w:lang w:val="en-US" w:eastAsia="en-US" w:bidi="ar-SA"/>
        </w:rPr>
        <w:t>Report of Progress</w:t>
      </w:r>
      <w:r>
        <w:rPr>
          <w:rFonts w:ascii="arial" w:eastAsia="arial" w:hAnsi="arial" w:cs="arial"/>
          <w:color w:val="000000"/>
          <w:sz w:val="20"/>
          <w:lang w:val="en-US" w:eastAsia="en-US" w:bidi="ar-SA"/>
        </w:rPr>
        <w:t xml:space="preserve">, p. 113. On this particular occasion Smith was armed and accompanied by a gun-boat to the head of Bute Inlet because of concerns about what Tsilhqot'in people might do. Once his "Clahoose" guides and porters reached the site of the 1864 massacre, the Clahoose refused to go past the foot of the canyon because "they were afraid of the Chilcotin Indians". Smith later engaged the services of three Tsilhqot'in men and two women whom they "found hunting there": </w:t>
      </w:r>
      <w:r>
        <w:rPr>
          <w:rFonts w:ascii="arial" w:eastAsia="arial" w:hAnsi="arial" w:cs="arial"/>
          <w:i/>
          <w:color w:val="000000"/>
          <w:sz w:val="20"/>
          <w:lang w:val="en-US" w:eastAsia="en-US" w:bidi="ar-SA"/>
        </w:rPr>
        <w:t>C.P.R. Report of Progress</w:t>
      </w:r>
      <w:r>
        <w:rPr>
          <w:rFonts w:ascii="arial" w:eastAsia="arial" w:hAnsi="arial" w:cs="arial"/>
          <w:color w:val="000000"/>
          <w:sz w:val="20"/>
          <w:lang w:val="en-US" w:eastAsia="en-US" w:bidi="ar-SA"/>
        </w:rPr>
        <w:t>, p. 113.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922</w:t>
      </w:r>
      <w:r>
        <w:rPr>
          <w:rFonts w:ascii="arial" w:eastAsia="arial" w:hAnsi="arial" w:cs="arial"/>
          <w:color w:val="000000"/>
          <w:sz w:val="20"/>
          <w:lang w:val="en-US" w:eastAsia="en-US" w:bidi="ar-SA"/>
        </w:rPr>
        <w:t>  Canada is critical of the plaintiff's approach to this issue and says that a propensity for violence does not establish Tsilhqot'in exclusivity in the Claim Area. In the submission of Canada, the sparse Tsilhqot'in population would make it impossible for Tsilhqot'in people to maintain exclusive control over their traditional territory. Canada says it is more likely that after Tsilhqot'in people moved on from one location to another leaving the land available for others to move in and exploit. Canada also argues that an abandonment of the Claim Area on a failure of a salmon run would make it impossible to maintain exclusive control, at least during such a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923</w:t>
      </w:r>
      <w:r>
        <w:rPr>
          <w:rFonts w:ascii="arial" w:eastAsia="arial" w:hAnsi="arial" w:cs="arial"/>
          <w:color w:val="000000"/>
          <w:sz w:val="20"/>
          <w:lang w:val="en-US" w:eastAsia="en-US" w:bidi="ar-SA"/>
        </w:rPr>
        <w:t>  There is nothing to indicate that Tsilhqot'in populations at any given time were small compared to their neighbours. In fact, early records of the HBC appear to record a marginally larger number of Tsilhqot'in men trading at Fort Alexandria than the numbers of Dakelh (Carrier) men. I acknowledge the population was small given the size of the area, but it is fair to infer there were no large numbers of invaders on the edges of Tsilhqot'in territory.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924</w:t>
      </w:r>
      <w:r>
        <w:rPr>
          <w:rFonts w:ascii="arial" w:eastAsia="arial" w:hAnsi="arial" w:cs="arial"/>
          <w:color w:val="000000"/>
          <w:sz w:val="20"/>
          <w:lang w:val="en-US" w:eastAsia="en-US" w:bidi="ar-SA"/>
        </w:rPr>
        <w:t>  It is also important to place events in context. If an area was used to hunt, fish, and gather berries, root plants and medicines, the area would not be available for resource exploitation for at least another year. It would be highly unlikely that a neighbouring Aboriginal group would follow into an area that had already been exploited. Similarly, if the salmon run failed in any given area, there would be no possibility that any other group would move into such a distressful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925</w:t>
      </w:r>
      <w:r>
        <w:rPr>
          <w:rFonts w:ascii="arial" w:eastAsia="arial" w:hAnsi="arial" w:cs="arial"/>
          <w:color w:val="000000"/>
          <w:sz w:val="20"/>
          <w:lang w:val="en-US" w:eastAsia="en-US" w:bidi="ar-SA"/>
        </w:rPr>
        <w:t>  British Columbia says the fundamental problem lies in the plaintiff's approach to proving Aboriginal title. According to this argument, the plaintiff failed to identify and establish pre-sovereignty occupation of any definite tracts of land within the Claim Area. British Columbia also says that the plaintiff has approached the question of exclusivity from a territorial, rather than a site-specific, perspective.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926</w:t>
      </w:r>
      <w:r>
        <w:rPr>
          <w:rFonts w:ascii="arial" w:eastAsia="arial" w:hAnsi="arial" w:cs="arial"/>
          <w:color w:val="000000"/>
          <w:sz w:val="20"/>
          <w:lang w:val="en-US" w:eastAsia="en-US" w:bidi="ar-SA"/>
        </w:rPr>
        <w:t>  In his reply, the plaintiff argues that exclusivity does not require site-specific evidence of control directed at "each marsh meadow and berry patch". What is required is effective control over the land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927</w:t>
      </w:r>
      <w:r>
        <w:rPr>
          <w:rFonts w:ascii="arial" w:eastAsia="arial" w:hAnsi="arial" w:cs="arial"/>
          <w:color w:val="000000"/>
          <w:sz w:val="20"/>
          <w:lang w:val="en-US" w:eastAsia="en-US" w:bidi="ar-SA"/>
        </w:rPr>
        <w:t>  It is fair to say that the argument made by the plaintiff was directed towards a conclusion that Tsilhqot'in people had vigorously defended their territory and had closely monitored and controlled its use by others. British Columbia's position is consistent with the view that site-specific definite tracts are required in the proof of Aboriginal title and thus proof of site-specific exclusivity is also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928</w:t>
      </w:r>
      <w:r>
        <w:rPr>
          <w:rFonts w:ascii="arial" w:eastAsia="arial" w:hAnsi="arial" w:cs="arial"/>
          <w:color w:val="000000"/>
          <w:sz w:val="20"/>
          <w:lang w:val="en-US" w:eastAsia="en-US" w:bidi="ar-SA"/>
        </w:rPr>
        <w:t>  There is merit in both arguments. However, I took the plaintiff's argument to be a review of the evidence that would lead not just to a defence of territory but to an exclusive use of the Claim Area. I am unable to conclude there was sufficient occupation of the Claim Area as a whole. Therefore, my focus on exclusivity will be directed to those parts of the land, inside and outside the Claim Area, that in my view do demonstrate a sufficient degree of exclusive occupation to support a finding of Aboriginal title.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929</w:t>
      </w:r>
      <w:r>
        <w:rPr>
          <w:rFonts w:ascii="arial" w:eastAsia="arial" w:hAnsi="arial" w:cs="arial"/>
          <w:color w:val="000000"/>
          <w:sz w:val="20"/>
          <w:lang w:val="en-US" w:eastAsia="en-US" w:bidi="ar-SA"/>
        </w:rPr>
        <w:t xml:space="preserve">  The question is: does the evidence shows that Tsilhqot'in people at the time of sovereignty assertion exercised effective control of this land? Or, can a reasonable inference be drawn that Tsilhqot'in people could have excluded others had they chosen to do so?: </w:t>
      </w:r>
      <w:r>
        <w:rPr>
          <w:rFonts w:ascii="arial" w:eastAsia="arial" w:hAnsi="arial" w:cs="arial"/>
          <w:b/>
          <w:i/>
          <w:color w:val="000000"/>
          <w:sz w:val="20"/>
          <w:lang w:val="en-US" w:eastAsia="en-US" w:bidi="ar-SA"/>
        </w:rPr>
        <w:t>Marshall; Bernard</w:t>
      </w:r>
      <w:r>
        <w:rPr>
          <w:rFonts w:ascii="arial" w:eastAsia="arial" w:hAnsi="arial" w:cs="arial"/>
          <w:color w:val="000000"/>
          <w:sz w:val="20"/>
          <w:lang w:val="en-US" w:eastAsia="en-US" w:bidi="ar-SA"/>
        </w:rPr>
        <w:t>. In my view the answer to that question must be in the affirmative.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930</w:t>
      </w:r>
      <w:r>
        <w:rPr>
          <w:rFonts w:ascii="arial" w:eastAsia="arial" w:hAnsi="arial" w:cs="arial"/>
          <w:color w:val="000000"/>
          <w:sz w:val="20"/>
          <w:lang w:val="en-US" w:eastAsia="en-US" w:bidi="ar-SA"/>
        </w:rPr>
        <w:t>  As one might expect, the struggle, if any, between different Aboriginal groups came at the margins of their territories, those areas of overlap that existed in the absence of defined and accepted boundaries. For Tsilhqot'in people, the high mountains of the Cascade Range provided a natural barrier from any intrusive actions by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931</w:t>
      </w:r>
      <w:r>
        <w:rPr>
          <w:rFonts w:ascii="arial" w:eastAsia="arial" w:hAnsi="arial" w:cs="arial"/>
          <w:color w:val="000000"/>
          <w:sz w:val="20"/>
          <w:lang w:val="en-US" w:eastAsia="en-US" w:bidi="ar-SA"/>
        </w:rPr>
        <w:t>  The historical evidence and oral tradition evidence revealed conflict with other Aboriginal people in areas outside of the Claim Area. These conflicts include: the struggle at Tsulyu Ts'ilhed (Bull Canyon a.k.a. Battle Mountain) with Secwepemc (Shuswap) people and a subsequent killing of two Dakelh (Carrier) people said to have taken place pre-contact; Father Morice's report of a Tsilhqot'in attack on the Dakelh village at Chinlac in 1745; a battle with Secwepemc people at Chinilgwan (Churn Creek) to the east of Dasiqox Biny (Taseko Lake); an incursion revealed by oral tradition accounts of a conflict on Tsimol Ch'ed (Potato Mountain) with the Qaju (Homalco) people; a struggle, revealed by oral tradition, with Secwepemc people before sovereignty assertion at Nen Nalmelh (Bald Mountain); an oral tradition account of a war at Bendzi Biny (Puntzi Lake) with the Dakelh people; another skirmish at Tsulyu Ts'ilhed in the early nineteenth century with the Fraser River Secwepemc people; the Talkotin War with the Dakelh people to the north in mid-1826, recorded in the HBC journals; occasional skirmishes with the Qaju people to the south and west of the Claim Area; the Tsilhqot'in War, south and west of the Claim Area; an unsuccessful attempt by the Stl'atl'imc (Lillooet) to raid Tsilhqot'in sites, see for example, HBC Journal May 9, 1839; and, the war in Deni Deztsan (Graveyard Valley) in the late nineteenth century with the Stl'atl'imc people to the south and east of the Claim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932</w:t>
      </w:r>
      <w:r>
        <w:rPr>
          <w:rFonts w:ascii="arial" w:eastAsia="arial" w:hAnsi="arial" w:cs="arial"/>
          <w:color w:val="000000"/>
          <w:sz w:val="20"/>
          <w:lang w:val="en-US" w:eastAsia="en-US" w:bidi="ar-SA"/>
        </w:rPr>
        <w:t xml:space="preserve">  An exception to these conflicts is the oral tradition evidence of two incursions by Qaju people into Tsimol Ch'ed inside the Western Trapline Territory reported by Robert Lane in his 1953 dissertation, </w:t>
      </w:r>
      <w:r>
        <w:rPr>
          <w:rFonts w:ascii="arial" w:eastAsia="arial" w:hAnsi="arial" w:cs="arial"/>
          <w:i/>
          <w:color w:val="000000"/>
          <w:sz w:val="20"/>
          <w:lang w:val="en-US" w:eastAsia="en-US" w:bidi="ar-SA"/>
        </w:rPr>
        <w:t>Cultural Relations of the Chilcotin Indians.</w:t>
      </w:r>
      <w:r>
        <w:rPr>
          <w:rFonts w:ascii="arial" w:eastAsia="arial" w:hAnsi="arial" w:cs="arial"/>
          <w:color w:val="000000"/>
          <w:sz w:val="20"/>
          <w:lang w:val="en-US" w:eastAsia="en-US" w:bidi="ar-SA"/>
        </w:rPr>
        <w:t xml:space="preserve"> At p. 91, he records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Through the years, fighting with the Homalco was not completely one-sided. The Chilcotin have a detailed account of a raid by Bute Inlet people a few generations ago. The raiders penetrated deep into Chilcotin territory and killed a number of people. However, according to the Chilcotin, the intruders were ambushed en route home and wiped out. Informants claimed that at an earlier date Bute Inlet people came up to Chilko Lake, built "salt water" houses and canoes, and attempted raids. They wintered on the lake for several years but this introduction of coastal patterns of living and raiding by water was unsuccessful. The Chilcotin simply avoided the lake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933</w:t>
      </w:r>
      <w:r>
        <w:rPr>
          <w:rFonts w:ascii="arial" w:eastAsia="arial" w:hAnsi="arial" w:cs="arial"/>
          <w:color w:val="000000"/>
          <w:sz w:val="20"/>
          <w:lang w:val="en-US" w:eastAsia="en-US" w:bidi="ar-SA"/>
        </w:rPr>
        <w:t>  There is oral tradition evidence of an attack by the Qaju people causing the deaths of several Tsilhqot'in young women on Tsimol Ch'ed. With the assistance of a deyen (medicine man), Tsilhqot'in warriors killed and drove off the Qaju warriors. Whether that oral tradition is the same event noted by Lane is uncertain. It is clear that the event predated sovereignty assertion, as there was no evidence linking that skirmish to the time of sovereignty assertion or any time thereafter.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934</w:t>
      </w:r>
      <w:r>
        <w:rPr>
          <w:rFonts w:ascii="arial" w:eastAsia="arial" w:hAnsi="arial" w:cs="arial"/>
          <w:color w:val="000000"/>
          <w:sz w:val="20"/>
          <w:lang w:val="en-US" w:eastAsia="en-US" w:bidi="ar-SA"/>
        </w:rPr>
        <w:t>  If there was a settlement of Qaju people as recorded by Lane, the settlement is more likely to have been at the lower part of Tsilhqox Biny about the area of Talhjez. This area is inside the Claim Area, but is not one of the areas I find sufficient evidence to ground Tsilhqot'in Aboriginal title.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935</w:t>
      </w:r>
      <w:r>
        <w:rPr>
          <w:rFonts w:ascii="arial" w:eastAsia="arial" w:hAnsi="arial" w:cs="arial"/>
          <w:color w:val="000000"/>
          <w:sz w:val="20"/>
          <w:lang w:val="en-US" w:eastAsia="en-US" w:bidi="ar-SA"/>
        </w:rPr>
        <w:t>  Aside from these two instances, it appears that others respected the territorial integrity of the lands included in the Claim Area. I conclude that, at the time of sovereignty assertion, Tsilhqot'in people did have exclusive control over those lands which they used regularly. A summary of those lands is provided in Section 16 of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936</w:t>
      </w:r>
      <w:r>
        <w:rPr>
          <w:rFonts w:ascii="arial" w:eastAsia="arial" w:hAnsi="arial" w:cs="arial"/>
          <w:color w:val="000000"/>
          <w:sz w:val="20"/>
          <w:lang w:val="en-US" w:eastAsia="en-US" w:bidi="ar-SA"/>
        </w:rPr>
        <w:t>  At the time of sovereignty assertion, the Tsilhqot'in people enjoyed a reasonable trading relationship with the Nuxalk (Bella Coola) people to the northwest and the Secwepemc people to the east.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937</w:t>
      </w:r>
      <w:r>
        <w:rPr>
          <w:rFonts w:ascii="arial" w:eastAsia="arial" w:hAnsi="arial" w:cs="arial"/>
          <w:color w:val="000000"/>
          <w:sz w:val="20"/>
          <w:lang w:val="en-US" w:eastAsia="en-US" w:bidi="ar-SA"/>
        </w:rPr>
        <w:t>  The evidence demonstrates the obvious. Aboriginal groups had overlapping territories. They were constantly pushing the limits of their territories and this often resulted in fighting. These conflicts helped define areas that everyone accepted as "belonging" to a particular Aboriginal group. It was understood that one did not venture into a particular area without permission. The absence of permission placed lives at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938</w:t>
      </w:r>
      <w:r>
        <w:rPr>
          <w:rFonts w:ascii="arial" w:eastAsia="arial" w:hAnsi="arial" w:cs="arial"/>
          <w:color w:val="000000"/>
          <w:sz w:val="20"/>
          <w:lang w:val="en-US" w:eastAsia="en-US" w:bidi="ar-SA"/>
        </w:rPr>
        <w:t>  The area over which I have found a sufficient degree of occupation to ground Aboriginal title, both inside and outside the Claim Area, does not include overlapping territory and was effectively controlled by Tsilhqot'in people. Tsilhqot'in people were there in sufficient numbers to monitor European traders, missionaries, settlers and railway surveyors on their arrival. There is evidence that each of these groups of new arrivals were aware that Tsilhqot'in people considered this to be their land. Others were permitted to be on that land or to pass over that land at the sufferance of Tsilhqot'in people.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939</w:t>
      </w:r>
      <w:r>
        <w:rPr>
          <w:rFonts w:ascii="arial" w:eastAsia="arial" w:hAnsi="arial" w:cs="arial"/>
          <w:color w:val="000000"/>
          <w:sz w:val="20"/>
          <w:lang w:val="en-US" w:eastAsia="en-US" w:bidi="ar-SA"/>
        </w:rPr>
        <w:t>  Two of the first European settlers in the Tsilhqot'in region, L.W. Riske and Donald McIntyre, wrote a letter to Lt. Gov. Trutch dated June 6, 1872 where they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our coming to this place the Indians here professed themselves friendly and agreeable to our settling here, and on the whole they have acted so far towards us very peaceably. They have always however considered the land theirs, and that we are beholden to them for it, and occupy it on sufferance. We have always avoided arguing it with them till some one in authority could come and explain to them their duties and rights. Our all being invested here, we have been anxious to conciliate them, and to that end we enclosed and ploughed land for them, giving Potatoes to plant and water to irrigate as also Potatoes to many out back, and the privilege of gleaning in the fields in harvest.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940</w:t>
      </w:r>
      <w:r>
        <w:rPr>
          <w:rFonts w:ascii="arial" w:eastAsia="arial" w:hAnsi="arial" w:cs="arial"/>
          <w:color w:val="000000"/>
          <w:sz w:val="20"/>
          <w:lang w:val="en-US" w:eastAsia="en-US" w:bidi="ar-SA"/>
        </w:rPr>
        <w:t>  Ten years later, Riske and McIntyre and three others wrote a letter to Indian Superintendent A.W. Powell. In that letter dated March 19, 1883, the settlers described themselves as "inhabitants of Chilcotin" who were "living here ... at their [the Indians'] sufferance."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941</w:t>
      </w:r>
      <w:r>
        <w:rPr>
          <w:rFonts w:ascii="arial" w:eastAsia="arial" w:hAnsi="arial" w:cs="arial"/>
          <w:color w:val="000000"/>
          <w:sz w:val="20"/>
          <w:lang w:val="en-US" w:eastAsia="en-US" w:bidi="ar-SA"/>
        </w:rPr>
        <w:t>  With respect to the land that I describe in Section 16 outlining my conclusions on Tsilhqot'in Aboriginal title, there are only two incidents that raise any evidence of adverse claimants and a possible loss of control or diminution of control. The first is the possibility of the presence of the ?Ena Tsel (Little Salishans). These people unquestionably lived along the Tsilhqox corridor at some point in time. I am satisfied that well before the assertion of sovereignty, this group of Aboriginal people had vacated the area. There is no mention of them in the HBC diaries and records, and equally no record is made of their presence in the area by the early missionaries.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942</w:t>
      </w:r>
      <w:r>
        <w:rPr>
          <w:rFonts w:ascii="arial" w:eastAsia="arial" w:hAnsi="arial" w:cs="arial"/>
          <w:color w:val="000000"/>
          <w:sz w:val="20"/>
          <w:lang w:val="en-US" w:eastAsia="en-US" w:bidi="ar-SA"/>
        </w:rPr>
        <w:t>  I heard no evidence about Qaju salt water houses on Tsilhqox Biny from Tsilhqot'in witnesses. If there was such an event, there is no archaeological or historical evidence to indicate when it might have occurred. I am satisfied that at the time of sovereignty assertion there was no such settlement on that part of Tsilhqox Biny that is included in the area described in my conclusions on Tsilhqot'in Aboriginal title.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943</w:t>
      </w:r>
      <w:r>
        <w:rPr>
          <w:rFonts w:ascii="arial" w:eastAsia="arial" w:hAnsi="arial" w:cs="arial"/>
          <w:color w:val="000000"/>
          <w:sz w:val="20"/>
          <w:lang w:val="en-US" w:eastAsia="en-US" w:bidi="ar-SA"/>
        </w:rPr>
        <w:t>  In summary, there is no evidence of adverse claimants at the time of sovereignty assertion in the area I describe in my conclusions on Tsilhqot'in Aboriginal title. I conclude that Tsilhqot'in people were in exclusive control of that area at the time of sovereignty assertion.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944</w:t>
      </w:r>
      <w:r>
        <w:rPr>
          <w:rFonts w:ascii="arial" w:eastAsia="arial" w:hAnsi="arial" w:cs="arial"/>
          <w:color w:val="000000"/>
          <w:sz w:val="20"/>
          <w:lang w:val="en-US" w:eastAsia="en-US" w:bidi="ar-SA"/>
        </w:rPr>
        <w:t>  My conclusion follows logically from the entire migration of Tsilhqot'in people and the historical record. As I have already described, the migration was southeast, following the curve of the Cascade Mountains. At the time of sovereignty assertion, this migration of people had brought some numbers of Tsilhqot'in people to the entire Claim Area where they led a semi-nomadic lifestyle as hunter gatherers. The occupation of the area I have described in my conclusions on Tsilhqot'in Aboriginal title was exclusive and sufficient to provide a foundation for that title.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 CONTINUITY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945</w:t>
      </w:r>
      <w:r>
        <w:rPr>
          <w:rFonts w:ascii="arial" w:eastAsia="arial" w:hAnsi="arial" w:cs="arial"/>
          <w:color w:val="000000"/>
          <w:sz w:val="20"/>
          <w:lang w:val="en-US" w:eastAsia="en-US" w:bidi="ar-SA"/>
        </w:rPr>
        <w:t xml:space="preserve">  I am satisfied Tsilhqot'in people have continuously occupied the Claim Area before and after sovereignty assertion. There has been a "substantial maintenance of the connection" between the people and the land" throughout this entire period: </w:t>
      </w:r>
      <w:r>
        <w:rPr>
          <w:rFonts w:ascii="arial" w:eastAsia="arial" w:hAnsi="arial" w:cs="arial"/>
          <w:b/>
          <w:i/>
          <w:color w:val="000000"/>
          <w:sz w:val="20"/>
          <w:lang w:val="en-US" w:eastAsia="en-US" w:bidi="ar-SA"/>
        </w:rPr>
        <w:t>Delgamuuku</w:t>
      </w:r>
      <w:r>
        <w:rPr>
          <w:rFonts w:ascii="arial" w:eastAsia="arial" w:hAnsi="arial" w:cs="arial"/>
          <w:color w:val="000000"/>
          <w:sz w:val="20"/>
          <w:lang w:val="en-US" w:eastAsia="en-US" w:bidi="ar-SA"/>
        </w:rPr>
        <w:t xml:space="preserve"> (S.C.C.) at para. 153.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 CONCLUSIONS ON TSILHQOT'IN ABORIGINAL TITLE TO THE CLAIM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946</w:t>
      </w:r>
      <w:r>
        <w:rPr>
          <w:rFonts w:ascii="arial" w:eastAsia="arial" w:hAnsi="arial" w:cs="arial"/>
          <w:color w:val="000000"/>
          <w:sz w:val="20"/>
          <w:lang w:val="en-US" w:eastAsia="en-US" w:bidi="ar-SA"/>
        </w:rPr>
        <w:t>  I have taken the arguments advanced by the parties and attempted to analyze them in detail with particular references to the evidence. In so doing, I have considered the Tsilhqot'in people's use and occupation of the Claim Area from three different perspectives.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947</w:t>
      </w:r>
      <w:r>
        <w:rPr>
          <w:rFonts w:ascii="arial" w:eastAsia="arial" w:hAnsi="arial" w:cs="arial"/>
          <w:color w:val="000000"/>
          <w:sz w:val="20"/>
          <w:lang w:val="en-US" w:eastAsia="en-US" w:bidi="ar-SA"/>
        </w:rPr>
        <w:t>  First, I considered the use and occupation of the Claim Area by locating those sites that would have a measure of permanency attached to them so that they could be characterized as possible villages, dwelling sites, cultivated fields, camping sites, resource gathering sites and the like. At times it was difficult to conclude if a particular site was inside or outside the Claim Area. Other sites were easy to distinguish as being either inside or outside the boundaries selected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948</w:t>
      </w:r>
      <w:r>
        <w:rPr>
          <w:rFonts w:ascii="arial" w:eastAsia="arial" w:hAnsi="arial" w:cs="arial"/>
          <w:color w:val="000000"/>
          <w:sz w:val="20"/>
          <w:lang w:val="en-US" w:eastAsia="en-US" w:bidi="ar-SA"/>
        </w:rPr>
        <w:t>  Second, I considered the use and occupation of the Claim Area from a land use perspective. What emerged from that analysis was a clear pattern of Tsilhqot'in seasonal resource gathering in various locations in the Claim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949</w:t>
      </w:r>
      <w:r>
        <w:rPr>
          <w:rFonts w:ascii="arial" w:eastAsia="arial" w:hAnsi="arial" w:cs="arial"/>
          <w:color w:val="000000"/>
          <w:sz w:val="20"/>
          <w:lang w:val="en-US" w:eastAsia="en-US" w:bidi="ar-SA"/>
        </w:rPr>
        <w:t>  Third, I considered the evidence of post-sovereignty use and occupation of the various sites within the Claim Area. What emerged from that analysis was that the historical pattern of seasonal resource gathering in various locations in the Claim Area has continued over time. That pattern has shifted as governments attempted to settle Tsilhqot'in people on reserves. Despite these attempts, a number of Tsilhqot'in people have continued to gather resources and otherwise reside in the areas their ancestors have used for generations, regardless of whether these areas are on reserve or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950</w:t>
      </w:r>
      <w:r>
        <w:rPr>
          <w:rFonts w:ascii="arial" w:eastAsia="arial" w:hAnsi="arial" w:cs="arial"/>
          <w:color w:val="000000"/>
          <w:sz w:val="20"/>
          <w:lang w:val="en-US" w:eastAsia="en-US" w:bidi="ar-SA"/>
        </w:rPr>
        <w:t>  While conducting this analysis, I considered the smaller "definite tracts of land" not pleaded individually by the plaintiff but included in the larger Claim Area of Tachelach'ed (Brittany Triangle) and the Trapline Territories. This micro analysis highlighted the fact that use and occupation of some land outside the Claim Area by Tsilhqot'in people was at least as extensive as that within portions of the larger Claim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951</w:t>
      </w:r>
      <w:r>
        <w:rPr>
          <w:rFonts w:ascii="arial" w:eastAsia="arial" w:hAnsi="arial" w:cs="arial"/>
          <w:color w:val="000000"/>
          <w:sz w:val="20"/>
          <w:lang w:val="en-US" w:eastAsia="en-US" w:bidi="ar-SA"/>
        </w:rPr>
        <w:t>  What is not revealed by any of these approaches to the evidence is the number of people that were likely in the Claim Area at the time of sovereignty assertion. Some numbers can be found in the records of the HBC. Father Nobilli's papers are also helpful in that regard. Chief Roger William testified in the fall of 2003 that the Xeni Gwet'in First Nations Band membership was approximately 390-400 people. Of these, he estimated that approximately 200 persons lived on the Xeni Gwet'in reserves, and about 15 lived off reserve in the Claim Area. The balance live off reserve and not in the Claim Area. I conclude that, at the time of sovereignty assertion, the population of Tsilhqot'in people living in the entire Claim Area was higher than it is today, but not more than 400 persons.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952</w:t>
      </w:r>
      <w:r>
        <w:rPr>
          <w:rFonts w:ascii="arial" w:eastAsia="arial" w:hAnsi="arial" w:cs="arial"/>
          <w:color w:val="000000"/>
          <w:sz w:val="20"/>
          <w:lang w:val="en-US" w:eastAsia="en-US" w:bidi="ar-SA"/>
        </w:rPr>
        <w:t>  Life today for Tsilhqot'in people is very different than it was at the time of sovereignty assertion, or even 50 or 60 years ago. There are few Tsilqot'in people today who travel about the Claim Area as people did in the first part of the last century. Many Tsilhqot'in people living in and about the Claim Area today are ranching and work in various occupations including forestry, park maintenance and guiding. Chief William estimated that using the traditional means of transportation available at the time of sovereignty assertion, it would take 10 to 15 days to travel around the Claim Area. He personally had not visited Tsimol Ch'ed (Potato Mountain) until 2002, nor had he travelled beyond Far Meadow in Tachelach'ed. Other non-First Nations persons have settled in the area, bringing many changes. One example of this that emerged from the evidence was that ranching practices on Tsimol Ch'ed have dramatically affected the harvesting of sunt'iny (wild mountain potato).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953</w:t>
      </w:r>
      <w:r>
        <w:rPr>
          <w:rFonts w:ascii="arial" w:eastAsia="arial" w:hAnsi="arial" w:cs="arial"/>
          <w:color w:val="000000"/>
          <w:sz w:val="20"/>
          <w:lang w:val="en-US" w:eastAsia="en-US" w:bidi="ar-SA"/>
        </w:rPr>
        <w:t>  At the time of sovereignty assertion, Tsilhqot'in people living in the Claim Area were semi-nomadic. They moved up and down the main salmon bearing river, the Tsilhqox (Chilko River), in season. They fished the smaller lakes to the east and west of the Tsilhqox, particularly in the spring season. They gathered berries, medicines and root plants in the valleys and on the slopes of the surrounding mountains. They hunted and trapped across the Claim Area, taking what nature had to offer. Then, for the most part, they returned on a regular basis to winter at Xeni (Nemiah Valley), on the eastern shore of Tsilhqox Biny (Chilko Lake), on the high ground above the banks of the Tsilhqox, and on the shores of adjacent streams and lakes, from Naghatalhchoz Biny (Big Eagle Lake) and eastward into Tachelach'ed.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954</w:t>
      </w:r>
      <w:r>
        <w:rPr>
          <w:rFonts w:ascii="arial" w:eastAsia="arial" w:hAnsi="arial" w:cs="arial"/>
          <w:color w:val="000000"/>
          <w:sz w:val="20"/>
          <w:lang w:val="en-US" w:eastAsia="en-US" w:bidi="ar-SA"/>
        </w:rPr>
        <w:t>  In Tachelach'ed, the area of more permanent use and occupation was from the Tsilhqox corridor east to Natasewed Biny (Brittany Lake) and from there, south to Ts'uni?ad Biny (Tsuniah Lake) and east past Tsanlgen Biny (Chaunigan Lake) and over to the twin lakes, ?Elhghatish Biny (Vedan Lake) and Nabi Tsi Biny (Elkin Lake).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955</w:t>
      </w:r>
      <w:r>
        <w:rPr>
          <w:rFonts w:ascii="arial" w:eastAsia="arial" w:hAnsi="arial" w:cs="arial"/>
          <w:color w:val="000000"/>
          <w:sz w:val="20"/>
          <w:lang w:val="en-US" w:eastAsia="en-US" w:bidi="ar-SA"/>
        </w:rPr>
        <w:t>  The areas that provided a greater degree of permanency and regular use are the sites where abandoned lhiz qwen yex and niyah qungh are found. The majority of these dwelling sites are not on the reserves set aside for Xeni Gwet'in people at the turn of the twentieth century.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956</w:t>
      </w:r>
      <w:r>
        <w:rPr>
          <w:rFonts w:ascii="arial" w:eastAsia="arial" w:hAnsi="arial" w:cs="arial"/>
          <w:color w:val="000000"/>
          <w:sz w:val="20"/>
          <w:lang w:val="en-US" w:eastAsia="en-US" w:bidi="ar-SA"/>
        </w:rPr>
        <w:t>  In early spring, Tsilhqot'in people would disperse again across the area that is, in part, defined in these proceedings as the Claim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957</w:t>
      </w:r>
      <w:r>
        <w:rPr>
          <w:rFonts w:ascii="arial" w:eastAsia="arial" w:hAnsi="arial" w:cs="arial"/>
          <w:color w:val="000000"/>
          <w:sz w:val="20"/>
          <w:lang w:val="en-US" w:eastAsia="en-US" w:bidi="ar-SA"/>
        </w:rPr>
        <w:t>  I am unable to find regular use in the entire area of any of the discreet three parts that make up the whole Claim Area, Tachelach'ed, or the Eastern and Western Trapline Territories. I am unable to make such a declaration of Tsilhqot'in Aboriginal title to smaller areas included within the whole because they have not been separately pleaded, as discussed earlier in Section 4 of these Reasons for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958</w:t>
      </w:r>
      <w:r>
        <w:rPr>
          <w:rFonts w:ascii="arial" w:eastAsia="arial" w:hAnsi="arial" w:cs="arial"/>
          <w:color w:val="000000"/>
          <w:sz w:val="20"/>
          <w:lang w:val="en-US" w:eastAsia="en-US" w:bidi="ar-SA"/>
        </w:rPr>
        <w:t>  I took the invitation by counsel to express an opinion on Tsilhqot'in Aboriginal title to be an invitation to go where the evidence lead me. I acknowledge that in expressing this opinion, I am doing precisely what I was uncomfortable with in the course of the trial, namely setting boundaries that are ill defined and not contained within usual metes and bounds. They are, however, boundaries that are shaped by the evidence. On the western side, I have followed the western boundary of the Trapline Territory because it was there, and not because there was a sudden end to the activities of Tsilhqot'in people.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959</w:t>
      </w:r>
      <w:r>
        <w:rPr>
          <w:rFonts w:ascii="arial" w:eastAsia="arial" w:hAnsi="arial" w:cs="arial"/>
          <w:color w:val="000000"/>
          <w:sz w:val="20"/>
          <w:lang w:val="en-US" w:eastAsia="en-US" w:bidi="ar-SA"/>
        </w:rPr>
        <w:t>  The entire body of evidence in this case reveals village sites occupied for portions of each year. In addition, there were cultivated fields. These fields were not cultivated in the manner expected by European settlers. Viewed from the perspective of Tsilhqot'in people the gathering of medicinal and root plants and the harvesting of berries was accomplished in a manner that managed these resources to insure their return for future generations. These cultivated fields were tied to village sites, hunting grounds and fishing sites by a network of foot trails, horse trails and watercourses that defined the seasonal rounds. These sites and their interconnecting links set out definite tracts of land in regular use by Tsilhqot'in people at the time of sovereignty assertion to an extent sufficient to warrant a finding of Aboriginal title as follows:</w:t>
      </w:r>
      <w:r>
        <w:rPr>
          <w:rFonts w:ascii="arial" w:eastAsia="arial" w:hAnsi="arial" w:cs="arial"/>
          <w:sz w:val="20"/>
          <w:lang w:val="en-US" w:eastAsia="en-US" w:bidi="ar-SA"/>
        </w:rPr>
        <w:cr/>
      </w:r>
    </w:p>
    <w:p>
      <w:pPr>
        <w:numPr>
          <w:numId w:val="2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Tsilhqox (Chilko River) Corridor from its outlet at Tsilhqox Biny (Chilko Lake) including a corridor of at least 1 kilometre on both sides of the river and inclusive of the river up to Gwetsilh (Siwash Bridge);</w:t>
      </w:r>
    </w:p>
    <w:p>
      <w:pPr>
        <w:numPr>
          <w:numId w:val="2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Xeni, inclusive of the entire north slope of Ts'il?os. This slope of Ts'il?os provides the southern boundary, while the eastern shore of Tsilhqox Biny marks the western boundary. Gweqez Dzelh and Xeni Dwelh combine to provide the northern boundary, while Tsiyi (Tsi ?Ezish Dzelh or Cardiff Mountain) marks the eastern boundary.</w:t>
      </w:r>
    </w:p>
    <w:p>
      <w:pPr>
        <w:numPr>
          <w:numId w:val="2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North from Xeni into Tachelach'ed to a line drawn east to west from the points where Elkin Creek joins the Dasiqox (Taseko River) over to Nu Natase?ex on the Tsilhqox. Elkin Creek is that water course draining Nabi Tsi Biny (Elkin Lake), flowing northeast to the Dasiqox;</w:t>
      </w:r>
    </w:p>
    <w:p>
      <w:pPr>
        <w:numPr>
          <w:numId w:val="2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the west, from Xeni across Tsilhqox Biny to Ch'a Biny and then over to the point on Talhiqox Biny (Tatlayoko Lake) where the Western Trapline boundary touches the lake at the southeast shore, then following the boundary of the Western Trapline so as to include Gwedzin Biny (Cochin Lake);</w:t>
      </w:r>
    </w:p>
    <w:p>
      <w:pPr>
        <w:numPr>
          <w:numId w:val="2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the east from Xeni following the Dasiqox north to where it is joined by Elkin Creek; and</w:t>
      </w:r>
    </w:p>
    <w:p>
      <w:pPr>
        <w:numPr>
          <w:numId w:val="2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 a northern boundary from Gwedzin Biny in a straight line to include the area north of Naghatalhchoz Biny (Big Eagle Lake or Chelquoit Lake) to Nu Natase?ex on the Tsilhqox where it joins the northern boundary of Tachelach'ed over to the Dasiqox at Elkin Creek.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960</w:t>
      </w:r>
      <w:r>
        <w:rPr>
          <w:rFonts w:ascii="arial" w:eastAsia="arial" w:hAnsi="arial" w:cs="arial"/>
          <w:color w:val="000000"/>
          <w:sz w:val="20"/>
          <w:lang w:val="en-US" w:eastAsia="en-US" w:bidi="ar-SA"/>
        </w:rPr>
        <w:t xml:space="preserve">  The foregoing describes a tract of land mostly within the Claim Area but not entirely. It is an area that was occupied by Tsilhqot'in people at the time of sovereignty assertion to a degree sufficient to warrant a finding of Tsilhqot'in Aboriginal title land from three perspectives. First, there are village sites as I have discussed earlier. Second, there are cultivated fields, cultivated from the Tsilhqot'in perspective. These were the valleys and slopes of the transition zone used and managed by Tsilhqot'in people for generations that provided them with root plants, medicines and berries. Third, by a well defined network of trails and waterways, Tsilhqot'in people occupied and used the land, the rivers, the lakes, and the many trails as definite tracts of land on a regular basis for the hunting, trapping, fishing and gathering. This is the land over which they held exclusionary rights of control: </w:t>
      </w:r>
      <w:r>
        <w:rPr>
          <w:rFonts w:ascii="arial" w:eastAsia="arial" w:hAnsi="arial" w:cs="arial"/>
          <w:b/>
          <w:i/>
          <w:color w:val="000000"/>
          <w:sz w:val="20"/>
          <w:lang w:val="en-US" w:eastAsia="en-US" w:bidi="ar-SA"/>
        </w:rPr>
        <w:t>Marshall; Bernard</w:t>
      </w:r>
      <w:r>
        <w:rPr>
          <w:rFonts w:ascii="arial" w:eastAsia="arial" w:hAnsi="arial" w:cs="arial"/>
          <w:color w:val="000000"/>
          <w:sz w:val="20"/>
          <w:lang w:val="en-US" w:eastAsia="en-US" w:bidi="ar-SA"/>
        </w:rPr>
        <w:t xml:space="preserve"> at para. 77. This was the land that provided security and continuity for Tsilhqot'in people at the time of sovereignty assertion: </w:t>
      </w:r>
      <w:r>
        <w:rPr>
          <w:rFonts w:ascii="arial" w:eastAsia="arial" w:hAnsi="arial" w:cs="arial"/>
          <w:b/>
          <w:i/>
          <w:color w:val="000000"/>
          <w:sz w:val="20"/>
          <w:lang w:val="en-US" w:eastAsia="en-US" w:bidi="ar-SA"/>
        </w:rPr>
        <w:t>Sappier; Gray</w:t>
      </w:r>
      <w:r>
        <w:rPr>
          <w:rFonts w:ascii="arial" w:eastAsia="arial" w:hAnsi="arial" w:cs="arial"/>
          <w:color w:val="000000"/>
          <w:sz w:val="20"/>
          <w:lang w:val="en-US" w:eastAsia="en-US" w:bidi="ar-SA"/>
        </w:rPr>
        <w:t xml:space="preserve"> at para. 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961</w:t>
      </w:r>
      <w:r>
        <w:rPr>
          <w:rFonts w:ascii="arial" w:eastAsia="arial" w:hAnsi="arial" w:cs="arial"/>
          <w:color w:val="000000"/>
          <w:sz w:val="20"/>
          <w:lang w:val="en-US" w:eastAsia="en-US" w:bidi="ar-SA"/>
        </w:rPr>
        <w:t>  It should be borne in mind that this view of Tsilhqot'in Aboriginal title is not binding on the parties given the conclusion I have reached in Section 4 on the preliminary issue. If I am wrong on this preliminary issue, then my conclusion on Tsilhqot'in Aboriginal title, insofar as it describes land within Tachelach'ed and the Trapline Territory, is binding on the parties as a finding of fact in these proceedings. My discussion of those lands that are outside the Claim Area remains only an expression of opinion I have made to assist the parties in the negotiations that lie ahead.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962</w:t>
      </w:r>
      <w:r>
        <w:rPr>
          <w:rFonts w:ascii="arial" w:eastAsia="arial" w:hAnsi="arial" w:cs="arial"/>
          <w:color w:val="000000"/>
          <w:sz w:val="20"/>
          <w:lang w:val="en-US" w:eastAsia="en-US" w:bidi="ar-SA"/>
        </w:rPr>
        <w:t>  While the court cannot make a formal declaration of Tsilhqot'in Aboriginal title, I trust that expressing the foregoing opinion will assist the parties to achieve a fair and lasting resolution of the issues, which must be found to achieve a reconciliation of all interests.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 STATUTORY AUTHORITY TO ISSUE FOREST TENURES AND AUTHORIZATIONS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963</w:t>
      </w:r>
      <w:r>
        <w:rPr>
          <w:rFonts w:ascii="arial" w:eastAsia="arial" w:hAnsi="arial" w:cs="arial"/>
          <w:color w:val="000000"/>
          <w:sz w:val="20"/>
          <w:lang w:val="en-US" w:eastAsia="en-US" w:bidi="ar-SA"/>
        </w:rPr>
        <w:t xml:space="preserve">  The plaintiff says the </w:t>
      </w:r>
      <w:r>
        <w:rPr>
          <w:rFonts w:ascii="arial" w:eastAsia="arial" w:hAnsi="arial" w:cs="arial"/>
          <w:b/>
          <w:i/>
          <w:color w:val="000000"/>
          <w:sz w:val="20"/>
          <w:lang w:val="en-US" w:eastAsia="en-US" w:bidi="ar-SA"/>
        </w:rPr>
        <w:t>Forest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157</w:t>
      </w:r>
      <w:r>
        <w:rPr>
          <w:rFonts w:ascii="arial" w:eastAsia="arial" w:hAnsi="arial" w:cs="arial"/>
          <w:color w:val="000000"/>
          <w:sz w:val="20"/>
          <w:lang w:val="en-US" w:eastAsia="en-US" w:bidi="ar-SA"/>
        </w:rPr>
        <w:t xml:space="preserve"> and each iteration of that Act in place at all material times does not and did not apply to Tsilhqot'in Aboriginal title land. The plaintiff characterizes this issue as a matter of statutory interpretation. Simply put, the forestry legislation does not provide the necessary statutory authority to harvest on Aboriginal title lands.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964</w:t>
      </w:r>
      <w:r>
        <w:rPr>
          <w:rFonts w:ascii="arial" w:eastAsia="arial" w:hAnsi="arial" w:cs="arial"/>
          <w:color w:val="000000"/>
          <w:sz w:val="20"/>
          <w:lang w:val="en-US" w:eastAsia="en-US" w:bidi="ar-SA"/>
        </w:rPr>
        <w:t xml:space="preserve">  Between 1945 and 1978, British Columbia authorized timber harvesting in the Claim Area under the authority of the </w:t>
      </w:r>
      <w:r>
        <w:rPr>
          <w:rFonts w:ascii="arial" w:eastAsia="arial" w:hAnsi="arial" w:cs="arial"/>
          <w:b/>
          <w:i/>
          <w:color w:val="000000"/>
          <w:sz w:val="20"/>
          <w:lang w:val="en-US" w:eastAsia="en-US" w:bidi="ar-SA"/>
        </w:rPr>
        <w:t>Forest Act</w:t>
      </w:r>
      <w:r>
        <w:rPr>
          <w:rFonts w:ascii="arial" w:eastAsia="arial" w:hAnsi="arial" w:cs="arial"/>
          <w:color w:val="000000"/>
          <w:sz w:val="20"/>
          <w:lang w:val="en-US" w:eastAsia="en-US" w:bidi="ar-SA"/>
        </w:rPr>
        <w:t xml:space="preserve">, R.S.B.C. 1936, c. 102, as amended. Subsection 17(1) of that Act provided ministerial authority to advertise and sell "a licence to cut and remove any Crown timber which is subject to disposition by the Crown". During this period, at least twenty-four timber licences were issued pursuant to the 1936 </w:t>
      </w:r>
      <w:r>
        <w:rPr>
          <w:rFonts w:ascii="arial" w:eastAsia="arial" w:hAnsi="arial" w:cs="arial"/>
          <w:b/>
          <w:i/>
          <w:color w:val="000000"/>
          <w:sz w:val="20"/>
          <w:lang w:val="en-US" w:eastAsia="en-US" w:bidi="ar-SA"/>
        </w:rPr>
        <w:t>Forest Act</w:t>
      </w:r>
      <w:r>
        <w:rPr>
          <w:rFonts w:ascii="arial" w:eastAsia="arial" w:hAnsi="arial" w:cs="arial"/>
          <w:color w:val="000000"/>
          <w:sz w:val="20"/>
          <w:lang w:val="en-US" w:eastAsia="en-US" w:bidi="ar-SA"/>
        </w:rPr>
        <w:t>. Harvesting occurred in the Claim Area under the authority of these licences.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965</w:t>
      </w:r>
      <w:r>
        <w:rPr>
          <w:rFonts w:ascii="arial" w:eastAsia="arial" w:hAnsi="arial" w:cs="arial"/>
          <w:color w:val="000000"/>
          <w:sz w:val="20"/>
          <w:lang w:val="en-US" w:eastAsia="en-US" w:bidi="ar-SA"/>
        </w:rPr>
        <w:t xml:space="preserve">  Later amendments allowed the Minister to delegate officials to advertise and sell the timber licences. That authority was always limited to the sale of "Crown timber". Throughout this period, the definition of "Crown timber" found in s. 2 of the 1936 </w:t>
      </w:r>
      <w:r>
        <w:rPr>
          <w:rFonts w:ascii="arial" w:eastAsia="arial" w:hAnsi="arial" w:cs="arial"/>
          <w:b/>
          <w:i/>
          <w:color w:val="000000"/>
          <w:sz w:val="20"/>
          <w:lang w:val="en-US" w:eastAsia="en-US" w:bidi="ar-SA"/>
        </w:rPr>
        <w:t>Forest Act</w:t>
      </w:r>
      <w:r>
        <w:rPr>
          <w:rFonts w:ascii="arial" w:eastAsia="arial" w:hAnsi="arial" w:cs="arial"/>
          <w:color w:val="000000"/>
          <w:sz w:val="20"/>
          <w:lang w:val="en-US" w:eastAsia="en-US" w:bidi="ar-SA"/>
        </w:rPr>
        <w:t>, remained consistent: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"Crown timber"</w:t>
      </w:r>
      <w:r>
        <w:rPr>
          <w:rFonts w:ascii="arial" w:eastAsia="arial" w:hAnsi="arial" w:cs="arial"/>
          <w:color w:val="000000"/>
          <w:sz w:val="20"/>
          <w:lang w:val="en-US" w:eastAsia="en-US" w:bidi="ar-SA"/>
        </w:rPr>
        <w:t xml:space="preserve"> includes any trees, timber, and products of the forest in respect whereof His Majesty in right of the Province is entitled to demand and receive any royalty or revenue or money whatsoever.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966</w:t>
      </w:r>
      <w:r>
        <w:rPr>
          <w:rFonts w:ascii="arial" w:eastAsia="arial" w:hAnsi="arial" w:cs="arial"/>
          <w:color w:val="000000"/>
          <w:sz w:val="20"/>
          <w:lang w:val="en-US" w:eastAsia="en-US" w:bidi="ar-SA"/>
        </w:rPr>
        <w:t xml:space="preserve">  A new </w:t>
      </w:r>
      <w:r>
        <w:rPr>
          <w:rFonts w:ascii="arial" w:eastAsia="arial" w:hAnsi="arial" w:cs="arial"/>
          <w:b/>
          <w:i/>
          <w:color w:val="000000"/>
          <w:sz w:val="20"/>
          <w:lang w:val="en-US" w:eastAsia="en-US" w:bidi="ar-SA"/>
        </w:rPr>
        <w:t>Forest Act</w:t>
      </w:r>
      <w:r>
        <w:rPr>
          <w:rFonts w:ascii="arial" w:eastAsia="arial" w:hAnsi="arial" w:cs="arial"/>
          <w:color w:val="000000"/>
          <w:sz w:val="20"/>
          <w:lang w:val="en-US" w:eastAsia="en-US" w:bidi="ar-SA"/>
        </w:rPr>
        <w:t>, S.B.C. 1978, c. 23 came into effect on January 1, 1979. That legislation also confined provincial forestry officials to the granting of rights in relation to "Crown timber".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967</w:t>
      </w:r>
      <w:r>
        <w:rPr>
          <w:rFonts w:ascii="arial" w:eastAsia="arial" w:hAnsi="arial" w:cs="arial"/>
          <w:color w:val="000000"/>
          <w:sz w:val="20"/>
          <w:lang w:val="en-US" w:eastAsia="en-US" w:bidi="ar-SA"/>
        </w:rPr>
        <w:t xml:space="preserve">  The 1979 </w:t>
      </w:r>
      <w:r>
        <w:rPr>
          <w:rFonts w:ascii="arial" w:eastAsia="arial" w:hAnsi="arial" w:cs="arial"/>
          <w:b/>
          <w:i/>
          <w:color w:val="000000"/>
          <w:sz w:val="20"/>
          <w:lang w:val="en-US" w:eastAsia="en-US" w:bidi="ar-SA"/>
        </w:rPr>
        <w:t>Forest Act</w:t>
      </w:r>
      <w:r>
        <w:rPr>
          <w:rFonts w:ascii="arial" w:eastAsia="arial" w:hAnsi="arial" w:cs="arial"/>
          <w:color w:val="000000"/>
          <w:sz w:val="20"/>
          <w:lang w:val="en-US" w:eastAsia="en-US" w:bidi="ar-SA"/>
        </w:rPr>
        <w:t xml:space="preserve"> introduced a new definition of "Crown timber". Pursuant to s. 1 of the 1979 </w:t>
      </w:r>
      <w:r>
        <w:rPr>
          <w:rFonts w:ascii="arial" w:eastAsia="arial" w:hAnsi="arial" w:cs="arial"/>
          <w:b/>
          <w:i/>
          <w:color w:val="000000"/>
          <w:sz w:val="20"/>
          <w:lang w:val="en-US" w:eastAsia="en-US" w:bidi="ar-SA"/>
        </w:rPr>
        <w:t>Forest Act</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"Crown land"</w:t>
      </w:r>
      <w:r>
        <w:rPr>
          <w:rFonts w:ascii="arial" w:eastAsia="arial" w:hAnsi="arial" w:cs="arial"/>
          <w:color w:val="000000"/>
          <w:sz w:val="20"/>
          <w:lang w:val="en-US" w:eastAsia="en-US" w:bidi="ar-SA"/>
        </w:rPr>
        <w:t xml:space="preserve"> has the same meaning as in the </w:t>
      </w:r>
      <w:r>
        <w:rPr>
          <w:rFonts w:ascii="arial" w:eastAsia="arial" w:hAnsi="arial" w:cs="arial"/>
          <w:color w:val="000000"/>
          <w:sz w:val="20"/>
          <w:u w:val="single"/>
          <w:lang w:val="en-US" w:eastAsia="en-US" w:bidi="ar-SA"/>
        </w:rPr>
        <w:t>Land Act</w:t>
      </w:r>
      <w:r>
        <w:rPr>
          <w:rFonts w:ascii="arial" w:eastAsia="arial" w:hAnsi="arial" w:cs="arial"/>
          <w:color w:val="000000"/>
          <w:sz w:val="20"/>
          <w:lang w:val="en-US" w:eastAsia="en-US" w:bidi="ar-SA"/>
        </w:rPr>
        <w:t>, but does not include land owned by an agent of the Crown;</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"Crown timber"</w:t>
      </w:r>
      <w:r>
        <w:rPr>
          <w:rFonts w:ascii="arial" w:eastAsia="arial" w:hAnsi="arial" w:cs="arial"/>
          <w:color w:val="000000"/>
          <w:sz w:val="20"/>
          <w:lang w:val="en-US" w:eastAsia="en-US" w:bidi="ar-SA"/>
        </w:rPr>
        <w:t xml:space="preserve"> means timber on Crown land;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"Private land"</w:t>
      </w:r>
      <w:r>
        <w:rPr>
          <w:rFonts w:ascii="arial" w:eastAsia="arial" w:hAnsi="arial" w:cs="arial"/>
          <w:color w:val="000000"/>
          <w:sz w:val="20"/>
          <w:lang w:val="en-US" w:eastAsia="en-US" w:bidi="ar-SA"/>
        </w:rPr>
        <w:t xml:space="preserve"> means land that is not Crown 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968</w:t>
      </w:r>
      <w:r>
        <w:rPr>
          <w:rFonts w:ascii="arial" w:eastAsia="arial" w:hAnsi="arial" w:cs="arial"/>
          <w:color w:val="000000"/>
          <w:sz w:val="20"/>
          <w:lang w:val="en-US" w:eastAsia="en-US" w:bidi="ar-SA"/>
        </w:rPr>
        <w:t xml:space="preserve">  The 1979 </w:t>
      </w:r>
      <w:r>
        <w:rPr>
          <w:rFonts w:ascii="arial" w:eastAsia="arial" w:hAnsi="arial" w:cs="arial"/>
          <w:b/>
          <w:i/>
          <w:color w:val="000000"/>
          <w:sz w:val="20"/>
          <w:lang w:val="en-US" w:eastAsia="en-US" w:bidi="ar-SA"/>
        </w:rPr>
        <w:t>Forest Act</w:t>
      </w:r>
      <w:r>
        <w:rPr>
          <w:rFonts w:ascii="arial" w:eastAsia="arial" w:hAnsi="arial" w:cs="arial"/>
          <w:color w:val="000000"/>
          <w:sz w:val="20"/>
          <w:lang w:val="en-US" w:eastAsia="en-US" w:bidi="ar-SA"/>
        </w:rPr>
        <w:t xml:space="preserve"> referentially incorporates the definition of "Crown land" from the </w:t>
      </w:r>
      <w:r>
        <w:rPr>
          <w:rFonts w:ascii="arial" w:eastAsia="arial" w:hAnsi="arial" w:cs="arial"/>
          <w:b/>
          <w:i/>
          <w:color w:val="000000"/>
          <w:sz w:val="20"/>
          <w:lang w:val="en-US" w:eastAsia="en-US" w:bidi="ar-SA"/>
        </w:rPr>
        <w:t>Land Act</w:t>
      </w:r>
      <w:r>
        <w:rPr>
          <w:rFonts w:ascii="arial" w:eastAsia="arial" w:hAnsi="arial" w:cs="arial"/>
          <w:color w:val="000000"/>
          <w:sz w:val="20"/>
          <w:lang w:val="en-US" w:eastAsia="en-US" w:bidi="ar-SA"/>
        </w:rPr>
        <w:t xml:space="preserve">, R.S.B.C. 1979, c. 214. The 1979 </w:t>
      </w:r>
      <w:r>
        <w:rPr>
          <w:rFonts w:ascii="arial" w:eastAsia="arial" w:hAnsi="arial" w:cs="arial"/>
          <w:b/>
          <w:i/>
          <w:color w:val="000000"/>
          <w:sz w:val="20"/>
          <w:lang w:val="en-US" w:eastAsia="en-US" w:bidi="ar-SA"/>
        </w:rPr>
        <w:t>Land Act</w:t>
      </w:r>
      <w:r>
        <w:rPr>
          <w:rFonts w:ascii="arial" w:eastAsia="arial" w:hAnsi="arial" w:cs="arial"/>
          <w:color w:val="000000"/>
          <w:sz w:val="20"/>
          <w:lang w:val="en-US" w:eastAsia="en-US" w:bidi="ar-SA"/>
        </w:rPr>
        <w:t xml:space="preserve"> provided the following definition in s. 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"Crown land"</w:t>
      </w:r>
      <w:r>
        <w:rPr>
          <w:rFonts w:ascii="arial" w:eastAsia="arial" w:hAnsi="arial" w:cs="arial"/>
          <w:color w:val="000000"/>
          <w:sz w:val="20"/>
          <w:lang w:val="en-US" w:eastAsia="en-US" w:bidi="ar-SA"/>
        </w:rPr>
        <w:t xml:space="preserve"> means land, whether or not it is covered by water, or an interest in land, vested in the Crown;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969</w:t>
      </w:r>
      <w:r>
        <w:rPr>
          <w:rFonts w:ascii="arial" w:eastAsia="arial" w:hAnsi="arial" w:cs="arial"/>
          <w:color w:val="000000"/>
          <w:sz w:val="20"/>
          <w:lang w:val="en-US" w:eastAsia="en-US" w:bidi="ar-SA"/>
        </w:rPr>
        <w:t xml:space="preserve">  These definitions have remained unaltered to the present day, with one minor exception. The definition of "Crown timber" under the 1979 </w:t>
      </w:r>
      <w:r>
        <w:rPr>
          <w:rFonts w:ascii="arial" w:eastAsia="arial" w:hAnsi="arial" w:cs="arial"/>
          <w:b/>
          <w:i/>
          <w:color w:val="000000"/>
          <w:sz w:val="20"/>
          <w:lang w:val="en-US" w:eastAsia="en-US" w:bidi="ar-SA"/>
        </w:rPr>
        <w:t>Forest Act</w:t>
      </w:r>
      <w:r>
        <w:rPr>
          <w:rFonts w:ascii="arial" w:eastAsia="arial" w:hAnsi="arial" w:cs="arial"/>
          <w:color w:val="000000"/>
          <w:sz w:val="20"/>
          <w:lang w:val="en-US" w:eastAsia="en-US" w:bidi="ar-SA"/>
        </w:rPr>
        <w:t xml:space="preserve"> was soon expanded to include "timber reserved to the Crown": </w:t>
      </w:r>
      <w:r>
        <w:rPr>
          <w:rFonts w:ascii="arial" w:eastAsia="arial" w:hAnsi="arial" w:cs="arial"/>
          <w:b/>
          <w:i/>
          <w:color w:val="000000"/>
          <w:sz w:val="20"/>
          <w:lang w:val="en-US" w:eastAsia="en-US" w:bidi="ar-SA"/>
        </w:rPr>
        <w:t>Forest Amendment Act</w:t>
      </w:r>
      <w:r>
        <w:rPr>
          <w:rFonts w:ascii="arial" w:eastAsia="arial" w:hAnsi="arial" w:cs="arial"/>
          <w:color w:val="000000"/>
          <w:sz w:val="20"/>
          <w:lang w:val="en-US" w:eastAsia="en-US" w:bidi="ar-SA"/>
        </w:rPr>
        <w:t>, S.B.C. 1979, c. 11, s.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970</w:t>
      </w:r>
      <w:r>
        <w:rPr>
          <w:rFonts w:ascii="arial" w:eastAsia="arial" w:hAnsi="arial" w:cs="arial"/>
          <w:color w:val="000000"/>
          <w:sz w:val="20"/>
          <w:lang w:val="en-US" w:eastAsia="en-US" w:bidi="ar-SA"/>
        </w:rPr>
        <w:t xml:space="preserve">  The current </w:t>
      </w:r>
      <w:r>
        <w:rPr>
          <w:rFonts w:ascii="arial" w:eastAsia="arial" w:hAnsi="arial" w:cs="arial"/>
          <w:b/>
          <w:i/>
          <w:color w:val="000000"/>
          <w:sz w:val="20"/>
          <w:lang w:val="en-US" w:eastAsia="en-US" w:bidi="ar-SA"/>
        </w:rPr>
        <w:t>Forest Act</w:t>
      </w:r>
      <w:r>
        <w:rPr>
          <w:rFonts w:ascii="arial" w:eastAsia="arial" w:hAnsi="arial" w:cs="arial"/>
          <w:color w:val="000000"/>
          <w:sz w:val="20"/>
          <w:lang w:val="en-US" w:eastAsia="en-US" w:bidi="ar-SA"/>
        </w:rPr>
        <w:t xml:space="preserve"> also authorizes provincial forestry officials to enter into agreements granting rights to harvest "Crown timber"; that is, timber situated on "land ... or an interest in land, vested in the government".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971</w:t>
      </w:r>
      <w:r>
        <w:rPr>
          <w:rFonts w:ascii="arial" w:eastAsia="arial" w:hAnsi="arial" w:cs="arial"/>
          <w:color w:val="000000"/>
          <w:sz w:val="20"/>
          <w:lang w:val="en-US" w:eastAsia="en-US" w:bidi="ar-SA"/>
        </w:rPr>
        <w:t>  The plaintiff says that timber on Aboriginal title lands is not "Crown timber" and as a result British Columbia lacked the statutory authority required to grant an interest in this timber to third parties. The plaintiff says that timber situated on Tsilhqot'in Aboriginal title lands is not "Crown timber" for the following reasons:</w:t>
      </w:r>
      <w:r>
        <w:rPr>
          <w:rFonts w:ascii="arial" w:eastAsia="arial" w:hAnsi="arial" w:cs="arial"/>
          <w:sz w:val="20"/>
          <w:lang w:val="en-US" w:eastAsia="en-US" w:bidi="ar-SA"/>
        </w:rPr>
        <w:cr/>
      </w:r>
    </w:p>
    <w:p>
      <w:pPr>
        <w:numPr>
          <w:numId w:val="2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Aboriginal title is a right to the land itself. Tsilhqot'in Aboriginal title encompasses the right to the exclusive possession, occupation, use and enjoyment of the land and its resources.</w:t>
      </w:r>
    </w:p>
    <w:p>
      <w:pPr>
        <w:numPr>
          <w:numId w:val="2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British Columbia has no present interest by way of possession, nor does it have any beneficial interest in Aboriginal title lands or the resources on those lands. British Columbia's ownership of the lands and resources in the Province is qualified by and subject to the burden of Aboriginal title, pursuant to s. 109 of the </w:t>
      </w:r>
      <w:r>
        <w:rPr>
          <w:rFonts w:ascii="arial" w:eastAsia="arial" w:hAnsi="arial" w:cs="arial"/>
          <w:b/>
          <w:i/>
          <w:color w:val="000000"/>
          <w:sz w:val="20"/>
          <w:lang w:val="en-US" w:eastAsia="en-US" w:bidi="ar-SA"/>
        </w:rPr>
        <w:t>Constitution Act, 1867</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 xml:space="preserve"> Because Aboriginal title includes the exclusive right to the possession, occupation, use and enjoyment of its subject lands, the Province's interest is reduced to its underlying title, which does not vest in possession until Aboriginal title is surrendered.</w:t>
      </w:r>
    </w:p>
    <w:p>
      <w:pPr>
        <w:numPr>
          <w:numId w:val="2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Province is not entitled to demand any revenue or royalties with respect to such timber while Aboriginal title persists. Similarly, such timber is not situated on "Crown lands". Tsilhqot'in Aboriginal title lands vest in the possession of the Tsilhqot'in people and not the Crown.</w:t>
      </w:r>
    </w:p>
    <w:p>
      <w:pPr>
        <w:numPr>
          <w:numId w:val="2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primary purpose of the </w:t>
      </w:r>
      <w:r>
        <w:rPr>
          <w:rFonts w:ascii="arial" w:eastAsia="arial" w:hAnsi="arial" w:cs="arial"/>
          <w:b/>
          <w:i/>
          <w:color w:val="000000"/>
          <w:sz w:val="20"/>
          <w:lang w:val="en-US" w:eastAsia="en-US" w:bidi="ar-SA"/>
        </w:rPr>
        <w:t>Forest Act</w:t>
      </w:r>
      <w:r>
        <w:rPr>
          <w:rFonts w:ascii="arial" w:eastAsia="arial" w:hAnsi="arial" w:cs="arial"/>
          <w:color w:val="000000"/>
          <w:sz w:val="20"/>
          <w:lang w:val="en-US" w:eastAsia="en-US" w:bidi="ar-SA"/>
        </w:rPr>
        <w:t xml:space="preserve">, is the management and allocation of interests in public forestry resources on public lands. The </w:t>
      </w:r>
      <w:r>
        <w:rPr>
          <w:rFonts w:ascii="arial" w:eastAsia="arial" w:hAnsi="arial" w:cs="arial"/>
          <w:b/>
          <w:i/>
          <w:color w:val="000000"/>
          <w:sz w:val="20"/>
          <w:lang w:val="en-US" w:eastAsia="en-US" w:bidi="ar-SA"/>
        </w:rPr>
        <w:t>Forest Act</w:t>
      </w:r>
      <w:r>
        <w:rPr>
          <w:rFonts w:ascii="arial" w:eastAsia="arial" w:hAnsi="arial" w:cs="arial"/>
          <w:color w:val="000000"/>
          <w:sz w:val="20"/>
          <w:lang w:val="en-US" w:eastAsia="en-US" w:bidi="ar-SA"/>
        </w:rPr>
        <w:t xml:space="preserve"> was never intended as an expropriation statute for granting interests to third parties in timber already held in the possession of a party other than the Crown. In the rare circumstances that the </w:t>
      </w:r>
      <w:r>
        <w:rPr>
          <w:rFonts w:ascii="arial" w:eastAsia="arial" w:hAnsi="arial" w:cs="arial"/>
          <w:b/>
          <w:i/>
          <w:color w:val="000000"/>
          <w:sz w:val="20"/>
          <w:lang w:val="en-US" w:eastAsia="en-US" w:bidi="ar-SA"/>
        </w:rPr>
        <w:t>Forest Act</w:t>
      </w:r>
      <w:r>
        <w:rPr>
          <w:rFonts w:ascii="arial" w:eastAsia="arial" w:hAnsi="arial" w:cs="arial"/>
          <w:i/>
          <w:color w:val="000000"/>
          <w:sz w:val="20"/>
          <w:lang w:val="en-US" w:eastAsia="en-US" w:bidi="ar-SA"/>
        </w:rPr>
        <w:t xml:space="preserve"> imbues</w:t>
      </w:r>
      <w:r>
        <w:rPr>
          <w:rFonts w:ascii="arial" w:eastAsia="arial" w:hAnsi="arial" w:cs="arial"/>
          <w:color w:val="000000"/>
          <w:sz w:val="20"/>
          <w:lang w:val="en-US" w:eastAsia="en-US" w:bidi="ar-SA"/>
        </w:rPr>
        <w:t xml:space="preserve"> forestry officials with powers of expropriation (for example, to facilitate the creation of logging roads), it sets this authority out explicitly, and imposes strict guidelines on its use.</w:t>
      </w:r>
    </w:p>
    <w:p>
      <w:pPr>
        <w:numPr>
          <w:numId w:val="2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the </w:t>
      </w:r>
      <w:r>
        <w:rPr>
          <w:rFonts w:ascii="arial" w:eastAsia="arial" w:hAnsi="arial" w:cs="arial"/>
          <w:b/>
          <w:i/>
          <w:color w:val="000000"/>
          <w:sz w:val="20"/>
          <w:lang w:val="en-US" w:eastAsia="en-US" w:bidi="ar-SA"/>
        </w:rPr>
        <w:t>Forest Act</w:t>
      </w:r>
      <w:r>
        <w:rPr>
          <w:rFonts w:ascii="arial" w:eastAsia="arial" w:hAnsi="arial" w:cs="arial"/>
          <w:color w:val="000000"/>
          <w:sz w:val="20"/>
          <w:lang w:val="en-US" w:eastAsia="en-US" w:bidi="ar-SA"/>
        </w:rPr>
        <w:t xml:space="preserve"> were to authorize the appropriation of property rights vested in Tsilhqot'in people pursuant to Aboriginal title, it would have to do so in clear and unequivocal language that is not found in that statute.</w:t>
      </w:r>
    </w:p>
    <w:p>
      <w:pPr>
        <w:numPr>
          <w:numId w:val="2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Finally, if the </w:t>
      </w:r>
      <w:r>
        <w:rPr>
          <w:rFonts w:ascii="arial" w:eastAsia="arial" w:hAnsi="arial" w:cs="arial"/>
          <w:b/>
          <w:i/>
          <w:color w:val="000000"/>
          <w:sz w:val="20"/>
          <w:lang w:val="en-US" w:eastAsia="en-US" w:bidi="ar-SA"/>
        </w:rPr>
        <w:t>Forest Act</w:t>
      </w:r>
      <w:r>
        <w:rPr>
          <w:rFonts w:ascii="arial" w:eastAsia="arial" w:hAnsi="arial" w:cs="arial"/>
          <w:color w:val="000000"/>
          <w:sz w:val="20"/>
          <w:lang w:val="en-US" w:eastAsia="en-US" w:bidi="ar-SA"/>
        </w:rPr>
        <w:t xml:space="preserve"> were intended to apply to Aboriginal title lands, it would be discriminatory in its effect, such that it could not be characterized as a law of general application. Accordingly, it would be </w:t>
      </w:r>
      <w:r>
        <w:rPr>
          <w:rFonts w:ascii="arial" w:eastAsia="arial" w:hAnsi="arial" w:cs="arial"/>
          <w:i/>
          <w:color w:val="000000"/>
          <w:sz w:val="20"/>
          <w:lang w:val="en-US" w:eastAsia="en-US" w:bidi="ar-SA"/>
        </w:rPr>
        <w:t>ultra vires</w:t>
      </w:r>
      <w:r>
        <w:rPr>
          <w:rFonts w:ascii="arial" w:eastAsia="arial" w:hAnsi="arial" w:cs="arial"/>
          <w:color w:val="000000"/>
          <w:sz w:val="20"/>
          <w:lang w:val="en-US" w:eastAsia="en-US" w:bidi="ar-SA"/>
        </w:rPr>
        <w:t xml:space="preserve"> for the Province to enact.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972</w:t>
      </w:r>
      <w:r>
        <w:rPr>
          <w:rFonts w:ascii="arial" w:eastAsia="arial" w:hAnsi="arial" w:cs="arial"/>
          <w:color w:val="000000"/>
          <w:sz w:val="20"/>
          <w:lang w:val="en-US" w:eastAsia="en-US" w:bidi="ar-SA"/>
        </w:rPr>
        <w:t>  Canada made no submissions on the foregoing arguments advanced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973</w:t>
      </w:r>
      <w:r>
        <w:rPr>
          <w:rFonts w:ascii="arial" w:eastAsia="arial" w:hAnsi="arial" w:cs="arial"/>
          <w:color w:val="000000"/>
          <w:sz w:val="20"/>
          <w:lang w:val="en-US" w:eastAsia="en-US" w:bidi="ar-SA"/>
        </w:rPr>
        <w:t xml:space="preserve">  British Columbia says lands burdened by Aboriginal title remain provincial Crown lands, on the authority found in </w:t>
      </w:r>
      <w:r>
        <w:rPr>
          <w:rFonts w:ascii="arial" w:eastAsia="arial" w:hAnsi="arial" w:cs="arial"/>
          <w:b/>
          <w:i/>
          <w:color w:val="000000"/>
          <w:sz w:val="20"/>
          <w:lang w:val="en-US" w:eastAsia="en-US" w:bidi="ar-SA"/>
        </w:rPr>
        <w:t>Guerin v. The Queen</w:t>
      </w:r>
      <w:r>
        <w:rPr>
          <w:rFonts w:ascii="arial" w:eastAsia="arial" w:hAnsi="arial" w:cs="arial"/>
          <w:color w:val="000000"/>
          <w:sz w:val="20"/>
          <w:lang w:val="en-US" w:eastAsia="en-US" w:bidi="ar-SA"/>
        </w:rPr>
        <w:t xml:space="preserve"> where Dickson J. said at p. 382: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Indians have a legal right to occupy and possess certain lands, the ultimate title to which is in the Crown.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974</w:t>
      </w:r>
      <w:r>
        <w:rPr>
          <w:rFonts w:ascii="arial" w:eastAsia="arial" w:hAnsi="arial" w:cs="arial"/>
          <w:color w:val="000000"/>
          <w:sz w:val="20"/>
          <w:lang w:val="en-US" w:eastAsia="en-US" w:bidi="ar-SA"/>
        </w:rPr>
        <w:t xml:space="preserve">  British Columbia acknowledges that Aboriginal title, if it exists, constitutes an encumbrance or burden on the provincial Crown's title to its lands and that Aboriginal title to land can include an interest in the standing timber: </w:t>
      </w:r>
      <w:r>
        <w:rPr>
          <w:rFonts w:ascii="arial" w:eastAsia="arial" w:hAnsi="arial" w:cs="arial"/>
          <w:b/>
          <w:i/>
          <w:color w:val="000000"/>
          <w:sz w:val="20"/>
          <w:lang w:val="en-US" w:eastAsia="en-US" w:bidi="ar-SA"/>
        </w:rPr>
        <w:t>Haida Nation v. British Columbia (Minister of Forests)</w:t>
      </w:r>
      <w:r>
        <w:rPr>
          <w:rFonts w:ascii="arial" w:eastAsia="arial" w:hAnsi="arial" w:cs="arial"/>
          <w:color w:val="000000"/>
          <w:sz w:val="20"/>
          <w:lang w:val="en-US" w:eastAsia="en-US" w:bidi="ar-SA"/>
        </w:rPr>
        <w:t xml:space="preserve"> </w:t>
      </w:r>
      <w:hyperlink r:id="rId695" w:history="1">
        <w:r>
          <w:rPr>
            <w:rFonts w:ascii="arial" w:eastAsia="arial" w:hAnsi="arial" w:cs="arial"/>
            <w:i/>
            <w:color w:val="0077CC"/>
            <w:sz w:val="20"/>
            <w:u w:val="single"/>
            <w:shd w:val="clear" w:color="auto" w:fill="FFFFFF"/>
            <w:lang w:val="en-US" w:eastAsia="en-US" w:bidi="ar-SA"/>
          </w:rPr>
          <w:t>(1997), 45 B.C.L.R. (3d) 80</w:t>
        </w:r>
      </w:hyperlink>
      <w:r>
        <w:rPr>
          <w:rFonts w:ascii="arial" w:eastAsia="arial" w:hAnsi="arial" w:cs="arial"/>
          <w:color w:val="000000"/>
          <w:sz w:val="20"/>
          <w:lang w:val="en-US" w:eastAsia="en-US" w:bidi="ar-SA"/>
        </w:rPr>
        <w:t xml:space="preserve"> (B.C.C.A.).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975</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Delgamuukw</w:t>
      </w:r>
      <w:r>
        <w:rPr>
          <w:rFonts w:ascii="arial" w:eastAsia="arial" w:hAnsi="arial" w:cs="arial"/>
          <w:color w:val="000000"/>
          <w:sz w:val="20"/>
          <w:lang w:val="en-US" w:eastAsia="en-US" w:bidi="ar-SA"/>
        </w:rPr>
        <w:t xml:space="preserve"> at para. 111, the Supreme Court of Canada described the contents of Aboriginal title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Aboriginal title is a right in land and, as such, is more than the right to engage in specific activities which may be themselves aboriginal rights. Rather, it confers the right to use land for a variety of activities, not all of which need be aspects of practices, customs and traditions which are integral to the distinctive cultures of aboriginal societies. Those activities do not constitute the right </w:t>
      </w:r>
      <w:r>
        <w:rPr>
          <w:rFonts w:ascii="arial" w:eastAsia="arial" w:hAnsi="arial" w:cs="arial"/>
          <w:i/>
          <w:color w:val="000000"/>
          <w:sz w:val="20"/>
          <w:lang w:val="en-US" w:eastAsia="en-US" w:bidi="ar-SA"/>
        </w:rPr>
        <w:t>per se</w:t>
      </w:r>
      <w:r>
        <w:rPr>
          <w:rFonts w:ascii="arial" w:eastAsia="arial" w:hAnsi="arial" w:cs="arial"/>
          <w:color w:val="000000"/>
          <w:sz w:val="20"/>
          <w:lang w:val="en-US" w:eastAsia="en-US" w:bidi="ar-SA"/>
        </w:rPr>
        <w:t xml:space="preserve">; rather, they are parasitic on the underlying title. However, that range of uses is subject to the limitation that they must not be irreconcilable with the nature of the attachment to the land which forms the basis of the particular group's aboriginal title. This inherent limit, to be explained more fully below, flows from the definition of aboriginal title as a </w:t>
      </w:r>
      <w:r>
        <w:rPr>
          <w:rFonts w:ascii="arial" w:eastAsia="arial" w:hAnsi="arial" w:cs="arial"/>
          <w:i/>
          <w:color w:val="000000"/>
          <w:sz w:val="20"/>
          <w:lang w:val="en-US" w:eastAsia="en-US" w:bidi="ar-SA"/>
        </w:rPr>
        <w:t>sui generis</w:t>
      </w:r>
      <w:r>
        <w:rPr>
          <w:rFonts w:ascii="arial" w:eastAsia="arial" w:hAnsi="arial" w:cs="arial"/>
          <w:color w:val="000000"/>
          <w:sz w:val="20"/>
          <w:lang w:val="en-US" w:eastAsia="en-US" w:bidi="ar-SA"/>
        </w:rPr>
        <w:t xml:space="preserve"> interest in land, and is one way in which aboriginal title is distinct from a fee simple.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976</w:t>
      </w:r>
      <w:r>
        <w:rPr>
          <w:rFonts w:ascii="arial" w:eastAsia="arial" w:hAnsi="arial" w:cs="arial"/>
          <w:color w:val="000000"/>
          <w:sz w:val="20"/>
          <w:lang w:val="en-US" w:eastAsia="en-US" w:bidi="ar-SA"/>
        </w:rPr>
        <w:t>  The Court emphasized this again, at para. 140: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Aboriginal title, however, is a </w:t>
      </w:r>
      <w:r>
        <w:rPr>
          <w:rFonts w:ascii="arial" w:eastAsia="arial" w:hAnsi="arial" w:cs="arial"/>
          <w:color w:val="000000"/>
          <w:sz w:val="20"/>
          <w:u w:val="single"/>
          <w:lang w:val="en-US" w:eastAsia="en-US" w:bidi="ar-SA"/>
        </w:rPr>
        <w:t>right to the land</w:t>
      </w:r>
      <w:r>
        <w:rPr>
          <w:rFonts w:ascii="arial" w:eastAsia="arial" w:hAnsi="arial" w:cs="arial"/>
          <w:color w:val="000000"/>
          <w:sz w:val="20"/>
          <w:lang w:val="en-US" w:eastAsia="en-US" w:bidi="ar-SA"/>
        </w:rPr>
        <w:t xml:space="preserve"> itself. Subject to the limits I have laid down above, that land may be used for a variety of activities, none of which need be individually protected as aboriginal rights under s. 35(1). Those activities are parasitic on the underlying title.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977</w:t>
      </w:r>
      <w:r>
        <w:rPr>
          <w:rFonts w:ascii="arial" w:eastAsia="arial" w:hAnsi="arial" w:cs="arial"/>
          <w:color w:val="000000"/>
          <w:sz w:val="20"/>
          <w:lang w:val="en-US" w:eastAsia="en-US" w:bidi="ar-SA"/>
        </w:rPr>
        <w:t>  Professor Kent McNeil, in "Aboriginal Title and the Supreme Court: What's Happening?", (2006), 69 Sask. L.R. 679, at p. 693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nature of the underlying title the provincial Crown has by virtue of s. 109 is therefore determined negatively: it amounts to whatever interest remains after the Aboriginal title that burdens it has been subtracted. This is the way s. 109 operates where any interests in land are concerned, as they are all burdens on the Crown's underlying title. For example, if burdened by a fee simple estate, the Crown's underlying title does not amount to any present beneficial interest, but rather is a mere right to have the lands go back to the Crown by escheat if the fee simple comes to an end. Like a fee simple, Aboriginal title amounts to a right of exclusive use and possession of potentially infinite duration that includes natural resources. In neither case does the Crown have a present beneficial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978</w:t>
      </w:r>
      <w:r>
        <w:rPr>
          <w:rFonts w:ascii="arial" w:eastAsia="arial" w:hAnsi="arial" w:cs="arial"/>
          <w:color w:val="000000"/>
          <w:sz w:val="20"/>
          <w:lang w:val="en-US" w:eastAsia="en-US" w:bidi="ar-SA"/>
        </w:rPr>
        <w:t xml:space="preserve">  Aboriginal title brings with it a right to the exclusive use and possession of land, including the use of natural resources. Until there is a finding of Aboriginal title, there must be a presumption that forest lands not held privately are Crown lands. Provincial legislative provisions apply, even where Aboriginal title and other Aboriginal rights are alleged to exist. When Aboriginal title or rights are claimed the duty to consult is engaged: </w:t>
      </w:r>
      <w:r>
        <w:rPr>
          <w:rFonts w:ascii="arial" w:eastAsia="arial" w:hAnsi="arial" w:cs="arial"/>
          <w:b/>
          <w:i/>
          <w:color w:val="000000"/>
          <w:sz w:val="20"/>
          <w:lang w:val="en-US" w:eastAsia="en-US" w:bidi="ar-SA"/>
        </w:rPr>
        <w:t>Haida Nation</w:t>
      </w:r>
      <w:r>
        <w:rPr>
          <w:rFonts w:ascii="arial" w:eastAsia="arial" w:hAnsi="arial" w:cs="arial"/>
          <w:color w:val="000000"/>
          <w:sz w:val="20"/>
          <w:lang w:val="en-US" w:eastAsia="en-US" w:bidi="ar-SA"/>
        </w:rPr>
        <w:t xml:space="preserve"> (S.C.C.). I am content to give the usual statutory meanings to Crown land and Crown timber in situations where the Crown's interest in the land and timber remains unencumbered by a declaration or finding of Aboriginal title. The Crown's duty to consult, if properly discharged, gives adequate protection to any alleged Aboriginal interests. Should there be a later declaration of rights or title there is a serious risk that, without proper consultation and accommodation, these rights may be infringed. As a result of government action, those persons whose rights or title have been so compromised will have their remedy in damages. There is also the possibility of injunctive relief prior to infringement, assuming the applicant could meet the tests for an interlocutory injunction.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979</w:t>
      </w:r>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Forest Act</w:t>
      </w:r>
      <w:r>
        <w:rPr>
          <w:rFonts w:ascii="arial" w:eastAsia="arial" w:hAnsi="arial" w:cs="arial"/>
          <w:color w:val="000000"/>
          <w:sz w:val="20"/>
          <w:lang w:val="en-US" w:eastAsia="en-US" w:bidi="ar-SA"/>
        </w:rPr>
        <w:t xml:space="preserve"> is primarily a mechanism for managing, protecting, conserving and planning the use of the forest resources of the Crown and not those forest resources belonging to other parties. It is directed towards the regulation of public lands, held in the possession of the Provincial Crown for the benefit of the Province as a whole.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980</w:t>
      </w:r>
      <w:r>
        <w:rPr>
          <w:rFonts w:ascii="arial" w:eastAsia="arial" w:hAnsi="arial" w:cs="arial"/>
          <w:color w:val="000000"/>
          <w:sz w:val="20"/>
          <w:lang w:val="en-US" w:eastAsia="en-US" w:bidi="ar-SA"/>
        </w:rPr>
        <w:t xml:space="preserve">  Private timber is excluded from disposition under the </w:t>
      </w:r>
      <w:r>
        <w:rPr>
          <w:rFonts w:ascii="arial" w:eastAsia="arial" w:hAnsi="arial" w:cs="arial"/>
          <w:b/>
          <w:i/>
          <w:color w:val="000000"/>
          <w:sz w:val="20"/>
          <w:lang w:val="en-US" w:eastAsia="en-US" w:bidi="ar-SA"/>
        </w:rPr>
        <w:t>Forest Act</w:t>
      </w:r>
      <w:r>
        <w:rPr>
          <w:rFonts w:ascii="arial" w:eastAsia="arial" w:hAnsi="arial" w:cs="arial"/>
          <w:color w:val="000000"/>
          <w:sz w:val="20"/>
          <w:lang w:val="en-US" w:eastAsia="en-US" w:bidi="ar-SA"/>
        </w:rPr>
        <w:t xml:space="preserve">. There is no statutory mechanism included in the </w:t>
      </w:r>
      <w:r>
        <w:rPr>
          <w:rFonts w:ascii="arial" w:eastAsia="arial" w:hAnsi="arial" w:cs="arial"/>
          <w:b/>
          <w:i/>
          <w:color w:val="000000"/>
          <w:sz w:val="20"/>
          <w:lang w:val="en-US" w:eastAsia="en-US" w:bidi="ar-SA"/>
        </w:rPr>
        <w:t>Forest Act</w:t>
      </w:r>
      <w:r>
        <w:rPr>
          <w:rFonts w:ascii="arial" w:eastAsia="arial" w:hAnsi="arial" w:cs="arial"/>
          <w:color w:val="000000"/>
          <w:sz w:val="20"/>
          <w:lang w:val="en-US" w:eastAsia="en-US" w:bidi="ar-SA"/>
        </w:rPr>
        <w:t xml:space="preserve"> for expropriating interests in privately owned timber and allocating them to third parties by way of timber licences or other authorizations. The legislation distinguishes between timber resources belonging to the Crown as public landlord (which are available for disposition under the Act) and timber possessed by other parties (which are not). Private lands and timber already owned by a licensee may be included in some forms of tenure granted under the </w:t>
      </w:r>
      <w:r>
        <w:rPr>
          <w:rFonts w:ascii="arial" w:eastAsia="arial" w:hAnsi="arial" w:cs="arial"/>
          <w:b/>
          <w:i/>
          <w:color w:val="000000"/>
          <w:sz w:val="20"/>
          <w:lang w:val="en-US" w:eastAsia="en-US" w:bidi="ar-SA"/>
        </w:rPr>
        <w:t>Forest Act</w:t>
      </w:r>
      <w:r>
        <w:rPr>
          <w:rFonts w:ascii="arial" w:eastAsia="arial" w:hAnsi="arial" w:cs="arial"/>
          <w:color w:val="000000"/>
          <w:sz w:val="20"/>
          <w:lang w:val="en-US" w:eastAsia="en-US" w:bidi="ar-SA"/>
        </w:rPr>
        <w:t xml:space="preserve"> for certain management purposes (such as tree farm licences and woodlot licences): see </w:t>
      </w:r>
      <w:r>
        <w:rPr>
          <w:rFonts w:ascii="arial" w:eastAsia="arial" w:hAnsi="arial" w:cs="arial"/>
          <w:b/>
          <w:i/>
          <w:color w:val="000000"/>
          <w:sz w:val="20"/>
          <w:lang w:val="en-US" w:eastAsia="en-US" w:bidi="ar-SA"/>
        </w:rPr>
        <w:t>Forest Act</w:t>
      </w:r>
      <w:r>
        <w:rPr>
          <w:rFonts w:ascii="arial" w:eastAsia="arial" w:hAnsi="arial" w:cs="arial"/>
          <w:color w:val="000000"/>
          <w:sz w:val="20"/>
          <w:lang w:val="en-US" w:eastAsia="en-US" w:bidi="ar-SA"/>
        </w:rPr>
        <w:t>, ss. 11-12, 35(1)(b), (e), 45(1)(b), (c). However, this does not alter the basic point that the granting of rights to harvest timber is limited to Crown timber on Crown 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981</w:t>
      </w:r>
      <w:r>
        <w:rPr>
          <w:rFonts w:ascii="arial" w:eastAsia="arial" w:hAnsi="arial" w:cs="arial"/>
          <w:color w:val="000000"/>
          <w:sz w:val="20"/>
          <w:lang w:val="en-US" w:eastAsia="en-US" w:bidi="ar-SA"/>
        </w:rPr>
        <w:t xml:space="preserve">  While I am unable to conclude that the Tsilhqot'in people have Aboriginal title over the entire Claim Area, I do find that there are areas both inside and outside the Claim Area that qualify for a finding of Tsilhqot'in Aboriginal title. The present provisions of the </w:t>
      </w:r>
      <w:r>
        <w:rPr>
          <w:rFonts w:ascii="arial" w:eastAsia="arial" w:hAnsi="arial" w:cs="arial"/>
          <w:b/>
          <w:i/>
          <w:color w:val="000000"/>
          <w:sz w:val="20"/>
          <w:lang w:val="en-US" w:eastAsia="en-US" w:bidi="ar-SA"/>
        </w:rPr>
        <w:t>Forest Act</w:t>
      </w:r>
      <w:r>
        <w:rPr>
          <w:rFonts w:ascii="arial" w:eastAsia="arial" w:hAnsi="arial" w:cs="arial"/>
          <w:color w:val="000000"/>
          <w:sz w:val="20"/>
          <w:lang w:val="en-US" w:eastAsia="en-US" w:bidi="ar-SA"/>
        </w:rPr>
        <w:t xml:space="preserve"> do not apply to those areas that meet the test for Aboriginal title.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 PRIVATE LANDS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982</w:t>
      </w:r>
      <w:r>
        <w:rPr>
          <w:rFonts w:ascii="arial" w:eastAsia="arial" w:hAnsi="arial" w:cs="arial"/>
          <w:color w:val="000000"/>
          <w:sz w:val="20"/>
          <w:lang w:val="en-US" w:eastAsia="en-US" w:bidi="ar-SA"/>
        </w:rPr>
        <w:t>  There are a number of private lots and other private interests within the Claim Area. The Crown has granted fee simple title to some of these lots to non-Tsilhqot'in persons. British Columbia argues that private lands have been excluded from the claims as defined by the parties to this litigation. However, the Province refers to these private lots throughout their submissions on Tsilhqot'in occupation of the Claim Area. The plaintiff argues that I may make declarations that affect these private lands. While I make no declaration of Aboriginal title in this action, I do express an opinion as to where such title may exist. I now propose to address the issue of private lands within the Claim Area and their impact on Aboriginal title, in the hope that it will assist in the process of reconciliation.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983</w:t>
      </w:r>
      <w:r>
        <w:rPr>
          <w:rFonts w:ascii="arial" w:eastAsia="arial" w:hAnsi="arial" w:cs="arial"/>
          <w:color w:val="000000"/>
          <w:sz w:val="20"/>
          <w:lang w:val="en-US" w:eastAsia="en-US" w:bidi="ar-SA"/>
        </w:rPr>
        <w:t>  The plaintiff's statement of claim defines the Trapline Territory as "the lands within the boundaries of Trapline Licence #0504T003". In the application for registration of this trapline (approved on January 18, 1980), the metes and bounds descriptions for both blocks of the trapline conclude with the words: "including all intervening territory except private property". British Columbia submits that the plaintiff appears to have chosen to define the lands claimed in the Trapline Action in a manner that excludes private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984</w:t>
      </w:r>
      <w:r>
        <w:rPr>
          <w:rFonts w:ascii="arial" w:eastAsia="arial" w:hAnsi="arial" w:cs="arial"/>
          <w:color w:val="000000"/>
          <w:sz w:val="20"/>
          <w:lang w:val="en-US" w:eastAsia="en-US" w:bidi="ar-SA"/>
        </w:rPr>
        <w:t>  When the two actions were consolidated, the Trapline Territory continued to be defined by reference to the boundaries of Trapline Licence #0504T003. On May 22, 2003, the plaintiff amended the description of the Trapline Territory to exclude Indian Reserves within the Claim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985</w:t>
      </w:r>
      <w:r>
        <w:rPr>
          <w:rFonts w:ascii="arial" w:eastAsia="arial" w:hAnsi="arial" w:cs="arial"/>
          <w:color w:val="000000"/>
          <w:sz w:val="20"/>
          <w:lang w:val="en-US" w:eastAsia="en-US" w:bidi="ar-SA"/>
        </w:rPr>
        <w:t xml:space="preserve">  The definition of the boundary of Tachelach'ed (Brittany Triangle) does not on its face exclude private property. British Columbia argues that when the Tachelach'ed definition is considered against the allegations of infringement by the British Columbia Forest Service, private lands are also excluded. This is because under the </w:t>
      </w:r>
      <w:r>
        <w:rPr>
          <w:rFonts w:ascii="arial" w:eastAsia="arial" w:hAnsi="arial" w:cs="arial"/>
          <w:b/>
          <w:i/>
          <w:color w:val="000000"/>
          <w:sz w:val="20"/>
          <w:lang w:val="en-US" w:eastAsia="en-US" w:bidi="ar-SA"/>
        </w:rPr>
        <w:t>Forest Act</w:t>
      </w:r>
      <w:r>
        <w:rPr>
          <w:rFonts w:ascii="arial" w:eastAsia="arial" w:hAnsi="arial" w:cs="arial"/>
          <w:color w:val="000000"/>
          <w:sz w:val="20"/>
          <w:lang w:val="en-US" w:eastAsia="en-US" w:bidi="ar-SA"/>
        </w:rPr>
        <w:t xml:space="preserve"> the Forest Service does not manage forestry on private lands. The Province says the exclusion of private lands from the claims may explain why the plaintiff makes no reference in his argument to the many Crown granted tenures in the Williams Lake Timber Supply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986</w:t>
      </w:r>
      <w:r>
        <w:rPr>
          <w:rFonts w:ascii="arial" w:eastAsia="arial" w:hAnsi="arial" w:cs="arial"/>
          <w:color w:val="000000"/>
          <w:sz w:val="20"/>
          <w:lang w:val="en-US" w:eastAsia="en-US" w:bidi="ar-SA"/>
        </w:rPr>
        <w:t>  The fact that the plaintiff's argument does not address these Crown granted tenures within the William Lake Timber Supply Area is entirely consistent with the plaintiff's position which is that private lands are included and that the holders of such tenures could take no more than what the Crown had to offer, namely, land burdened with Tsilhqot'in Aboriginal title.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987</w:t>
      </w:r>
      <w:r>
        <w:rPr>
          <w:rFonts w:ascii="arial" w:eastAsia="arial" w:hAnsi="arial" w:cs="arial"/>
          <w:color w:val="000000"/>
          <w:sz w:val="20"/>
          <w:lang w:val="en-US" w:eastAsia="en-US" w:bidi="ar-SA"/>
        </w:rPr>
        <w:t xml:space="preserve">  I have some difficulty in understanding the position now taken by British Columbia given that this issue has already arisen in this litigation. In 2002, British Columbia brought a motion for directions with respect to the service of notice on tenure holders whose interests might be affected by the proceedings. In </w:t>
      </w:r>
      <w:r>
        <w:rPr>
          <w:rFonts w:ascii="arial" w:eastAsia="arial" w:hAnsi="arial" w:cs="arial"/>
          <w:b/>
          <w:i/>
          <w:color w:val="000000"/>
          <w:sz w:val="20"/>
          <w:lang w:val="en-US" w:eastAsia="en-US" w:bidi="ar-SA"/>
        </w:rPr>
        <w:t>William v. Riverside Forest Products Limited</w:t>
      </w:r>
      <w:r>
        <w:rPr>
          <w:rFonts w:ascii="arial" w:eastAsia="arial" w:hAnsi="arial" w:cs="arial"/>
          <w:color w:val="000000"/>
          <w:sz w:val="20"/>
          <w:lang w:val="en-US" w:eastAsia="en-US" w:bidi="ar-SA"/>
        </w:rPr>
        <w:t xml:space="preserve">, </w:t>
      </w:r>
      <w:hyperlink r:id="rId650" w:history="1">
        <w:r>
          <w:rPr>
            <w:rFonts w:ascii="arial" w:eastAsia="arial" w:hAnsi="arial" w:cs="arial"/>
            <w:i/>
            <w:color w:val="0077CC"/>
            <w:sz w:val="20"/>
            <w:u w:val="single"/>
            <w:shd w:val="clear" w:color="auto" w:fill="FFFFFF"/>
            <w:lang w:val="en-US" w:eastAsia="en-US" w:bidi="ar-SA"/>
          </w:rPr>
          <w:t>2002 BCSC 1199</w:t>
        </w:r>
      </w:hyperlink>
      <w:r>
        <w:rPr>
          <w:rFonts w:ascii="arial" w:eastAsia="arial" w:hAnsi="arial" w:cs="arial"/>
          <w:color w:val="000000"/>
          <w:sz w:val="20"/>
          <w:lang w:val="en-US" w:eastAsia="en-US" w:bidi="ar-SA"/>
        </w:rPr>
        <w:t xml:space="preserve"> at para. 12, I noted the fact that "British Columbia says that the plaintiff has framed claims for relief that may potentially affect the interest of non-parties". It was understood then that the action included private lands. Nothing in the amended pleadings could be taken as a signal that private lands were removed.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988</w:t>
      </w:r>
      <w:r>
        <w:rPr>
          <w:rFonts w:ascii="arial" w:eastAsia="arial" w:hAnsi="arial" w:cs="arial"/>
          <w:color w:val="000000"/>
          <w:sz w:val="20"/>
          <w:lang w:val="en-US" w:eastAsia="en-US" w:bidi="ar-SA"/>
        </w:rPr>
        <w:t>  In my view, the pleadings have always been inclusive of private lands. Indian Reserves were removed from the Claim Area but private lands were not. The description of the Trapline Territory is a reference to the external boundaries of those two pieces of land and is inclusive of "the whole of the lands within the boundary of Trapline Licence #0504T003 ..." (para. 12, statement of claim). A plain reading of those words leaves no doubt that the plaintiff intended to include all of the land within the boundaries of the Claim Area as described in the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989</w:t>
      </w:r>
      <w:r>
        <w:rPr>
          <w:rFonts w:ascii="arial" w:eastAsia="arial" w:hAnsi="arial" w:cs="arial"/>
          <w:color w:val="000000"/>
          <w:sz w:val="20"/>
          <w:lang w:val="en-US" w:eastAsia="en-US" w:bidi="ar-SA"/>
        </w:rPr>
        <w:t xml:space="preserve">  The second issue which arises is whether any declaratory relief can apply to private lands within the Claim Area. The </w:t>
      </w:r>
      <w:r>
        <w:rPr>
          <w:rFonts w:ascii="arial" w:eastAsia="arial" w:hAnsi="arial" w:cs="arial"/>
          <w:b/>
          <w:i/>
          <w:color w:val="000000"/>
          <w:sz w:val="20"/>
          <w:lang w:val="en-US" w:eastAsia="en-US" w:bidi="ar-SA"/>
        </w:rPr>
        <w:t>Forest Act</w:t>
      </w:r>
      <w:r>
        <w:rPr>
          <w:rFonts w:ascii="arial" w:eastAsia="arial" w:hAnsi="arial" w:cs="arial"/>
          <w:color w:val="000000"/>
          <w:sz w:val="20"/>
          <w:lang w:val="en-US" w:eastAsia="en-US" w:bidi="ar-SA"/>
        </w:rPr>
        <w:t xml:space="preserve"> does not manage forest resources on private lands. The Province argues that this court cannot grant declaratory relief with respect to such lands because private lands are not engaged in any live controversy based upon forestry operations. In that regard, British Columbia relies upon </w:t>
      </w:r>
      <w:r>
        <w:rPr>
          <w:rFonts w:ascii="arial" w:eastAsia="arial" w:hAnsi="arial" w:cs="arial"/>
          <w:b/>
          <w:i/>
          <w:color w:val="000000"/>
          <w:sz w:val="20"/>
          <w:lang w:val="en-US" w:eastAsia="en-US" w:bidi="ar-SA"/>
        </w:rPr>
        <w:t>Cheslatta Carrier Nation v. British Columbia</w:t>
      </w:r>
      <w:r>
        <w:rPr>
          <w:rFonts w:ascii="arial" w:eastAsia="arial" w:hAnsi="arial" w:cs="arial"/>
          <w:color w:val="000000"/>
          <w:sz w:val="20"/>
          <w:lang w:val="en-US" w:eastAsia="en-US" w:bidi="ar-SA"/>
        </w:rPr>
        <w:t xml:space="preserve">, </w:t>
      </w:r>
      <w:hyperlink r:id="rId696" w:history="1">
        <w:r>
          <w:rPr>
            <w:rFonts w:ascii="arial" w:eastAsia="arial" w:hAnsi="arial" w:cs="arial"/>
            <w:i/>
            <w:color w:val="0077CC"/>
            <w:sz w:val="20"/>
            <w:u w:val="single"/>
            <w:shd w:val="clear" w:color="auto" w:fill="FFFFFF"/>
            <w:lang w:val="en-US" w:eastAsia="en-US" w:bidi="ar-SA"/>
          </w:rPr>
          <w:t>2000 BCCA 539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990</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William v. B.C.</w:t>
      </w:r>
      <w:r>
        <w:rPr>
          <w:rFonts w:ascii="arial" w:eastAsia="arial" w:hAnsi="arial" w:cs="arial"/>
          <w:color w:val="000000"/>
          <w:sz w:val="20"/>
          <w:lang w:val="en-US" w:eastAsia="en-US" w:bidi="ar-SA"/>
        </w:rPr>
        <w:t xml:space="preserve">, </w:t>
      </w:r>
      <w:hyperlink r:id="rId653" w:history="1">
        <w:r>
          <w:rPr>
            <w:rFonts w:ascii="arial" w:eastAsia="arial" w:hAnsi="arial" w:cs="arial"/>
            <w:i/>
            <w:color w:val="0077CC"/>
            <w:sz w:val="20"/>
            <w:u w:val="single"/>
            <w:shd w:val="clear" w:color="auto" w:fill="FFFFFF"/>
            <w:lang w:val="en-US" w:eastAsia="en-US" w:bidi="ar-SA"/>
          </w:rPr>
          <w:t>2003 BCSC 249</w:t>
        </w:r>
      </w:hyperlink>
      <w:r>
        <w:rPr>
          <w:rFonts w:ascii="arial" w:eastAsia="arial" w:hAnsi="arial" w:cs="arial"/>
          <w:color w:val="000000"/>
          <w:sz w:val="20"/>
          <w:lang w:val="en-US" w:eastAsia="en-US" w:bidi="ar-SA"/>
        </w:rPr>
        <w:t xml:space="preserve">, I considered the implications of </w:t>
      </w:r>
      <w:r>
        <w:rPr>
          <w:rFonts w:ascii="arial" w:eastAsia="arial" w:hAnsi="arial" w:cs="arial"/>
          <w:b/>
          <w:i/>
          <w:color w:val="000000"/>
          <w:sz w:val="20"/>
          <w:lang w:val="en-US" w:eastAsia="en-US" w:bidi="ar-SA"/>
        </w:rPr>
        <w:t>Cheslatta</w:t>
      </w:r>
      <w:r>
        <w:rPr>
          <w:rFonts w:ascii="arial" w:eastAsia="arial" w:hAnsi="arial" w:cs="arial"/>
          <w:color w:val="000000"/>
          <w:sz w:val="20"/>
          <w:lang w:val="en-US" w:eastAsia="en-US" w:bidi="ar-SA"/>
        </w:rPr>
        <w:t xml:space="preserve"> and how it was to bear on the future of this case. I concluded that a plea of specific and discrete infringement of title was not required in order for the plaintiff to proceed. The view I expressed in that decision was that the pleadings alleged past, present and threatened infringement of rights and title: para. 60. In paras. 63-66 I concluded that, upon the basis of the pleadings, the plaintiff was able to argue:</w:t>
      </w:r>
      <w:r>
        <w:rPr>
          <w:rFonts w:ascii="arial" w:eastAsia="arial" w:hAnsi="arial" w:cs="arial"/>
          <w:sz w:val="20"/>
          <w:lang w:val="en-US" w:eastAsia="en-US" w:bidi="ar-SA"/>
        </w:rPr>
        <w:cr/>
      </w:r>
    </w:p>
    <w:p>
      <w:pPr>
        <w:numPr>
          <w:numId w:val="2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establishment of the legislative and administrative regime under the </w:t>
      </w:r>
      <w:r>
        <w:rPr>
          <w:rFonts w:ascii="arial" w:eastAsia="arial" w:hAnsi="arial" w:cs="arial"/>
          <w:b/>
          <w:i/>
          <w:color w:val="000000"/>
          <w:sz w:val="20"/>
          <w:lang w:val="en-US" w:eastAsia="en-US" w:bidi="ar-SA"/>
        </w:rPr>
        <w:t>Forest Act</w:t>
      </w:r>
      <w:r>
        <w:rPr>
          <w:rFonts w:ascii="arial" w:eastAsia="arial" w:hAnsi="arial" w:cs="arial"/>
          <w:color w:val="000000"/>
          <w:sz w:val="20"/>
          <w:lang w:val="en-US" w:eastAsia="en-US" w:bidi="ar-SA"/>
        </w:rPr>
        <w:t xml:space="preserve"> may be an infringement;</w:t>
      </w:r>
    </w:p>
    <w:p>
      <w:pPr>
        <w:numPr>
          <w:numId w:val="2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inclusion of the Claim Area in the Williams Lake Timber Supply Area may be an infringement; and</w:t>
      </w:r>
    </w:p>
    <w:p>
      <w:pPr>
        <w:numPr>
          <w:numId w:val="2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authorization of past, present and threatened logging may be an infringement.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991</w:t>
      </w:r>
      <w:r>
        <w:rPr>
          <w:rFonts w:ascii="arial" w:eastAsia="arial" w:hAnsi="arial" w:cs="arial"/>
          <w:color w:val="000000"/>
          <w:sz w:val="20"/>
          <w:lang w:val="en-US" w:eastAsia="en-US" w:bidi="ar-SA"/>
        </w:rPr>
        <w:t xml:space="preserve">  The plaintiff now urges this Court to make a declaration for relief wherever it is warranted on the evidence. The plaintiff argues that </w:t>
      </w:r>
      <w:r>
        <w:rPr>
          <w:rFonts w:ascii="arial" w:eastAsia="arial" w:hAnsi="arial" w:cs="arial"/>
          <w:b/>
          <w:i/>
          <w:color w:val="000000"/>
          <w:sz w:val="20"/>
          <w:lang w:val="en-US" w:eastAsia="en-US" w:bidi="ar-SA"/>
        </w:rPr>
        <w:t>Cheslatta</w:t>
      </w:r>
      <w:r>
        <w:rPr>
          <w:rFonts w:ascii="arial" w:eastAsia="arial" w:hAnsi="arial" w:cs="arial"/>
          <w:color w:val="000000"/>
          <w:sz w:val="20"/>
          <w:lang w:val="en-US" w:eastAsia="en-US" w:bidi="ar-SA"/>
        </w:rPr>
        <w:t xml:space="preserve"> was concerned with the ripeness of the conflict at the outset of the litigation, on the face of the pleadings. Different considerations must govern the "almost unlimited" discretion of the Court to issue a declaration at the end of the litigation process. In the plaintiff's submission this court can distinguish </w:t>
      </w:r>
      <w:r>
        <w:rPr>
          <w:rFonts w:ascii="arial" w:eastAsia="arial" w:hAnsi="arial" w:cs="arial"/>
          <w:b/>
          <w:i/>
          <w:color w:val="000000"/>
          <w:sz w:val="20"/>
          <w:lang w:val="en-US" w:eastAsia="en-US" w:bidi="ar-SA"/>
        </w:rPr>
        <w:t>Cheslatta</w:t>
      </w:r>
      <w:r>
        <w:rPr>
          <w:rFonts w:ascii="arial" w:eastAsia="arial" w:hAnsi="arial" w:cs="arial"/>
          <w:color w:val="000000"/>
          <w:sz w:val="20"/>
          <w:lang w:val="en-US" w:eastAsia="en-US" w:bidi="ar-SA"/>
        </w:rPr>
        <w:t xml:space="preserve"> on the basis that it simply does not speak to the availability of declaratory relief where infringements have been pleaded, voluminous evidence has been led, years of trial have been consumed, argument has been heard, and the Court is situated to make findings on the basis of a fully litigated evidentiary record.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992</w:t>
      </w:r>
      <w:r>
        <w:rPr>
          <w:rFonts w:ascii="arial" w:eastAsia="arial" w:hAnsi="arial" w:cs="arial"/>
          <w:color w:val="000000"/>
          <w:sz w:val="20"/>
          <w:lang w:val="en-US" w:eastAsia="en-US" w:bidi="ar-SA"/>
        </w:rPr>
        <w:t>  I do not agree with the plaintiff when he argues that after a lengthy trial, the Court is in a position to exercise discretion and, in effect, do whatever appears appropriate in the circumstances. The Court remains bound by the pleadings. In this case the only infringements pleaded are those infringements raised by the forestry legislation and activities conducted pursuant to that legislation. That legislation does not regulate activities on private lands and accordingly there is no plea of an infringement on any private lands in the Claim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993</w:t>
      </w:r>
      <w:r>
        <w:rPr>
          <w:rFonts w:ascii="arial" w:eastAsia="arial" w:hAnsi="arial" w:cs="arial"/>
          <w:color w:val="000000"/>
          <w:sz w:val="20"/>
          <w:lang w:val="en-US" w:eastAsia="en-US" w:bidi="ar-SA"/>
        </w:rPr>
        <w:t>  It may well be that the transfer of a fee simple title, the granting of a grazing permit or a water licence or any other interest from British Columbia to others would all be infringements of Aboriginal rights. But they have not been pleaded. In the absence of any plea of infringement of Tsilhqot'in title and rights existing on private lands in the Claim Area, the Court is unable to make a declaration of such rights in relation to those lands.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994</w:t>
      </w:r>
      <w:r>
        <w:rPr>
          <w:rFonts w:ascii="arial" w:eastAsia="arial" w:hAnsi="arial" w:cs="arial"/>
          <w:color w:val="000000"/>
          <w:sz w:val="20"/>
          <w:lang w:val="en-US" w:eastAsia="en-US" w:bidi="ar-SA"/>
        </w:rPr>
        <w:t>  I also wish to address the Province's repeated reference to private lands within their argument on Tsilhqot'in occupation of the Claim Area. It seems to me that their review of the evidence is attempting to suggest that the granting of fee simple title to non-Tsilhqot'in people has caused a break in continuity. Though not framed as such, the Province appears to be making a veiled attempt to argue that the granting of fee simple title has extinguished Aboriginal title to these privately held lands.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995</w:t>
      </w:r>
      <w:r>
        <w:rPr>
          <w:rFonts w:ascii="arial" w:eastAsia="arial" w:hAnsi="arial" w:cs="arial"/>
          <w:color w:val="000000"/>
          <w:sz w:val="20"/>
          <w:lang w:val="en-US" w:eastAsia="en-US" w:bidi="ar-SA"/>
        </w:rPr>
        <w:t xml:space="preserve">  In Australia the courts have concluded that Native title can be extinguished by inconsistent grant. The High Court of Australia has held that Native title is extinguished by grants in fee simple, true leases, and other dispositions that are inconsistent with the survival of native title: </w:t>
      </w:r>
      <w:r>
        <w:rPr>
          <w:rFonts w:ascii="arial" w:eastAsia="arial" w:hAnsi="arial" w:cs="arial"/>
          <w:b/>
          <w:i/>
          <w:color w:val="000000"/>
          <w:sz w:val="20"/>
          <w:lang w:val="en-US" w:eastAsia="en-US" w:bidi="ar-SA"/>
        </w:rPr>
        <w:t>Mabo and Others v. Queensland (No. 2)</w:t>
      </w:r>
      <w:r>
        <w:rPr>
          <w:rFonts w:ascii="arial" w:eastAsia="arial" w:hAnsi="arial" w:cs="arial"/>
          <w:color w:val="000000"/>
          <w:sz w:val="20"/>
          <w:lang w:val="en-US" w:eastAsia="en-US" w:bidi="ar-SA"/>
        </w:rPr>
        <w:t xml:space="preserve"> (1992), 175 C.L.R. 1, paras. 81, 83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Brennan J.); see also paras. 23, 29, 39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Gaudron and Deane JJ.).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996</w:t>
      </w:r>
      <w:r>
        <w:rPr>
          <w:rFonts w:ascii="arial" w:eastAsia="arial" w:hAnsi="arial" w:cs="arial"/>
          <w:color w:val="000000"/>
          <w:sz w:val="20"/>
          <w:lang w:val="en-US" w:eastAsia="en-US" w:bidi="ar-SA"/>
        </w:rPr>
        <w:t xml:space="preserve">  The Supreme Court of Canada has reached a different conclusion. Prior to the constitutional entrenchment of Aboriginal rights pursuant to s. 35(1) of the </w:t>
      </w:r>
      <w:r>
        <w:rPr>
          <w:rFonts w:ascii="arial" w:eastAsia="arial" w:hAnsi="arial" w:cs="arial"/>
          <w:b/>
          <w:i/>
          <w:color w:val="000000"/>
          <w:sz w:val="20"/>
          <w:lang w:val="en-US" w:eastAsia="en-US" w:bidi="ar-SA"/>
        </w:rPr>
        <w:t>Constitution Act, 1982</w:t>
      </w:r>
      <w:r>
        <w:rPr>
          <w:rFonts w:ascii="arial" w:eastAsia="arial" w:hAnsi="arial" w:cs="arial"/>
          <w:color w:val="000000"/>
          <w:sz w:val="20"/>
          <w:lang w:val="en-US" w:eastAsia="en-US" w:bidi="ar-SA"/>
        </w:rPr>
        <w:t xml:space="preserve"> the power to extinguish Aboriginal title was an exclusive federal power under s. 91(24) of the </w:t>
      </w:r>
      <w:r>
        <w:rPr>
          <w:rFonts w:ascii="arial" w:eastAsia="arial" w:hAnsi="arial" w:cs="arial"/>
          <w:b/>
          <w:i/>
          <w:color w:val="000000"/>
          <w:sz w:val="20"/>
          <w:lang w:val="en-US" w:eastAsia="en-US" w:bidi="ar-SA"/>
        </w:rPr>
        <w:t>Constitution Act, 1867</w:t>
      </w:r>
      <w:r>
        <w:rPr>
          <w:rFonts w:ascii="arial" w:eastAsia="arial" w:hAnsi="arial" w:cs="arial"/>
          <w:color w:val="000000"/>
          <w:sz w:val="20"/>
          <w:lang w:val="en-US" w:eastAsia="en-US" w:bidi="ar-SA"/>
        </w:rPr>
        <w:t xml:space="preserve">. Land held by the Province pursuant to s. 109 of the </w:t>
      </w:r>
      <w:r>
        <w:rPr>
          <w:rFonts w:ascii="arial" w:eastAsia="arial" w:hAnsi="arial" w:cs="arial"/>
          <w:b/>
          <w:i/>
          <w:color w:val="000000"/>
          <w:sz w:val="20"/>
          <w:lang w:val="en-US" w:eastAsia="en-US" w:bidi="ar-SA"/>
        </w:rPr>
        <w:t>Constitution Act, 1867</w:t>
      </w:r>
      <w:r>
        <w:rPr>
          <w:rFonts w:ascii="arial" w:eastAsia="arial" w:hAnsi="arial" w:cs="arial"/>
          <w:color w:val="000000"/>
          <w:sz w:val="20"/>
          <w:lang w:val="en-US" w:eastAsia="en-US" w:bidi="ar-SA"/>
        </w:rPr>
        <w:t xml:space="preserve"> was subject to existing trusts. Those trusts included Aboriginal rights such as Aboriginal title.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997</w:t>
      </w:r>
      <w:r>
        <w:rPr>
          <w:rFonts w:ascii="arial" w:eastAsia="arial" w:hAnsi="arial" w:cs="arial"/>
          <w:color w:val="000000"/>
          <w:sz w:val="20"/>
          <w:lang w:val="en-US" w:eastAsia="en-US" w:bidi="ar-SA"/>
        </w:rPr>
        <w:t xml:space="preserve">  Given that the jurisdiction to extinguish has only ever been held by the federal government, the Province cannot and has not extinguished these rights by a conveyance of fee simple title to lands within the Claim Area: see </w:t>
      </w:r>
      <w:r>
        <w:rPr>
          <w:rFonts w:ascii="arial" w:eastAsia="arial" w:hAnsi="arial" w:cs="arial"/>
          <w:b/>
          <w:i/>
          <w:color w:val="000000"/>
          <w:sz w:val="20"/>
          <w:lang w:val="en-US" w:eastAsia="en-US" w:bidi="ar-SA"/>
        </w:rPr>
        <w:t>Delgamuukw v. British Columbia</w:t>
      </w:r>
      <w:r>
        <w:rPr>
          <w:rFonts w:ascii="arial" w:eastAsia="arial" w:hAnsi="arial" w:cs="arial"/>
          <w:color w:val="000000"/>
          <w:sz w:val="20"/>
          <w:lang w:val="en-US" w:eastAsia="en-US" w:bidi="ar-SA"/>
        </w:rPr>
        <w:t>, (S.C.C.) paras. 172-176.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998</w:t>
      </w:r>
      <w:r>
        <w:rPr>
          <w:rFonts w:ascii="arial" w:eastAsia="arial" w:hAnsi="arial" w:cs="arial"/>
          <w:color w:val="000000"/>
          <w:sz w:val="20"/>
          <w:lang w:val="en-US" w:eastAsia="en-US" w:bidi="ar-SA"/>
        </w:rPr>
        <w:t>  Thus, regardless of the private interests in the Claim Area (whether they are fee simple title, range agreements, water licences, or any other interests derived from the Province), those interests have not extinguished and cannot extinguish Tsilhqot'in rights, including Tsilhqot'in Aboriginal title.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999</w:t>
      </w:r>
      <w:r>
        <w:rPr>
          <w:rFonts w:ascii="arial" w:eastAsia="arial" w:hAnsi="arial" w:cs="arial"/>
          <w:color w:val="000000"/>
          <w:sz w:val="20"/>
          <w:lang w:val="en-US" w:eastAsia="en-US" w:bidi="ar-SA"/>
        </w:rPr>
        <w:t xml:space="preserve">  What is not clear from the jurisprudence are the consequences of underlying Aboriginal rights, including Aboriginal title, on the various private interests that exist in the Claim Area. While they have not extinguished the rights of the Tsilhqot'in people, their existence may have some impact on the application or exercise of those Aboriginal rights. This conclusion is consistent with the view of the Ontario Court of Appeal in </w:t>
      </w:r>
      <w:r>
        <w:rPr>
          <w:rFonts w:ascii="arial" w:eastAsia="arial" w:hAnsi="arial" w:cs="arial"/>
          <w:b/>
          <w:i/>
          <w:color w:val="000000"/>
          <w:sz w:val="20"/>
          <w:lang w:val="en-US" w:eastAsia="en-US" w:bidi="ar-SA"/>
        </w:rPr>
        <w:t>Chippewas of Sarnia Band v. Canada (Attorney General)</w:t>
      </w:r>
      <w:r>
        <w:rPr>
          <w:rFonts w:ascii="arial" w:eastAsia="arial" w:hAnsi="arial" w:cs="arial"/>
          <w:color w:val="000000"/>
          <w:sz w:val="20"/>
          <w:lang w:val="en-US" w:eastAsia="en-US" w:bidi="ar-SA"/>
        </w:rPr>
        <w:t xml:space="preserve">, </w:t>
      </w:r>
      <w:hyperlink r:id="rId697" w:history="1">
        <w:r>
          <w:rPr>
            <w:rFonts w:ascii="arial" w:eastAsia="arial" w:hAnsi="arial" w:cs="arial"/>
            <w:i/>
            <w:color w:val="0077CC"/>
            <w:sz w:val="20"/>
            <w:u w:val="single"/>
            <w:shd w:val="clear" w:color="auto" w:fill="FFFFFF"/>
            <w:lang w:val="en-US" w:eastAsia="en-US" w:bidi="ar-SA"/>
          </w:rPr>
          <w:t>[2001] 1 C.N.L.R. 56</w:t>
        </w:r>
      </w:hyperlink>
      <w:r>
        <w:rPr>
          <w:rFonts w:ascii="arial" w:eastAsia="arial" w:hAnsi="arial" w:cs="arial"/>
          <w:color w:val="000000"/>
          <w:sz w:val="20"/>
          <w:lang w:val="en-US" w:eastAsia="en-US" w:bidi="ar-SA"/>
        </w:rPr>
        <w:t xml:space="preserve"> (Ont.C.A.).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1000</w:t>
      </w:r>
      <w:r>
        <w:rPr>
          <w:rFonts w:ascii="arial" w:eastAsia="arial" w:hAnsi="arial" w:cs="arial"/>
          <w:color w:val="000000"/>
          <w:sz w:val="20"/>
          <w:lang w:val="en-US" w:eastAsia="en-US" w:bidi="ar-SA"/>
        </w:rPr>
        <w:t>  Reconciliation of competing interests will be dependant on a variety of factors, including the nature of the interests, the circumstances surrounding the transfer of the interests, the length of the tenure, and the existing land use. Such a task has not been assigned to this Court by the issues raised in the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 CONSTITUTIONAL ISSUES - DIVISION OF POWERS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 Interjurisdictional Immunity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1001</w:t>
      </w:r>
      <w:r>
        <w:rPr>
          <w:rFonts w:ascii="arial" w:eastAsia="arial" w:hAnsi="arial" w:cs="arial"/>
          <w:color w:val="000000"/>
          <w:sz w:val="20"/>
          <w:lang w:val="en-US" w:eastAsia="en-US" w:bidi="ar-SA"/>
        </w:rPr>
        <w:t xml:space="preserve">  The Province's legislative and regulatory framework must accord with the division of powers under the </w:t>
      </w:r>
      <w:r>
        <w:rPr>
          <w:rFonts w:ascii="arial" w:eastAsia="arial" w:hAnsi="arial" w:cs="arial"/>
          <w:b/>
          <w:i/>
          <w:color w:val="000000"/>
          <w:sz w:val="20"/>
          <w:lang w:val="en-US" w:eastAsia="en-US" w:bidi="ar-SA"/>
        </w:rPr>
        <w:t>Constitution Act, 1867</w:t>
      </w:r>
      <w:r>
        <w:rPr>
          <w:rFonts w:ascii="arial" w:eastAsia="arial" w:hAnsi="arial" w:cs="arial"/>
          <w:color w:val="000000"/>
          <w:sz w:val="20"/>
          <w:lang w:val="en-US" w:eastAsia="en-US" w:bidi="ar-SA"/>
        </w:rPr>
        <w:t xml:space="preserve">. A provincial law that in pith and substance relates to "Indians "or "Lands reserved for the Indians" is </w:t>
      </w:r>
      <w:r>
        <w:rPr>
          <w:rFonts w:ascii="arial" w:eastAsia="arial" w:hAnsi="arial" w:cs="arial"/>
          <w:i/>
          <w:color w:val="000000"/>
          <w:sz w:val="20"/>
          <w:lang w:val="en-US" w:eastAsia="en-US" w:bidi="ar-SA"/>
        </w:rPr>
        <w:t>ultra vires</w:t>
      </w:r>
      <w:r>
        <w:rPr>
          <w:rFonts w:ascii="arial" w:eastAsia="arial" w:hAnsi="arial" w:cs="arial"/>
          <w:color w:val="000000"/>
          <w:sz w:val="20"/>
          <w:lang w:val="en-US" w:eastAsia="en-US" w:bidi="ar-SA"/>
        </w:rPr>
        <w:t xml:space="preserve"> the Province: </w:t>
      </w:r>
      <w:r>
        <w:rPr>
          <w:rFonts w:ascii="arial" w:eastAsia="arial" w:hAnsi="arial" w:cs="arial"/>
          <w:b/>
          <w:i/>
          <w:color w:val="000000"/>
          <w:sz w:val="20"/>
          <w:lang w:val="en-US" w:eastAsia="en-US" w:bidi="ar-SA"/>
        </w:rPr>
        <w:t>Kitkatla Band v. British Columbia (Minister of Small Business, Tourism and Culture)</w:t>
      </w:r>
      <w:r>
        <w:rPr>
          <w:rFonts w:ascii="arial" w:eastAsia="arial" w:hAnsi="arial" w:cs="arial"/>
          <w:color w:val="000000"/>
          <w:sz w:val="20"/>
          <w:lang w:val="en-US" w:eastAsia="en-US" w:bidi="ar-SA"/>
        </w:rPr>
        <w:t xml:space="preserve">, </w:t>
      </w:r>
      <w:hyperlink r:id="rId698" w:history="1">
        <w:r>
          <w:rPr>
            <w:rFonts w:ascii="arial" w:eastAsia="arial" w:hAnsi="arial" w:cs="arial"/>
            <w:i/>
            <w:color w:val="0077CC"/>
            <w:sz w:val="20"/>
            <w:u w:val="single"/>
            <w:shd w:val="clear" w:color="auto" w:fill="FFFFFF"/>
            <w:lang w:val="en-US" w:eastAsia="en-US" w:bidi="ar-SA"/>
          </w:rPr>
          <w:t>[2002] 2 S.C.R. 146</w:t>
        </w:r>
      </w:hyperlink>
      <w:r>
        <w:rPr>
          <w:rFonts w:ascii="arial" w:eastAsia="arial" w:hAnsi="arial" w:cs="arial"/>
          <w:color w:val="000000"/>
          <w:sz w:val="20"/>
          <w:lang w:val="en-US" w:eastAsia="en-US" w:bidi="ar-SA"/>
        </w:rPr>
        <w:t xml:space="preserve">, </w:t>
      </w:r>
      <w:hyperlink r:id="rId698" w:history="1">
        <w:r>
          <w:rPr>
            <w:rFonts w:ascii="arial" w:eastAsia="arial" w:hAnsi="arial" w:cs="arial"/>
            <w:i/>
            <w:color w:val="0077CC"/>
            <w:sz w:val="20"/>
            <w:u w:val="single"/>
            <w:shd w:val="clear" w:color="auto" w:fill="FFFFFF"/>
            <w:lang w:val="en-US" w:eastAsia="en-US" w:bidi="ar-SA"/>
          </w:rPr>
          <w:t>2002 SCC 31</w:t>
        </w:r>
      </w:hyperlink>
      <w:r>
        <w:rPr>
          <w:rFonts w:ascii="arial" w:eastAsia="arial" w:hAnsi="arial" w:cs="arial"/>
          <w:color w:val="000000"/>
          <w:sz w:val="20"/>
          <w:lang w:val="en-US" w:eastAsia="en-US" w:bidi="ar-SA"/>
        </w:rPr>
        <w:t xml:space="preserve">, at para. 67. Provincial laws of general application apply to Aboriginal people provided they do not touch the "core" of Indianness: </w:t>
      </w:r>
      <w:r>
        <w:rPr>
          <w:rFonts w:ascii="arial" w:eastAsia="arial" w:hAnsi="arial" w:cs="arial"/>
          <w:b/>
          <w:i/>
          <w:color w:val="000000"/>
          <w:sz w:val="20"/>
          <w:lang w:val="en-US" w:eastAsia="en-US" w:bidi="ar-SA"/>
        </w:rPr>
        <w:t>Paul v. British Columbia (Forest Appeals Commission)</w:t>
      </w:r>
      <w:r>
        <w:rPr>
          <w:rFonts w:ascii="arial" w:eastAsia="arial" w:hAnsi="arial" w:cs="arial"/>
          <w:color w:val="000000"/>
          <w:sz w:val="20"/>
          <w:lang w:val="en-US" w:eastAsia="en-US" w:bidi="ar-SA"/>
        </w:rPr>
        <w:t xml:space="preserve">, </w:t>
      </w:r>
      <w:hyperlink r:id="rId699" w:history="1">
        <w:r>
          <w:rPr>
            <w:rFonts w:ascii="arial" w:eastAsia="arial" w:hAnsi="arial" w:cs="arial"/>
            <w:i/>
            <w:color w:val="0077CC"/>
            <w:sz w:val="20"/>
            <w:u w:val="single"/>
            <w:shd w:val="clear" w:color="auto" w:fill="FFFFFF"/>
            <w:lang w:val="en-US" w:eastAsia="en-US" w:bidi="ar-SA"/>
          </w:rPr>
          <w:t>[2003] 2 S.C.R. 585</w:t>
        </w:r>
      </w:hyperlink>
      <w:r>
        <w:rPr>
          <w:rFonts w:ascii="arial" w:eastAsia="arial" w:hAnsi="arial" w:cs="arial"/>
          <w:color w:val="000000"/>
          <w:sz w:val="20"/>
          <w:lang w:val="en-US" w:eastAsia="en-US" w:bidi="ar-SA"/>
        </w:rPr>
        <w:t xml:space="preserve">, </w:t>
      </w:r>
      <w:hyperlink r:id="rId699" w:history="1">
        <w:r>
          <w:rPr>
            <w:rFonts w:ascii="arial" w:eastAsia="arial" w:hAnsi="arial" w:cs="arial"/>
            <w:i/>
            <w:color w:val="0077CC"/>
            <w:sz w:val="20"/>
            <w:u w:val="single"/>
            <w:shd w:val="clear" w:color="auto" w:fill="FFFFFF"/>
            <w:lang w:val="en-US" w:eastAsia="en-US" w:bidi="ar-SA"/>
          </w:rPr>
          <w:t>2003 SCC 55</w:t>
        </w:r>
      </w:hyperlink>
      <w:r>
        <w:rPr>
          <w:rFonts w:ascii="arial" w:eastAsia="arial" w:hAnsi="arial" w:cs="arial"/>
          <w:color w:val="000000"/>
          <w:sz w:val="20"/>
          <w:lang w:val="en-US" w:eastAsia="en-US" w:bidi="ar-SA"/>
        </w:rPr>
        <w:t xml:space="preserve">, at para. 14; </w:t>
      </w:r>
      <w:r>
        <w:rPr>
          <w:rFonts w:ascii="arial" w:eastAsia="arial" w:hAnsi="arial" w:cs="arial"/>
          <w:b/>
          <w:i/>
          <w:color w:val="000000"/>
          <w:sz w:val="20"/>
          <w:lang w:val="en-US" w:eastAsia="en-US" w:bidi="ar-SA"/>
        </w:rPr>
        <w:t>Delgamuukw</w:t>
      </w:r>
      <w:r>
        <w:rPr>
          <w:rFonts w:ascii="arial" w:eastAsia="arial" w:hAnsi="arial" w:cs="arial"/>
          <w:color w:val="000000"/>
          <w:sz w:val="20"/>
          <w:lang w:val="en-US" w:eastAsia="en-US" w:bidi="ar-SA"/>
        </w:rPr>
        <w:t xml:space="preserve"> (S.C.C.) at paras. 177-178; </w:t>
      </w:r>
      <w:r>
        <w:rPr>
          <w:rFonts w:ascii="arial" w:eastAsia="arial" w:hAnsi="arial" w:cs="arial"/>
          <w:b/>
          <w:i/>
          <w:color w:val="000000"/>
          <w:sz w:val="20"/>
          <w:lang w:val="en-US" w:eastAsia="en-US" w:bidi="ar-SA"/>
        </w:rPr>
        <w:t>R. v. Morris</w:t>
      </w:r>
      <w:r>
        <w:rPr>
          <w:rFonts w:ascii="arial" w:eastAsia="arial" w:hAnsi="arial" w:cs="arial"/>
          <w:color w:val="000000"/>
          <w:sz w:val="20"/>
          <w:lang w:val="en-US" w:eastAsia="en-US" w:bidi="ar-SA"/>
        </w:rPr>
        <w:t xml:space="preserve">, </w:t>
      </w:r>
      <w:hyperlink r:id="rId700" w:history="1">
        <w:r>
          <w:rPr>
            <w:rFonts w:ascii="arial" w:eastAsia="arial" w:hAnsi="arial" w:cs="arial"/>
            <w:i/>
            <w:color w:val="0077CC"/>
            <w:sz w:val="20"/>
            <w:u w:val="single"/>
            <w:shd w:val="clear" w:color="auto" w:fill="FFFFFF"/>
            <w:lang w:val="en-US" w:eastAsia="en-US" w:bidi="ar-SA"/>
          </w:rPr>
          <w:t>[2006] 2 S.C.R. 915</w:t>
        </w:r>
      </w:hyperlink>
      <w:r>
        <w:rPr>
          <w:rFonts w:ascii="arial" w:eastAsia="arial" w:hAnsi="arial" w:cs="arial"/>
          <w:color w:val="000000"/>
          <w:sz w:val="20"/>
          <w:lang w:val="en-US" w:eastAsia="en-US" w:bidi="ar-SA"/>
        </w:rPr>
        <w:t xml:space="preserve">, </w:t>
      </w:r>
      <w:hyperlink r:id="rId700" w:history="1">
        <w:r>
          <w:rPr>
            <w:rFonts w:ascii="arial" w:eastAsia="arial" w:hAnsi="arial" w:cs="arial"/>
            <w:i/>
            <w:color w:val="0077CC"/>
            <w:sz w:val="20"/>
            <w:u w:val="single"/>
            <w:shd w:val="clear" w:color="auto" w:fill="FFFFFF"/>
            <w:lang w:val="en-US" w:eastAsia="en-US" w:bidi="ar-SA"/>
          </w:rPr>
          <w:t>2006 SCC 59</w:t>
        </w:r>
      </w:hyperlink>
      <w:r>
        <w:rPr>
          <w:rFonts w:ascii="arial" w:eastAsia="arial" w:hAnsi="arial" w:cs="arial"/>
          <w:color w:val="000000"/>
          <w:sz w:val="20"/>
          <w:lang w:val="en-US" w:eastAsia="en-US" w:bidi="ar-SA"/>
        </w:rPr>
        <w:t>, at para. 84.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1002</w:t>
      </w:r>
      <w:r>
        <w:rPr>
          <w:rFonts w:ascii="arial" w:eastAsia="arial" w:hAnsi="arial" w:cs="arial"/>
          <w:color w:val="000000"/>
          <w:sz w:val="20"/>
          <w:lang w:val="en-US" w:eastAsia="en-US" w:bidi="ar-SA"/>
        </w:rPr>
        <w:t xml:space="preserve">  The plaintiff argues there are two reasons why British Columbia lacks the constitutional authority to manage forestry resources on Tsilhqot'in title lands. The first is that the provincial </w:t>
      </w:r>
      <w:r>
        <w:rPr>
          <w:rFonts w:ascii="arial" w:eastAsia="arial" w:hAnsi="arial" w:cs="arial"/>
          <w:b/>
          <w:i/>
          <w:color w:val="000000"/>
          <w:sz w:val="20"/>
          <w:lang w:val="en-US" w:eastAsia="en-US" w:bidi="ar-SA"/>
        </w:rPr>
        <w:t>Forest Act</w:t>
      </w:r>
      <w:r>
        <w:rPr>
          <w:rFonts w:ascii="arial" w:eastAsia="arial" w:hAnsi="arial" w:cs="arial"/>
          <w:color w:val="000000"/>
          <w:sz w:val="20"/>
          <w:lang w:val="en-US" w:eastAsia="en-US" w:bidi="ar-SA"/>
        </w:rPr>
        <w:t xml:space="preserve"> singles out Aboriginal title holders and discriminates against them. The second is that the granting of timber licences or the approval of forest development activities on Aboriginal title lands strikes at the very core of both Aboriginal title and Parliament's jurisdiction under s. 91(24) of the </w:t>
      </w:r>
      <w:r>
        <w:rPr>
          <w:rFonts w:ascii="arial" w:eastAsia="arial" w:hAnsi="arial" w:cs="arial"/>
          <w:b/>
          <w:i/>
          <w:color w:val="000000"/>
          <w:sz w:val="20"/>
          <w:lang w:val="en-US" w:eastAsia="en-US" w:bidi="ar-SA"/>
        </w:rPr>
        <w:t>Constitution Act, 1867</w:t>
      </w:r>
      <w:r>
        <w:rPr>
          <w:rFonts w:ascii="arial" w:eastAsia="arial" w:hAnsi="arial" w:cs="arial"/>
          <w:color w:val="000000"/>
          <w:sz w:val="20"/>
          <w:lang w:val="en-US" w:eastAsia="en-US" w:bidi="ar-SA"/>
        </w:rPr>
        <w:t>. The plaintiff says the doctrine of interjurisdictional immunity is thus engaged. As a result, British Columbia does not have the constitutional authority to grant interests in the timber situated on Tsilhqot'in title lands to third parties. Nor does British Columbia have the authority to approve forest development activities on these lands.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1003</w:t>
      </w:r>
      <w:r>
        <w:rPr>
          <w:rFonts w:ascii="arial" w:eastAsia="arial" w:hAnsi="arial" w:cs="arial"/>
          <w:color w:val="000000"/>
          <w:sz w:val="20"/>
          <w:lang w:val="en-US" w:eastAsia="en-US" w:bidi="ar-SA"/>
        </w:rPr>
        <w:t>  Further, the plaintiff says that British Columbia lacks the constitutional capacity to impair the exercise of Aboriginal rights to hunt and trap through the operation of its forestry legislation. Again, such impairment is an impermissible intrusion into the protected core of federal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1004</w:t>
      </w:r>
      <w:r>
        <w:rPr>
          <w:rFonts w:ascii="arial" w:eastAsia="arial" w:hAnsi="arial" w:cs="arial"/>
          <w:color w:val="000000"/>
          <w:sz w:val="20"/>
          <w:lang w:val="en-US" w:eastAsia="en-US" w:bidi="ar-SA"/>
        </w:rPr>
        <w:t xml:space="preserve">  In addition, the plaintiff pleads that the </w:t>
      </w:r>
      <w:r>
        <w:rPr>
          <w:rFonts w:ascii="arial" w:eastAsia="arial" w:hAnsi="arial" w:cs="arial"/>
          <w:b/>
          <w:i/>
          <w:color w:val="000000"/>
          <w:sz w:val="20"/>
          <w:lang w:val="en-US" w:eastAsia="en-US" w:bidi="ar-SA"/>
        </w:rPr>
        <w:t>Forest Practices Code of British Columbia Act</w:t>
      </w:r>
      <w:r>
        <w:rPr>
          <w:rFonts w:ascii="arial" w:eastAsia="arial" w:hAnsi="arial" w:cs="arial"/>
          <w:color w:val="000000"/>
          <w:sz w:val="20"/>
          <w:lang w:val="en-US" w:eastAsia="en-US" w:bidi="ar-SA"/>
        </w:rPr>
        <w:t xml:space="preserve">, S.B.C. 1994, c. 41, is constitutionally inapplicable. The </w:t>
      </w:r>
      <w:r>
        <w:rPr>
          <w:rFonts w:ascii="arial" w:eastAsia="arial" w:hAnsi="arial" w:cs="arial"/>
          <w:b/>
          <w:i/>
          <w:color w:val="000000"/>
          <w:sz w:val="20"/>
          <w:lang w:val="en-US" w:eastAsia="en-US" w:bidi="ar-SA"/>
        </w:rPr>
        <w:t>Forest Practices Code</w:t>
      </w:r>
      <w:r>
        <w:rPr>
          <w:rFonts w:ascii="arial" w:eastAsia="arial" w:hAnsi="arial" w:cs="arial"/>
          <w:color w:val="000000"/>
          <w:sz w:val="20"/>
          <w:lang w:val="en-US" w:eastAsia="en-US" w:bidi="ar-SA"/>
        </w:rPr>
        <w:t xml:space="preserve"> has since been substantially repealed. For that reason, I have not expressly considered the constitutional implications of that statute with respect to Aboriginal title lands. I note, however, that in </w:t>
      </w:r>
      <w:r>
        <w:rPr>
          <w:rFonts w:ascii="arial" w:eastAsia="arial" w:hAnsi="arial" w:cs="arial"/>
          <w:b/>
          <w:i/>
          <w:color w:val="000000"/>
          <w:sz w:val="20"/>
          <w:lang w:val="en-US" w:eastAsia="en-US" w:bidi="ar-SA"/>
        </w:rPr>
        <w:t>Paul</w:t>
      </w:r>
      <w:r>
        <w:rPr>
          <w:rFonts w:ascii="arial" w:eastAsia="arial" w:hAnsi="arial" w:cs="arial"/>
          <w:color w:val="000000"/>
          <w:sz w:val="20"/>
          <w:lang w:val="en-US" w:eastAsia="en-US" w:bidi="ar-SA"/>
        </w:rPr>
        <w:t>, Bastarache J. for the Court said in para. 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Code, a law of general application, is clearly legislation in relation to the development, conservation and management of forestry resources in the province under s. 92A(1)(</w:t>
      </w:r>
      <w:r>
        <w:rPr>
          <w:rFonts w:ascii="arial" w:eastAsia="arial" w:hAnsi="arial" w:cs="arial"/>
          <w:i/>
          <w:color w:val="000000"/>
          <w:sz w:val="20"/>
          <w:lang w:val="en-US" w:eastAsia="en-US" w:bidi="ar-SA"/>
        </w:rPr>
        <w:t>b</w:t>
      </w:r>
      <w:r>
        <w:rPr>
          <w:rFonts w:ascii="arial" w:eastAsia="arial" w:hAnsi="arial" w:cs="arial"/>
          <w:color w:val="000000"/>
          <w:sz w:val="20"/>
          <w:lang w:val="en-US" w:eastAsia="en-US" w:bidi="ar-SA"/>
        </w:rPr>
        <w:t xml:space="preserve">) of the </w:t>
      </w:r>
      <w:r>
        <w:rPr>
          <w:rFonts w:ascii="arial" w:eastAsia="arial" w:hAnsi="arial" w:cs="arial"/>
          <w:i/>
          <w:color w:val="000000"/>
          <w:sz w:val="20"/>
          <w:lang w:val="en-US" w:eastAsia="en-US" w:bidi="ar-SA"/>
        </w:rPr>
        <w:t>Constitution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1867</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1005</w:t>
      </w:r>
      <w:r>
        <w:rPr>
          <w:rFonts w:ascii="arial" w:eastAsia="arial" w:hAnsi="arial" w:cs="arial"/>
          <w:color w:val="000000"/>
          <w:sz w:val="20"/>
          <w:lang w:val="en-US" w:eastAsia="en-US" w:bidi="ar-SA"/>
        </w:rPr>
        <w:t>  Both Canada and British Columbia say that the Province has the constitutional capacity to infringe upon Aboriginal rights, including title. They argue that the plaintiff's interjurisdictional immunity argument amounts to an "enclave" argument that has been consistently rejected by the courts.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1006</w:t>
      </w:r>
      <w:r>
        <w:rPr>
          <w:rFonts w:ascii="arial" w:eastAsia="arial" w:hAnsi="arial" w:cs="arial"/>
          <w:color w:val="000000"/>
          <w:sz w:val="20"/>
          <w:lang w:val="en-US" w:eastAsia="en-US" w:bidi="ar-SA"/>
        </w:rPr>
        <w:t xml:space="preserve">  Canada further says that the argument advanced by the plaintiff is both disruptive and unnecessary. If the plaintiff were to succeed, all lands subject to Aboriginal title would cease to be "Public Lands belonging to the Province" within the meaning of s. 92(5) of the </w:t>
      </w:r>
      <w:r>
        <w:rPr>
          <w:rFonts w:ascii="arial" w:eastAsia="arial" w:hAnsi="arial" w:cs="arial"/>
          <w:b/>
          <w:i/>
          <w:color w:val="000000"/>
          <w:sz w:val="20"/>
          <w:lang w:val="en-US" w:eastAsia="en-US" w:bidi="ar-SA"/>
        </w:rPr>
        <w:t>Constitution Act, 1867</w:t>
      </w:r>
      <w:r>
        <w:rPr>
          <w:rFonts w:ascii="arial" w:eastAsia="arial" w:hAnsi="arial" w:cs="arial"/>
          <w:color w:val="000000"/>
          <w:sz w:val="20"/>
          <w:lang w:val="en-US" w:eastAsia="en-US" w:bidi="ar-SA"/>
        </w:rPr>
        <w:t>. The provincial government would then have no ability to manage timber on such lands. This would be a dramatic shift in the division of powers underlying British Columbia's entry into Confederation.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1007</w:t>
      </w:r>
      <w:r>
        <w:rPr>
          <w:rFonts w:ascii="arial" w:eastAsia="arial" w:hAnsi="arial" w:cs="arial"/>
          <w:color w:val="000000"/>
          <w:sz w:val="20"/>
          <w:lang w:val="en-US" w:eastAsia="en-US" w:bidi="ar-SA"/>
        </w:rPr>
        <w:t xml:space="preserve">  The starting point for this discussion is the </w:t>
      </w:r>
      <w:r>
        <w:rPr>
          <w:rFonts w:ascii="arial" w:eastAsia="arial" w:hAnsi="arial" w:cs="arial"/>
          <w:b/>
          <w:i/>
          <w:color w:val="000000"/>
          <w:sz w:val="20"/>
          <w:lang w:val="en-US" w:eastAsia="en-US" w:bidi="ar-SA"/>
        </w:rPr>
        <w:t>Constitution Act, 1867</w:t>
      </w:r>
      <w:r>
        <w:rPr>
          <w:rFonts w:ascii="arial" w:eastAsia="arial" w:hAnsi="arial" w:cs="arial"/>
          <w:color w:val="000000"/>
          <w:sz w:val="20"/>
          <w:lang w:val="en-US" w:eastAsia="en-US" w:bidi="ar-SA"/>
        </w:rPr>
        <w:t>. Section 91 sets out the jurisdiction of the federal government. Section 92 sets out the jurisdiction of the various provincial governments. From the outset of Confederation, the Parliament of Canada has held the responsibility over matters relating to "Indians and Lands reserved for the Indians" pursuant to s. 91(24).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1008</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Constitutional Law of Canada</w:t>
      </w:r>
      <w:r>
        <w:rPr>
          <w:rFonts w:ascii="arial" w:eastAsia="arial" w:hAnsi="arial" w:cs="arial"/>
          <w:color w:val="000000"/>
          <w:sz w:val="20"/>
          <w:lang w:val="en-US" w:eastAsia="en-US" w:bidi="ar-SA"/>
        </w:rPr>
        <w:t>, 4th ed. looseleaf, (Scarborough: Thomson Carswell, 1997) Professor Hogg explains the rationale for s. 91(24) as follows at p. 27-2: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main reason for s. 91(24) seems to have been a concern for the protection of the Indians against local settlers, whose interests lay in an absence of restrictions on the expansion of European settlement. The idea was that the more distant level of government - the federal government - would be more likely to respect the Indian reserves that existed in 1867, to respect the treaties with the Indians that had been entered into by 1867, and generally to protect the Indians against the interests of local majorities.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1009</w:t>
      </w:r>
      <w:r>
        <w:rPr>
          <w:rFonts w:ascii="arial" w:eastAsia="arial" w:hAnsi="arial" w:cs="arial"/>
          <w:color w:val="000000"/>
          <w:sz w:val="20"/>
          <w:lang w:val="en-US" w:eastAsia="en-US" w:bidi="ar-SA"/>
        </w:rPr>
        <w:t xml:space="preserve">  Provincial jurisdiction under s. 92 of the </w:t>
      </w:r>
      <w:r>
        <w:rPr>
          <w:rFonts w:ascii="arial" w:eastAsia="arial" w:hAnsi="arial" w:cs="arial"/>
          <w:b/>
          <w:i/>
          <w:color w:val="000000"/>
          <w:sz w:val="20"/>
          <w:lang w:val="en-US" w:eastAsia="en-US" w:bidi="ar-SA"/>
        </w:rPr>
        <w:t>Constitution Act, 1867</w:t>
      </w:r>
      <w:r>
        <w:rPr>
          <w:rFonts w:ascii="arial" w:eastAsia="arial" w:hAnsi="arial" w:cs="arial"/>
          <w:color w:val="000000"/>
          <w:sz w:val="20"/>
          <w:lang w:val="en-US" w:eastAsia="en-US" w:bidi="ar-SA"/>
        </w:rPr>
        <w:t xml:space="preserve"> includes: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Sec. 92(5) - The Management and Sale of the Public Lands belonging to the Province and of the Timber and Wood thereon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Sec. 92(13) - Property and Civil Rights in the Province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Sec. 92A(1) In each province, the legislature may exclusively make laws in relation to</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development, conservation and management of non-renewable natural resources and forestry resources in the province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1010</w:t>
      </w:r>
      <w:r>
        <w:rPr>
          <w:rFonts w:ascii="arial" w:eastAsia="arial" w:hAnsi="arial" w:cs="arial"/>
          <w:color w:val="000000"/>
          <w:sz w:val="20"/>
          <w:lang w:val="en-US" w:eastAsia="en-US" w:bidi="ar-SA"/>
        </w:rPr>
        <w:t xml:space="preserve">  The plaintiff asserts that, insofar as the </w:t>
      </w:r>
      <w:r>
        <w:rPr>
          <w:rFonts w:ascii="arial" w:eastAsia="arial" w:hAnsi="arial" w:cs="arial"/>
          <w:b/>
          <w:i/>
          <w:color w:val="000000"/>
          <w:sz w:val="20"/>
          <w:lang w:val="en-US" w:eastAsia="en-US" w:bidi="ar-SA"/>
        </w:rPr>
        <w:t>Forest Act</w:t>
      </w:r>
      <w:r>
        <w:rPr>
          <w:rFonts w:ascii="arial" w:eastAsia="arial" w:hAnsi="arial" w:cs="arial"/>
          <w:color w:val="000000"/>
          <w:sz w:val="20"/>
          <w:lang w:val="en-US" w:eastAsia="en-US" w:bidi="ar-SA"/>
        </w:rPr>
        <w:t xml:space="preserve"> purports to apply to Aboriginal title lands, it is </w:t>
      </w:r>
      <w:r>
        <w:rPr>
          <w:rFonts w:ascii="arial" w:eastAsia="arial" w:hAnsi="arial" w:cs="arial"/>
          <w:i/>
          <w:color w:val="000000"/>
          <w:sz w:val="20"/>
          <w:lang w:val="en-US" w:eastAsia="en-US" w:bidi="ar-SA"/>
        </w:rPr>
        <w:t>ultra vires</w:t>
      </w:r>
      <w:r>
        <w:rPr>
          <w:rFonts w:ascii="arial" w:eastAsia="arial" w:hAnsi="arial" w:cs="arial"/>
          <w:color w:val="000000"/>
          <w:sz w:val="20"/>
          <w:lang w:val="en-US" w:eastAsia="en-US" w:bidi="ar-SA"/>
        </w:rPr>
        <w:t xml:space="preserve"> the Province because it singles out Indians for special and discriminatory treatment. The plaintiff argues that under the </w:t>
      </w:r>
      <w:r>
        <w:rPr>
          <w:rFonts w:ascii="arial" w:eastAsia="arial" w:hAnsi="arial" w:cs="arial"/>
          <w:b/>
          <w:i/>
          <w:color w:val="000000"/>
          <w:sz w:val="20"/>
          <w:lang w:val="en-US" w:eastAsia="en-US" w:bidi="ar-SA"/>
        </w:rPr>
        <w:t>Forest Act</w:t>
      </w:r>
      <w:r>
        <w:rPr>
          <w:rFonts w:ascii="arial" w:eastAsia="arial" w:hAnsi="arial" w:cs="arial"/>
          <w:color w:val="000000"/>
          <w:sz w:val="20"/>
          <w:lang w:val="en-US" w:eastAsia="en-US" w:bidi="ar-SA"/>
        </w:rPr>
        <w:t xml:space="preserve">, Aboriginal title holders' rights in the land are comprehensively managed and are vulnerable to wide-scale appropriation and transfer to third parties. This is a markedly different forestry regime than the one affecting British Columbians who possess land in </w:t>
      </w:r>
      <w:r>
        <w:rPr>
          <w:rFonts w:ascii="arial" w:eastAsia="arial" w:hAnsi="arial" w:cs="arial"/>
          <w:i/>
          <w:color w:val="000000"/>
          <w:sz w:val="20"/>
          <w:lang w:val="en-US" w:eastAsia="en-US" w:bidi="ar-SA"/>
        </w:rPr>
        <w:t>fee simple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1011</w:t>
      </w:r>
      <w:r>
        <w:rPr>
          <w:rFonts w:ascii="arial" w:eastAsia="arial" w:hAnsi="arial" w:cs="arial"/>
          <w:color w:val="000000"/>
          <w:sz w:val="20"/>
          <w:lang w:val="en-US" w:eastAsia="en-US" w:bidi="ar-SA"/>
        </w:rPr>
        <w:t xml:space="preserve">  Provincial legislation that singles out Aboriginal people for special treatment or that discriminates against them is invalid and of no force and affect: see </w:t>
      </w:r>
      <w:r>
        <w:rPr>
          <w:rFonts w:ascii="arial" w:eastAsia="arial" w:hAnsi="arial" w:cs="arial"/>
          <w:b/>
          <w:i/>
          <w:color w:val="000000"/>
          <w:sz w:val="20"/>
          <w:lang w:val="en-US" w:eastAsia="en-US" w:bidi="ar-SA"/>
        </w:rPr>
        <w:t>Dick v. The Queen</w:t>
      </w:r>
      <w:r>
        <w:rPr>
          <w:rFonts w:ascii="arial" w:eastAsia="arial" w:hAnsi="arial" w:cs="arial"/>
          <w:color w:val="000000"/>
          <w:sz w:val="20"/>
          <w:lang w:val="en-US" w:eastAsia="en-US" w:bidi="ar-SA"/>
        </w:rPr>
        <w:t xml:space="preserve">, </w:t>
      </w:r>
      <w:hyperlink r:id="rId701" w:history="1">
        <w:r>
          <w:rPr>
            <w:rFonts w:ascii="arial" w:eastAsia="arial" w:hAnsi="arial" w:cs="arial"/>
            <w:i/>
            <w:color w:val="0077CC"/>
            <w:sz w:val="20"/>
            <w:u w:val="single"/>
            <w:shd w:val="clear" w:color="auto" w:fill="FFFFFF"/>
            <w:lang w:val="en-US" w:eastAsia="en-US" w:bidi="ar-SA"/>
          </w:rPr>
          <w:t>[1985] 2 S.C.R. 309</w:t>
        </w:r>
      </w:hyperlink>
      <w:r>
        <w:rPr>
          <w:rFonts w:ascii="arial" w:eastAsia="arial" w:hAnsi="arial" w:cs="arial"/>
          <w:color w:val="000000"/>
          <w:sz w:val="20"/>
          <w:lang w:val="en-US" w:eastAsia="en-US" w:bidi="ar-SA"/>
        </w:rPr>
        <w:t xml:space="preserve">, at para. 35; </w:t>
      </w:r>
      <w:r>
        <w:rPr>
          <w:rFonts w:ascii="arial" w:eastAsia="arial" w:hAnsi="arial" w:cs="arial"/>
          <w:b/>
          <w:i/>
          <w:color w:val="000000"/>
          <w:sz w:val="20"/>
          <w:lang w:val="en-US" w:eastAsia="en-US" w:bidi="ar-SA"/>
        </w:rPr>
        <w:t>Kitkatla Band</w:t>
      </w:r>
      <w:r>
        <w:rPr>
          <w:rFonts w:ascii="arial" w:eastAsia="arial" w:hAnsi="arial" w:cs="arial"/>
          <w:color w:val="000000"/>
          <w:sz w:val="20"/>
          <w:lang w:val="en-US" w:eastAsia="en-US" w:bidi="ar-SA"/>
        </w:rPr>
        <w:t xml:space="preserve">, at para. 67; </w:t>
      </w:r>
      <w:r>
        <w:rPr>
          <w:rFonts w:ascii="arial" w:eastAsia="arial" w:hAnsi="arial" w:cs="arial"/>
          <w:b/>
          <w:i/>
          <w:color w:val="000000"/>
          <w:sz w:val="20"/>
          <w:lang w:val="en-US" w:eastAsia="en-US" w:bidi="ar-SA"/>
        </w:rPr>
        <w:t>Morris</w:t>
      </w:r>
      <w:r>
        <w:rPr>
          <w:rFonts w:ascii="arial" w:eastAsia="arial" w:hAnsi="arial" w:cs="arial"/>
          <w:color w:val="000000"/>
          <w:sz w:val="20"/>
          <w:lang w:val="en-US" w:eastAsia="en-US" w:bidi="ar-SA"/>
        </w:rPr>
        <w:t xml:space="preserve"> at para. 41.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1012</w:t>
      </w:r>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Forest Act</w:t>
      </w:r>
      <w:r>
        <w:rPr>
          <w:rFonts w:ascii="arial" w:eastAsia="arial" w:hAnsi="arial" w:cs="arial"/>
          <w:color w:val="000000"/>
          <w:sz w:val="20"/>
          <w:lang w:val="en-US" w:eastAsia="en-US" w:bidi="ar-SA"/>
        </w:rPr>
        <w:t xml:space="preserve"> is a law of general application designed for the management and control of British Columbia's forest resources. It clearly falls within the Province's jurisdiction under s. 92(5) and s. 92A(1)(b) of the </w:t>
      </w:r>
      <w:r>
        <w:rPr>
          <w:rFonts w:ascii="arial" w:eastAsia="arial" w:hAnsi="arial" w:cs="arial"/>
          <w:b/>
          <w:i/>
          <w:color w:val="000000"/>
          <w:sz w:val="20"/>
          <w:lang w:val="en-US" w:eastAsia="en-US" w:bidi="ar-SA"/>
        </w:rPr>
        <w:t>Constitution Act, 1867</w:t>
      </w:r>
      <w:r>
        <w:rPr>
          <w:rFonts w:ascii="arial" w:eastAsia="arial" w:hAnsi="arial" w:cs="arial"/>
          <w:color w:val="000000"/>
          <w:sz w:val="20"/>
          <w:lang w:val="en-US" w:eastAsia="en-US" w:bidi="ar-SA"/>
        </w:rPr>
        <w:t xml:space="preserve">. I have already concluded that where Aboriginal title lands have been clearly defined, those lands are not "Crown lands" as defined by the </w:t>
      </w:r>
      <w:r>
        <w:rPr>
          <w:rFonts w:ascii="arial" w:eastAsia="arial" w:hAnsi="arial" w:cs="arial"/>
          <w:b/>
          <w:i/>
          <w:color w:val="000000"/>
          <w:sz w:val="20"/>
          <w:lang w:val="en-US" w:eastAsia="en-US" w:bidi="ar-SA"/>
        </w:rPr>
        <w:t>Forest Act</w:t>
      </w:r>
      <w:r>
        <w:rPr>
          <w:rFonts w:ascii="arial" w:eastAsia="arial" w:hAnsi="arial" w:cs="arial"/>
          <w:color w:val="000000"/>
          <w:sz w:val="20"/>
          <w:lang w:val="en-US" w:eastAsia="en-US" w:bidi="ar-SA"/>
        </w:rPr>
        <w:t>. The definition of "Crown timber" does not capture the forest resources located on Aboriginal title lands. In my view, Aboriginal title lands must be treated in the same manner as "private lands" under that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1013</w:t>
      </w:r>
      <w:r>
        <w:rPr>
          <w:rFonts w:ascii="arial" w:eastAsia="arial" w:hAnsi="arial" w:cs="arial"/>
          <w:color w:val="000000"/>
          <w:sz w:val="20"/>
          <w:lang w:val="en-US" w:eastAsia="en-US" w:bidi="ar-SA"/>
        </w:rPr>
        <w:t xml:space="preserve">  A different situation arises where there is merely an assertion or claim of Aboriginal title to a particular geographic area. Because of the overlapping nature of Aboriginal territories, the sum total of Aboriginal title claims has been said to exceed 100% of the provincial land mass. An Aboriginal title claim cannot place that land in the same category as private lands. When particular lands are the subject of a declaration or a clear finding of Aboriginal rights or title, the situation has crystallized, and the definition of "Crown lands" and "Crown timber" no longer applies. In my view, at all material times, the </w:t>
      </w:r>
      <w:r>
        <w:rPr>
          <w:rFonts w:ascii="arial" w:eastAsia="arial" w:hAnsi="arial" w:cs="arial"/>
          <w:b/>
          <w:i/>
          <w:color w:val="000000"/>
          <w:sz w:val="20"/>
          <w:lang w:val="en-US" w:eastAsia="en-US" w:bidi="ar-SA"/>
        </w:rPr>
        <w:t>Forest Act</w:t>
      </w:r>
      <w:r>
        <w:rPr>
          <w:rFonts w:ascii="arial" w:eastAsia="arial" w:hAnsi="arial" w:cs="arial"/>
          <w:color w:val="000000"/>
          <w:sz w:val="20"/>
          <w:lang w:val="en-US" w:eastAsia="en-US" w:bidi="ar-SA"/>
        </w:rPr>
        <w:t xml:space="preserve"> was and remains valid legislation; it simply does not apply to the forest resources located on Aboriginal title lands.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1014</w:t>
      </w:r>
      <w:r>
        <w:rPr>
          <w:rFonts w:ascii="arial" w:eastAsia="arial" w:hAnsi="arial" w:cs="arial"/>
          <w:color w:val="000000"/>
          <w:sz w:val="20"/>
          <w:lang w:val="en-US" w:eastAsia="en-US" w:bidi="ar-SA"/>
        </w:rPr>
        <w:t>  If this conclusion is incorrect and if the definition of "Crown timber" includes the timber situated on Tsilhqot'in title lands, it is necessary that I also consider the plaintiff's second argument. The plaintiff submits that the doctrine of interjurisdictional immunity deprives British Columbia of the constitutional authority to grant interests in timber on Tsilhqot'in title lands to third parties, or to approve forest development activities on these lands, even under a law of general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1015</w:t>
      </w:r>
      <w:r>
        <w:rPr>
          <w:rFonts w:ascii="arial" w:eastAsia="arial" w:hAnsi="arial" w:cs="arial"/>
          <w:color w:val="000000"/>
          <w:sz w:val="20"/>
          <w:lang w:val="en-US" w:eastAsia="en-US" w:bidi="ar-SA"/>
        </w:rPr>
        <w:t xml:space="preserve">  The doctrine of interjurisdictional immunity provides that otherwise valid provincial legislation is not allowed to operate in a way that would fundamentally affect a matter within exclusive federal jurisdiction. The doctrine was raised in </w:t>
      </w:r>
      <w:r>
        <w:rPr>
          <w:rFonts w:ascii="arial" w:eastAsia="arial" w:hAnsi="arial" w:cs="arial"/>
          <w:b/>
          <w:i/>
          <w:color w:val="000000"/>
          <w:sz w:val="20"/>
          <w:lang w:val="en-US" w:eastAsia="en-US" w:bidi="ar-SA"/>
        </w:rPr>
        <w:t>Paul</w:t>
      </w:r>
      <w:r>
        <w:rPr>
          <w:rFonts w:ascii="arial" w:eastAsia="arial" w:hAnsi="arial" w:cs="arial"/>
          <w:color w:val="000000"/>
          <w:sz w:val="20"/>
          <w:lang w:val="en-US" w:eastAsia="en-US" w:bidi="ar-SA"/>
        </w:rPr>
        <w:t>. In that case, Paul argued that the Province could not grant the Forest Appeals Commission the authority to consider and determine questions about his Aboriginal rights.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1016</w:t>
      </w:r>
      <w:r>
        <w:rPr>
          <w:rFonts w:ascii="arial" w:eastAsia="arial" w:hAnsi="arial" w:cs="arial"/>
          <w:color w:val="000000"/>
          <w:sz w:val="20"/>
          <w:lang w:val="en-US" w:eastAsia="en-US" w:bidi="ar-SA"/>
        </w:rPr>
        <w:t>  On the subject of interjurisdictional immunity, the Court said at para. 15: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doctrine of interjurisdictional immunity is engaged when a provincial statute trenches, either in its entirety or in its application to specific factual contexts, upon a head of exclusive federal power. The doctrine provides that, where the general language of a provincial statute can be read to trench upon exclusive federal power in its application to specific factual contexts, the statute must be read down so as not to apply to those situations: </w:t>
      </w:r>
      <w:r>
        <w:rPr>
          <w:rFonts w:ascii="arial" w:eastAsia="arial" w:hAnsi="arial" w:cs="arial"/>
          <w:i/>
          <w:color w:val="000000"/>
          <w:sz w:val="20"/>
          <w:lang w:val="en-US" w:eastAsia="en-US" w:bidi="ar-SA"/>
        </w:rPr>
        <w:t>Grail</w:t>
      </w:r>
      <w:r>
        <w:rPr>
          <w:rFonts w:ascii="arial" w:eastAsia="arial" w:hAnsi="arial" w:cs="arial"/>
          <w:color w:val="000000"/>
          <w:sz w:val="20"/>
          <w:lang w:val="en-US" w:eastAsia="en-US" w:bidi="ar-SA"/>
        </w:rPr>
        <w:t xml:space="preserve">, </w:t>
      </w:r>
      <w:hyperlink r:id="rId702" w:history="1">
        <w:r>
          <w:rPr>
            <w:rFonts w:ascii="arial" w:eastAsia="arial" w:hAnsi="arial" w:cs="arial"/>
            <w:i/>
            <w:color w:val="0077CC"/>
            <w:sz w:val="20"/>
            <w:u w:val="single"/>
            <w:shd w:val="clear" w:color="auto" w:fill="FFFFFF"/>
            <w:lang w:val="en-US" w:eastAsia="en-US" w:bidi="ar-SA"/>
          </w:rPr>
          <w:t>[1998] 3 S.C.R. 437</w:t>
        </w:r>
      </w:hyperlink>
      <w:r>
        <w:rPr>
          <w:rFonts w:ascii="arial" w:eastAsia="arial" w:hAnsi="arial" w:cs="arial"/>
          <w:color w:val="000000"/>
          <w:sz w:val="20"/>
          <w:lang w:val="en-US" w:eastAsia="en-US" w:bidi="ar-SA"/>
        </w:rPr>
        <w:t xml:space="preserve"> at para. 81. The doctrine has limited the application of a provincial statute to a matter of exclusive federal power in numerous contexts. For example, in </w:t>
      </w:r>
      <w:r>
        <w:rPr>
          <w:rFonts w:ascii="arial" w:eastAsia="arial" w:hAnsi="arial" w:cs="arial"/>
          <w:i/>
          <w:color w:val="000000"/>
          <w:sz w:val="20"/>
          <w:lang w:val="en-US" w:eastAsia="en-US" w:bidi="ar-SA"/>
        </w:rPr>
        <w:t>Grail</w:t>
      </w:r>
      <w:r>
        <w:rPr>
          <w:rFonts w:ascii="arial" w:eastAsia="arial" w:hAnsi="arial" w:cs="arial"/>
          <w:color w:val="000000"/>
          <w:sz w:val="20"/>
          <w:lang w:val="en-US" w:eastAsia="en-US" w:bidi="ar-SA"/>
        </w:rPr>
        <w:t xml:space="preserve">, a provincial statute of general application was found to have the effect of regulating indirectly an issue of maritime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law. The provincial statute had the effect of supplementing existing rules of federal maritime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law in such a manner that the provincial law effectively altered rules within the exclusive competence of Parliament. Accordingly, the provincial statute of general application was read down so as not to apply to a maritime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In </w:t>
      </w:r>
      <w:r>
        <w:rPr>
          <w:rFonts w:ascii="arial" w:eastAsia="arial" w:hAnsi="arial" w:cs="arial"/>
          <w:i/>
          <w:color w:val="000000"/>
          <w:sz w:val="20"/>
          <w:lang w:val="en-US" w:eastAsia="en-US" w:bidi="ar-SA"/>
        </w:rPr>
        <w:t>Bell Canada v. Quebec (Commission de la santé et de la sécurité du travail)</w:t>
      </w:r>
      <w:r>
        <w:rPr>
          <w:rFonts w:ascii="arial" w:eastAsia="arial" w:hAnsi="arial" w:cs="arial"/>
          <w:color w:val="000000"/>
          <w:sz w:val="20"/>
          <w:lang w:val="en-US" w:eastAsia="en-US" w:bidi="ar-SA"/>
        </w:rPr>
        <w:t xml:space="preserve">, </w:t>
      </w:r>
      <w:hyperlink r:id="rId703" w:history="1">
        <w:r>
          <w:rPr>
            <w:rFonts w:ascii="arial" w:eastAsia="arial" w:hAnsi="arial" w:cs="arial"/>
            <w:i/>
            <w:color w:val="0077CC"/>
            <w:sz w:val="20"/>
            <w:u w:val="single"/>
            <w:shd w:val="clear" w:color="auto" w:fill="FFFFFF"/>
            <w:lang w:val="en-US" w:eastAsia="en-US" w:bidi="ar-SA"/>
          </w:rPr>
          <w:t>[1988] 1 S.C.R. 749</w:t>
        </w:r>
      </w:hyperlink>
      <w:r>
        <w:rPr>
          <w:rFonts w:ascii="arial" w:eastAsia="arial" w:hAnsi="arial" w:cs="arial"/>
          <w:color w:val="000000"/>
          <w:sz w:val="20"/>
          <w:lang w:val="en-US" w:eastAsia="en-US" w:bidi="ar-SA"/>
        </w:rPr>
        <w:t xml:space="preserve">, this Court held that a provincial occupational health and safety statute was inapplicable to a federal undertaking. More relevant, for present purposes, in </w:t>
      </w:r>
      <w:r>
        <w:rPr>
          <w:rFonts w:ascii="arial" w:eastAsia="arial" w:hAnsi="arial" w:cs="arial"/>
          <w:i/>
          <w:color w:val="000000"/>
          <w:sz w:val="20"/>
          <w:lang w:val="en-US" w:eastAsia="en-US" w:bidi="ar-SA"/>
        </w:rPr>
        <w:t>Delgamuukw, supra</w:t>
      </w:r>
      <w:r>
        <w:rPr>
          <w:rFonts w:ascii="arial" w:eastAsia="arial" w:hAnsi="arial" w:cs="arial"/>
          <w:color w:val="000000"/>
          <w:sz w:val="20"/>
          <w:lang w:val="en-US" w:eastAsia="en-US" w:bidi="ar-SA"/>
        </w:rPr>
        <w:t xml:space="preserve">, at para. 181, Lamer C.J. held that s. 91(24) protects a "core" of Indianness from provincial laws of general application, through operation of the doctrine of interjurisdictional immunity. See also </w:t>
      </w:r>
      <w:r>
        <w:rPr>
          <w:rFonts w:ascii="arial" w:eastAsia="arial" w:hAnsi="arial" w:cs="arial"/>
          <w:i/>
          <w:color w:val="000000"/>
          <w:sz w:val="20"/>
          <w:lang w:val="en-US" w:eastAsia="en-US" w:bidi="ar-SA"/>
        </w:rPr>
        <w:t>Kitkatla Band, supra</w:t>
      </w:r>
      <w:r>
        <w:rPr>
          <w:rFonts w:ascii="arial" w:eastAsia="arial" w:hAnsi="arial" w:cs="arial"/>
          <w:color w:val="000000"/>
          <w:sz w:val="20"/>
          <w:lang w:val="en-US" w:eastAsia="en-US" w:bidi="ar-SA"/>
        </w:rPr>
        <w:t>, at para. 75: in that case it was not established that the impugned provisions affected "the essential and distinctive core values of Indianness", and thus they did not "engage the federal power over native affairs and First Nations in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1017</w:t>
      </w:r>
      <w:r>
        <w:rPr>
          <w:rFonts w:ascii="arial" w:eastAsia="arial" w:hAnsi="arial" w:cs="arial"/>
          <w:color w:val="000000"/>
          <w:sz w:val="20"/>
          <w:lang w:val="en-US" w:eastAsia="en-US" w:bidi="ar-SA"/>
        </w:rPr>
        <w:t xml:space="preserve">  The Court found that "British Columbia has the constitutional power to enable the Commission to determine questions relative to Aboriginal rights as they arise in the execution of its valid provincial mandate respecting forestry": </w:t>
      </w:r>
      <w:r>
        <w:rPr>
          <w:rFonts w:ascii="arial" w:eastAsia="arial" w:hAnsi="arial" w:cs="arial"/>
          <w:b/>
          <w:i/>
          <w:color w:val="000000"/>
          <w:sz w:val="20"/>
          <w:lang w:val="en-US" w:eastAsia="en-US" w:bidi="ar-SA"/>
        </w:rPr>
        <w:t>Paul</w:t>
      </w:r>
      <w:r>
        <w:rPr>
          <w:rFonts w:ascii="arial" w:eastAsia="arial" w:hAnsi="arial" w:cs="arial"/>
          <w:color w:val="000000"/>
          <w:sz w:val="20"/>
          <w:lang w:val="en-US" w:eastAsia="en-US" w:bidi="ar-SA"/>
        </w:rPr>
        <w:t>, at para. 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1018</w:t>
      </w:r>
      <w:r>
        <w:rPr>
          <w:rFonts w:ascii="arial" w:eastAsia="arial" w:hAnsi="arial" w:cs="arial"/>
          <w:color w:val="000000"/>
          <w:sz w:val="20"/>
          <w:lang w:val="en-US" w:eastAsia="en-US" w:bidi="ar-SA"/>
        </w:rPr>
        <w:t>  </w:t>
      </w:r>
      <w:r>
        <w:rPr>
          <w:rFonts w:ascii="arial" w:eastAsia="arial" w:hAnsi="arial" w:cs="arial"/>
          <w:b/>
          <w:i/>
          <w:color w:val="000000"/>
          <w:sz w:val="20"/>
          <w:lang w:val="en-US" w:eastAsia="en-US" w:bidi="ar-SA"/>
        </w:rPr>
        <w:t>Paul</w:t>
      </w:r>
      <w:r>
        <w:rPr>
          <w:rFonts w:ascii="arial" w:eastAsia="arial" w:hAnsi="arial" w:cs="arial"/>
          <w:color w:val="000000"/>
          <w:sz w:val="20"/>
          <w:lang w:val="en-US" w:eastAsia="en-US" w:bidi="ar-SA"/>
        </w:rPr>
        <w:t xml:space="preserve"> did not raise the question posed by the plaintiff in this case. Here the plaintiff says that those provisions of the forestry legislation that touch on the management, acquisition and sale of timber on Aboriginal title land would constitute a direct (in the case of title) and indirect (in the case of hunting and trapping rights) intrusion on the defining elements of "Indianness".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1019</w:t>
      </w:r>
      <w:r>
        <w:rPr>
          <w:rFonts w:ascii="arial" w:eastAsia="arial" w:hAnsi="arial" w:cs="arial"/>
          <w:color w:val="000000"/>
          <w:sz w:val="20"/>
          <w:lang w:val="en-US" w:eastAsia="en-US" w:bidi="ar-SA"/>
        </w:rPr>
        <w:t xml:space="preserve">  As I understand the arguments of the defendants, the doctrine of interjurisdictional immunity protects Aboriginal rights and title from extinguishment but not from infringement. They say the Supreme Court of Canada has formulated a distinct set of rules with respect to infringement of s. 35 rights. In </w:t>
      </w:r>
      <w:r>
        <w:rPr>
          <w:rFonts w:ascii="arial" w:eastAsia="arial" w:hAnsi="arial" w:cs="arial"/>
          <w:b/>
          <w:i/>
          <w:color w:val="000000"/>
          <w:sz w:val="20"/>
          <w:lang w:val="en-US" w:eastAsia="en-US" w:bidi="ar-SA"/>
        </w:rPr>
        <w:t>Delgamuukw</w:t>
      </w:r>
      <w:r>
        <w:rPr>
          <w:rFonts w:ascii="arial" w:eastAsia="arial" w:hAnsi="arial" w:cs="arial"/>
          <w:color w:val="000000"/>
          <w:sz w:val="20"/>
          <w:lang w:val="en-US" w:eastAsia="en-US" w:bidi="ar-SA"/>
        </w:rPr>
        <w:t xml:space="preserve"> (S.C.C.) at para. 160, the Court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aboriginal rights recognized and affirmed by s. 35(1), including aboriginal title, are not absolute. Those rights may be infringed, both by the federal (e.g., </w:t>
      </w:r>
      <w:r>
        <w:rPr>
          <w:rFonts w:ascii="arial" w:eastAsia="arial" w:hAnsi="arial" w:cs="arial"/>
          <w:i/>
          <w:color w:val="000000"/>
          <w:sz w:val="20"/>
          <w:lang w:val="en-US" w:eastAsia="en-US" w:bidi="ar-SA"/>
        </w:rPr>
        <w:t>Sparrow</w:t>
      </w:r>
      <w:r>
        <w:rPr>
          <w:rFonts w:ascii="arial" w:eastAsia="arial" w:hAnsi="arial" w:cs="arial"/>
          <w:color w:val="000000"/>
          <w:sz w:val="20"/>
          <w:lang w:val="en-US" w:eastAsia="en-US" w:bidi="ar-SA"/>
        </w:rPr>
        <w:t xml:space="preserve">) and provincial (e.g., </w:t>
      </w:r>
      <w:r>
        <w:rPr>
          <w:rFonts w:ascii="arial" w:eastAsia="arial" w:hAnsi="arial" w:cs="arial"/>
          <w:i/>
          <w:color w:val="000000"/>
          <w:sz w:val="20"/>
          <w:lang w:val="en-US" w:eastAsia="en-US" w:bidi="ar-SA"/>
        </w:rPr>
        <w:t>Côté</w:t>
      </w:r>
      <w:r>
        <w:rPr>
          <w:rFonts w:ascii="arial" w:eastAsia="arial" w:hAnsi="arial" w:cs="arial"/>
          <w:color w:val="000000"/>
          <w:sz w:val="20"/>
          <w:lang w:val="en-US" w:eastAsia="en-US" w:bidi="ar-SA"/>
        </w:rPr>
        <w:t>) governments. However, s. 35(1) requires that those infringements satisfy the test of justification. In this section, I will review the Court's nascent jurisprudence on justification and explain how that test will apply in the context of infringements of aboriginal title.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1020</w:t>
      </w:r>
      <w:r>
        <w:rPr>
          <w:rFonts w:ascii="arial" w:eastAsia="arial" w:hAnsi="arial" w:cs="arial"/>
          <w:color w:val="000000"/>
          <w:sz w:val="20"/>
          <w:lang w:val="en-US" w:eastAsia="en-US" w:bidi="ar-SA"/>
        </w:rPr>
        <w:t xml:space="preserve">  A provincial law of general application that does not touch upon core Indianness applies to the exercise of Aboriginal rights, including Aboriginal title. In my view, the Chief Justice referred to these laws in the foregoing passage from </w:t>
      </w:r>
      <w:r>
        <w:rPr>
          <w:rFonts w:ascii="arial" w:eastAsia="arial" w:hAnsi="arial" w:cs="arial"/>
          <w:b/>
          <w:i/>
          <w:color w:val="000000"/>
          <w:sz w:val="20"/>
          <w:lang w:val="en-US" w:eastAsia="en-US" w:bidi="ar-SA"/>
        </w:rPr>
        <w:t>Delgamuukw</w:t>
      </w:r>
      <w:r>
        <w:rPr>
          <w:rFonts w:ascii="arial" w:eastAsia="arial" w:hAnsi="arial" w:cs="arial"/>
          <w:color w:val="000000"/>
          <w:sz w:val="20"/>
          <w:lang w:val="en-US" w:eastAsia="en-US" w:bidi="ar-SA"/>
        </w:rPr>
        <w:t>. When the Chief Justice stated that provincial laws that infringe Aboriginal rights must pass the test of justification, he was not signalling that the doctrine of interjurisdictional immunity would never apply to a consideration of s. 35 rights.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1021</w:t>
      </w:r>
      <w:r>
        <w:rPr>
          <w:rFonts w:ascii="arial" w:eastAsia="arial" w:hAnsi="arial" w:cs="arial"/>
          <w:color w:val="000000"/>
          <w:sz w:val="20"/>
          <w:lang w:val="en-US" w:eastAsia="en-US" w:bidi="ar-SA"/>
        </w:rPr>
        <w:t xml:space="preserve">  It is clear from the decision in </w:t>
      </w:r>
      <w:r>
        <w:rPr>
          <w:rFonts w:ascii="arial" w:eastAsia="arial" w:hAnsi="arial" w:cs="arial"/>
          <w:b/>
          <w:i/>
          <w:color w:val="000000"/>
          <w:sz w:val="20"/>
          <w:lang w:val="en-US" w:eastAsia="en-US" w:bidi="ar-SA"/>
        </w:rPr>
        <w:t>Morris</w:t>
      </w:r>
      <w:r>
        <w:rPr>
          <w:rFonts w:ascii="arial" w:eastAsia="arial" w:hAnsi="arial" w:cs="arial"/>
          <w:color w:val="000000"/>
          <w:sz w:val="20"/>
          <w:lang w:val="en-US" w:eastAsia="en-US" w:bidi="ar-SA"/>
        </w:rPr>
        <w:t xml:space="preserve"> that provincial laws found to infringe upon Aboriginal treaty rights are constitutionally inapplicable due to the operation of the doctrine of interjurisdictional immunity. In </w:t>
      </w:r>
      <w:r>
        <w:rPr>
          <w:rFonts w:ascii="arial" w:eastAsia="arial" w:hAnsi="arial" w:cs="arial"/>
          <w:b/>
          <w:i/>
          <w:color w:val="000000"/>
          <w:sz w:val="20"/>
          <w:lang w:val="en-US" w:eastAsia="en-US" w:bidi="ar-SA"/>
        </w:rPr>
        <w:t>Morris</w:t>
      </w:r>
      <w:r>
        <w:rPr>
          <w:rFonts w:ascii="arial" w:eastAsia="arial" w:hAnsi="arial" w:cs="arial"/>
          <w:color w:val="000000"/>
          <w:sz w:val="20"/>
          <w:lang w:val="en-US" w:eastAsia="en-US" w:bidi="ar-SA"/>
        </w:rPr>
        <w:t xml:space="preserve">, two members of the Tsartlip Indian Band of the Saanich Nation were hunting at night. They shot at a deer decoy set up by provincial conservation officers to trap illegal hunters. They were charged with several offences under the </w:t>
      </w:r>
      <w:r>
        <w:rPr>
          <w:rFonts w:ascii="arial" w:eastAsia="arial" w:hAnsi="arial" w:cs="arial"/>
          <w:b/>
          <w:i/>
          <w:color w:val="000000"/>
          <w:sz w:val="20"/>
          <w:lang w:val="en-US" w:eastAsia="en-US" w:bidi="ar-SA"/>
        </w:rPr>
        <w:t>Wildlife Act</w:t>
      </w:r>
      <w:r>
        <w:rPr>
          <w:rFonts w:ascii="arial" w:eastAsia="arial" w:hAnsi="arial" w:cs="arial"/>
          <w:color w:val="000000"/>
          <w:sz w:val="20"/>
          <w:lang w:val="en-US" w:eastAsia="en-US" w:bidi="ar-SA"/>
        </w:rPr>
        <w:t xml:space="preserve">, S.B.C. 1982, c. 57, including hunting wildlife with a firearm during prohibited hours and hunting by the use or with the aid of a light or illuminating device. The accused claimed a treaty right to hunt over unoccupied lands. The majority held that the provincial </w:t>
      </w:r>
      <w:r>
        <w:rPr>
          <w:rFonts w:ascii="arial" w:eastAsia="arial" w:hAnsi="arial" w:cs="arial"/>
          <w:b/>
          <w:i/>
          <w:color w:val="000000"/>
          <w:sz w:val="20"/>
          <w:lang w:val="en-US" w:eastAsia="en-US" w:bidi="ar-SA"/>
        </w:rPr>
        <w:t>Wildlife Act</w:t>
      </w:r>
      <w:r>
        <w:rPr>
          <w:rFonts w:ascii="arial" w:eastAsia="arial" w:hAnsi="arial" w:cs="arial"/>
          <w:color w:val="000000"/>
          <w:sz w:val="20"/>
          <w:lang w:val="en-US" w:eastAsia="en-US" w:bidi="ar-SA"/>
        </w:rPr>
        <w:t xml:space="preserve"> did not apply because treaty rights go to the core of Indianness under s. 91(24).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1022</w:t>
      </w:r>
      <w:r>
        <w:rPr>
          <w:rFonts w:ascii="arial" w:eastAsia="arial" w:hAnsi="arial" w:cs="arial"/>
          <w:color w:val="000000"/>
          <w:sz w:val="20"/>
          <w:lang w:val="en-US" w:eastAsia="en-US" w:bidi="ar-SA"/>
        </w:rPr>
        <w:t xml:space="preserve">  I do not believe there can there be any principled reason for treating Aboriginal rights, including title, protected by s. 35, any differently than Aboriginal treaty rights. In </w:t>
      </w:r>
      <w:r>
        <w:rPr>
          <w:rFonts w:ascii="arial" w:eastAsia="arial" w:hAnsi="arial" w:cs="arial"/>
          <w:b/>
          <w:i/>
          <w:color w:val="000000"/>
          <w:sz w:val="20"/>
          <w:lang w:val="en-US" w:eastAsia="en-US" w:bidi="ar-SA"/>
        </w:rPr>
        <w:t>Van der Peet</w:t>
      </w:r>
      <w:r>
        <w:rPr>
          <w:rFonts w:ascii="arial" w:eastAsia="arial" w:hAnsi="arial" w:cs="arial"/>
          <w:color w:val="000000"/>
          <w:sz w:val="20"/>
          <w:lang w:val="en-US" w:eastAsia="en-US" w:bidi="ar-SA"/>
        </w:rPr>
        <w:t>, Lamer C.J.C. said at paras. 19-20: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Aboriginal</w:t>
      </w:r>
      <w:r>
        <w:rPr>
          <w:rFonts w:ascii="arial" w:eastAsia="arial" w:hAnsi="arial" w:cs="arial"/>
          <w:color w:val="000000"/>
          <w:sz w:val="20"/>
          <w:lang w:val="en-US" w:eastAsia="en-US" w:bidi="ar-SA"/>
        </w:rPr>
        <w:t xml:space="preserve"> rights cannot, however, be defined on the basis of the philosophical precepts of the liberal enlightenment. Although equal in importance and significance to the rights enshrined in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aboriginal rights must be viewed differently from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rights because they are rights held only by aboriginal members of Canadian society. They arise from the fact that aboriginal people are </w:t>
      </w:r>
      <w:r>
        <w:rPr>
          <w:rFonts w:ascii="arial" w:eastAsia="arial" w:hAnsi="arial" w:cs="arial"/>
          <w:color w:val="000000"/>
          <w:sz w:val="20"/>
          <w:u w:val="single"/>
          <w:lang w:val="en-US" w:eastAsia="en-US" w:bidi="ar-SA"/>
        </w:rPr>
        <w:t>aboriginal</w:t>
      </w:r>
      <w:r>
        <w:rPr>
          <w:rFonts w:ascii="arial" w:eastAsia="arial" w:hAnsi="arial" w:cs="arial"/>
          <w:color w:val="000000"/>
          <w:sz w:val="20"/>
          <w:lang w:val="en-US" w:eastAsia="en-US" w:bidi="ar-SA"/>
        </w:rPr>
        <w:t xml:space="preserve">. As academic commentators have noted, aboriginal rights "inhere in the very meaning of aboriginality", Michael Asch and Patrick Macklem, "Aboriginal Rights and Canadian Sovereignty: An Essay on </w:t>
      </w:r>
      <w:r>
        <w:rPr>
          <w:rFonts w:ascii="arial" w:eastAsia="arial" w:hAnsi="arial" w:cs="arial"/>
          <w:i/>
          <w:color w:val="000000"/>
          <w:sz w:val="20"/>
          <w:lang w:val="en-US" w:eastAsia="en-US" w:bidi="ar-SA"/>
        </w:rPr>
        <w:t>R.</w:t>
      </w:r>
      <w:r>
        <w:rPr>
          <w:rFonts w:ascii="arial" w:eastAsia="arial" w:hAnsi="arial" w:cs="arial"/>
          <w:color w:val="000000"/>
          <w:sz w:val="20"/>
          <w:lang w:val="en-US" w:eastAsia="en-US" w:bidi="ar-SA"/>
        </w:rPr>
        <w:t xml:space="preserve"> v. </w:t>
      </w:r>
      <w:r>
        <w:rPr>
          <w:rFonts w:ascii="arial" w:eastAsia="arial" w:hAnsi="arial" w:cs="arial"/>
          <w:i/>
          <w:color w:val="000000"/>
          <w:sz w:val="20"/>
          <w:lang w:val="en-US" w:eastAsia="en-US" w:bidi="ar-SA"/>
        </w:rPr>
        <w:t>Sparrow</w:t>
      </w:r>
      <w:r>
        <w:rPr>
          <w:rFonts w:ascii="arial" w:eastAsia="arial" w:hAnsi="arial" w:cs="arial"/>
          <w:color w:val="000000"/>
          <w:sz w:val="20"/>
          <w:lang w:val="en-US" w:eastAsia="en-US" w:bidi="ar-SA"/>
        </w:rPr>
        <w:t xml:space="preserve">" </w:t>
      </w:r>
      <w:hyperlink r:id="rId704" w:history="1">
        <w:r>
          <w:rPr>
            <w:rFonts w:ascii="arial" w:eastAsia="arial" w:hAnsi="arial" w:cs="arial"/>
            <w:i/>
            <w:color w:val="0077CC"/>
            <w:sz w:val="20"/>
            <w:u w:val="single"/>
            <w:shd w:val="clear" w:color="auto" w:fill="FFFFFF"/>
            <w:lang w:val="en-US" w:eastAsia="en-US" w:bidi="ar-SA"/>
          </w:rPr>
          <w:t>(1991), 29 Alta. L. Rev. 498</w:t>
        </w:r>
      </w:hyperlink>
      <w:r>
        <w:rPr>
          <w:rFonts w:ascii="arial" w:eastAsia="arial" w:hAnsi="arial" w:cs="arial"/>
          <w:color w:val="000000"/>
          <w:sz w:val="20"/>
          <w:lang w:val="en-US" w:eastAsia="en-US" w:bidi="ar-SA"/>
        </w:rPr>
        <w:t xml:space="preserve">, at p. 502; they are the rights held by "Indians </w:t>
      </w:r>
      <w:r>
        <w:rPr>
          <w:rFonts w:ascii="arial" w:eastAsia="arial" w:hAnsi="arial" w:cs="arial"/>
          <w:i/>
          <w:color w:val="000000"/>
          <w:sz w:val="20"/>
          <w:lang w:val="en-US" w:eastAsia="en-US" w:bidi="ar-SA"/>
        </w:rPr>
        <w:t>qua</w:t>
      </w:r>
      <w:r>
        <w:rPr>
          <w:rFonts w:ascii="arial" w:eastAsia="arial" w:hAnsi="arial" w:cs="arial"/>
          <w:color w:val="000000"/>
          <w:sz w:val="20"/>
          <w:lang w:val="en-US" w:eastAsia="en-US" w:bidi="ar-SA"/>
        </w:rPr>
        <w:t xml:space="preserve"> Indians", Brian Slattery, "Understanding Aboriginal Rights" (1987), 66 </w:t>
      </w:r>
      <w:r>
        <w:rPr>
          <w:rFonts w:ascii="arial" w:eastAsia="arial" w:hAnsi="arial" w:cs="arial"/>
          <w:i/>
          <w:color w:val="000000"/>
          <w:sz w:val="20"/>
          <w:lang w:val="en-US" w:eastAsia="en-US" w:bidi="ar-SA"/>
        </w:rPr>
        <w:t>Can. Bar Rev.</w:t>
      </w:r>
      <w:r>
        <w:rPr>
          <w:rFonts w:ascii="arial" w:eastAsia="arial" w:hAnsi="arial" w:cs="arial"/>
          <w:color w:val="000000"/>
          <w:sz w:val="20"/>
          <w:lang w:val="en-US" w:eastAsia="en-US" w:bidi="ar-SA"/>
        </w:rPr>
        <w:t xml:space="preserve"> 727, at p. 776.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task of this Court is to define aboriginal rights in a manner which recognizes that aboriginal rights are </w:t>
      </w:r>
      <w:r>
        <w:rPr>
          <w:rFonts w:ascii="arial" w:eastAsia="arial" w:hAnsi="arial" w:cs="arial"/>
          <w:color w:val="000000"/>
          <w:sz w:val="20"/>
          <w:u w:val="single"/>
          <w:lang w:val="en-US" w:eastAsia="en-US" w:bidi="ar-SA"/>
        </w:rPr>
        <w:t>rights</w:t>
      </w:r>
      <w:r>
        <w:rPr>
          <w:rFonts w:ascii="arial" w:eastAsia="arial" w:hAnsi="arial" w:cs="arial"/>
          <w:color w:val="000000"/>
          <w:sz w:val="20"/>
          <w:lang w:val="en-US" w:eastAsia="en-US" w:bidi="ar-SA"/>
        </w:rPr>
        <w:t xml:space="preserve"> but which does so without losing sight of the fact that they are rights held by aboriginal people because they are </w:t>
      </w:r>
      <w:r>
        <w:rPr>
          <w:rFonts w:ascii="arial" w:eastAsia="arial" w:hAnsi="arial" w:cs="arial"/>
          <w:color w:val="000000"/>
          <w:sz w:val="20"/>
          <w:u w:val="single"/>
          <w:lang w:val="en-US" w:eastAsia="en-US" w:bidi="ar-SA"/>
        </w:rPr>
        <w:t>aboriginal</w:t>
      </w:r>
      <w:r>
        <w:rPr>
          <w:rFonts w:ascii="arial" w:eastAsia="arial" w:hAnsi="arial" w:cs="arial"/>
          <w:color w:val="000000"/>
          <w:sz w:val="20"/>
          <w:lang w:val="en-US" w:eastAsia="en-US" w:bidi="ar-SA"/>
        </w:rPr>
        <w:t xml:space="preserve">. The Court must neither lose sight of the generalized constitutional status of what s. 35(1) protects, nor can it ignore the necessary specificity which comes from granting special constitutional protection to one part of Canadian society. The Court must define the scope of s. 35(1) in a way which captures </w:t>
      </w:r>
      <w:r>
        <w:rPr>
          <w:rFonts w:ascii="arial" w:eastAsia="arial" w:hAnsi="arial" w:cs="arial"/>
          <w:color w:val="000000"/>
          <w:sz w:val="20"/>
          <w:u w:val="single"/>
          <w:lang w:val="en-US" w:eastAsia="en-US" w:bidi="ar-SA"/>
        </w:rPr>
        <w:t>both</w:t>
      </w:r>
      <w:r>
        <w:rPr>
          <w:rFonts w:ascii="arial" w:eastAsia="arial" w:hAnsi="arial" w:cs="arial"/>
          <w:color w:val="000000"/>
          <w:sz w:val="20"/>
          <w:lang w:val="en-US" w:eastAsia="en-US" w:bidi="ar-SA"/>
        </w:rPr>
        <w:t xml:space="preserve"> the aboriginal and the rights in aboriginal rights.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1023</w:t>
      </w:r>
      <w:r>
        <w:rPr>
          <w:rFonts w:ascii="arial" w:eastAsia="arial" w:hAnsi="arial" w:cs="arial"/>
          <w:color w:val="000000"/>
          <w:sz w:val="20"/>
          <w:lang w:val="en-US" w:eastAsia="en-US" w:bidi="ar-SA"/>
        </w:rPr>
        <w:t xml:space="preserve">  I have found the judgments of both the majority and minority in </w:t>
      </w:r>
      <w:r>
        <w:rPr>
          <w:rFonts w:ascii="arial" w:eastAsia="arial" w:hAnsi="arial" w:cs="arial"/>
          <w:b/>
          <w:i/>
          <w:color w:val="000000"/>
          <w:sz w:val="20"/>
          <w:lang w:val="en-US" w:eastAsia="en-US" w:bidi="ar-SA"/>
        </w:rPr>
        <w:t>Morris</w:t>
      </w:r>
      <w:r>
        <w:rPr>
          <w:rFonts w:ascii="arial" w:eastAsia="arial" w:hAnsi="arial" w:cs="arial"/>
          <w:color w:val="000000"/>
          <w:sz w:val="20"/>
          <w:lang w:val="en-US" w:eastAsia="en-US" w:bidi="ar-SA"/>
        </w:rPr>
        <w:t xml:space="preserve"> to be most helpful with respect to the approach to be taken here. Both the majority and dissent in </w:t>
      </w:r>
      <w:r>
        <w:rPr>
          <w:rFonts w:ascii="arial" w:eastAsia="arial" w:hAnsi="arial" w:cs="arial"/>
          <w:b/>
          <w:i/>
          <w:color w:val="000000"/>
          <w:sz w:val="20"/>
          <w:lang w:val="en-US" w:eastAsia="en-US" w:bidi="ar-SA"/>
        </w:rPr>
        <w:t>Morris</w:t>
      </w:r>
      <w:r>
        <w:rPr>
          <w:rFonts w:ascii="arial" w:eastAsia="arial" w:hAnsi="arial" w:cs="arial"/>
          <w:color w:val="000000"/>
          <w:sz w:val="20"/>
          <w:lang w:val="en-US" w:eastAsia="en-US" w:bidi="ar-SA"/>
        </w:rPr>
        <w:t xml:space="preserve"> approached the question of whether provincial legislation is valid or applicable under the constitutional division of powers (ss. 91 and 92) as a separate and distinct inquiry from the question of whether such legislation can be justified under the s. 35 framework. It appears there is no disagreement between the majority and the minority judges as to the analytical approach to be followed.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1024</w:t>
      </w:r>
      <w:r>
        <w:rPr>
          <w:rFonts w:ascii="arial" w:eastAsia="arial" w:hAnsi="arial" w:cs="arial"/>
          <w:color w:val="000000"/>
          <w:sz w:val="20"/>
          <w:lang w:val="en-US" w:eastAsia="en-US" w:bidi="ar-SA"/>
        </w:rPr>
        <w:t xml:space="preserve">  The first step is to determine whether the impugned provincial law falls within a provincial head of power. The </w:t>
      </w:r>
      <w:r>
        <w:rPr>
          <w:rFonts w:ascii="arial" w:eastAsia="arial" w:hAnsi="arial" w:cs="arial"/>
          <w:b/>
          <w:i/>
          <w:color w:val="000000"/>
          <w:sz w:val="20"/>
          <w:lang w:val="en-US" w:eastAsia="en-US" w:bidi="ar-SA"/>
        </w:rPr>
        <w:t>Forest Act</w:t>
      </w:r>
      <w:r>
        <w:rPr>
          <w:rFonts w:ascii="arial" w:eastAsia="arial" w:hAnsi="arial" w:cs="arial"/>
          <w:color w:val="000000"/>
          <w:sz w:val="20"/>
          <w:lang w:val="en-US" w:eastAsia="en-US" w:bidi="ar-SA"/>
        </w:rPr>
        <w:t xml:space="preserve"> is directed at the management of the provincial timber resource. It specifically manages the forest resources vested in the provincial Crown. In other words, the purpose of the Act is to manage and allocate the forest resources located on Crown land. Its pith and substance relates to a provincial head of power, specifically s. 92(5) and s. 92A(1)(b). It is not directed at any federal head of power.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1025</w:t>
      </w:r>
      <w:r>
        <w:rPr>
          <w:rFonts w:ascii="arial" w:eastAsia="arial" w:hAnsi="arial" w:cs="arial"/>
          <w:color w:val="000000"/>
          <w:sz w:val="20"/>
          <w:lang w:val="en-US" w:eastAsia="en-US" w:bidi="ar-SA"/>
        </w:rPr>
        <w:t xml:space="preserve">  Step two is a consideration of the paramountcy doctrine. Pursuant to that doctrine, "valid provincial legislation will be rendered inoperative if it enters into an operational conflict with valid federal legislation": </w:t>
      </w:r>
      <w:r>
        <w:rPr>
          <w:rFonts w:ascii="arial" w:eastAsia="arial" w:hAnsi="arial" w:cs="arial"/>
          <w:b/>
          <w:i/>
          <w:color w:val="000000"/>
          <w:sz w:val="20"/>
          <w:lang w:val="en-US" w:eastAsia="en-US" w:bidi="ar-SA"/>
        </w:rPr>
        <w:t>Morris</w:t>
      </w:r>
      <w:r>
        <w:rPr>
          <w:rFonts w:ascii="arial" w:eastAsia="arial" w:hAnsi="arial" w:cs="arial"/>
          <w:color w:val="000000"/>
          <w:sz w:val="20"/>
          <w:lang w:val="en-US" w:eastAsia="en-US" w:bidi="ar-SA"/>
        </w:rPr>
        <w:t>, para. 89. As there is no conflicting federal legislation, the paramountcy doctrine does not apply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1026</w:t>
      </w:r>
      <w:r>
        <w:rPr>
          <w:rFonts w:ascii="arial" w:eastAsia="arial" w:hAnsi="arial" w:cs="arial"/>
          <w:color w:val="000000"/>
          <w:sz w:val="20"/>
          <w:lang w:val="en-US" w:eastAsia="en-US" w:bidi="ar-SA"/>
        </w:rPr>
        <w:t xml:space="preserve">  The next step requires a consideration of whether the validly enacted legislation affects the core of a federal head of power. As stated in </w:t>
      </w:r>
      <w:r>
        <w:rPr>
          <w:rFonts w:ascii="arial" w:eastAsia="arial" w:hAnsi="arial" w:cs="arial"/>
          <w:b/>
          <w:i/>
          <w:color w:val="000000"/>
          <w:sz w:val="20"/>
          <w:lang w:val="en-US" w:eastAsia="en-US" w:bidi="ar-SA"/>
        </w:rPr>
        <w:t>Morris</w:t>
      </w:r>
      <w:r>
        <w:rPr>
          <w:rFonts w:ascii="arial" w:eastAsia="arial" w:hAnsi="arial" w:cs="arial"/>
          <w:color w:val="000000"/>
          <w:sz w:val="20"/>
          <w:lang w:val="en-US" w:eastAsia="en-US" w:bidi="ar-SA"/>
        </w:rPr>
        <w:t>, para. 90: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Under the doctrine of interjurisdictional immunity, valid provincial legislation is constitutionally inapplicable to the extent that it intrudes or touches upon core federal legislative competence over a particular matter. Thus, exclusive federal jurisdiction under s. 91(24) protects "core Indianness" from provincial intrusion: </w:t>
      </w:r>
      <w:r>
        <w:rPr>
          <w:rFonts w:ascii="arial" w:eastAsia="arial" w:hAnsi="arial" w:cs="arial"/>
          <w:i/>
          <w:color w:val="000000"/>
          <w:sz w:val="20"/>
          <w:lang w:val="en-US" w:eastAsia="en-US" w:bidi="ar-SA"/>
        </w:rPr>
        <w:t>Delgamuukw v. British Columbia</w:t>
      </w:r>
      <w:r>
        <w:rPr>
          <w:rFonts w:ascii="arial" w:eastAsia="arial" w:hAnsi="arial" w:cs="arial"/>
          <w:color w:val="000000"/>
          <w:sz w:val="20"/>
          <w:lang w:val="en-US" w:eastAsia="en-US" w:bidi="ar-SA"/>
        </w:rPr>
        <w:t xml:space="preserve">, </w:t>
      </w:r>
      <w:hyperlink r:id="rId656" w:history="1">
        <w:r>
          <w:rPr>
            <w:rFonts w:ascii="arial" w:eastAsia="arial" w:hAnsi="arial" w:cs="arial"/>
            <w:i/>
            <w:color w:val="0077CC"/>
            <w:sz w:val="20"/>
            <w:u w:val="single"/>
            <w:shd w:val="clear" w:color="auto" w:fill="FFFFFF"/>
            <w:lang w:val="en-US" w:eastAsia="en-US" w:bidi="ar-SA"/>
          </w:rPr>
          <w:t>[1997] 3 S.C.R. 1010</w:t>
        </w:r>
      </w:hyperlink>
      <w:r>
        <w:rPr>
          <w:rFonts w:ascii="arial" w:eastAsia="arial" w:hAnsi="arial" w:cs="arial"/>
          <w:color w:val="000000"/>
          <w:sz w:val="20"/>
          <w:lang w:val="en-US" w:eastAsia="en-US" w:bidi="ar-SA"/>
        </w:rPr>
        <w:t xml:space="preserve">, at para. 177. Valid provincial legislation which does not touch on "core Indianness" applies </w:t>
      </w:r>
      <w:r>
        <w:rPr>
          <w:rFonts w:ascii="arial" w:eastAsia="arial" w:hAnsi="arial" w:cs="arial"/>
          <w:i/>
          <w:color w:val="000000"/>
          <w:sz w:val="20"/>
          <w:lang w:val="en-US" w:eastAsia="en-US" w:bidi="ar-SA"/>
        </w:rPr>
        <w:t>ex proprio vigore.</w:t>
      </w:r>
      <w:r>
        <w:rPr>
          <w:rFonts w:ascii="arial" w:eastAsia="arial" w:hAnsi="arial" w:cs="arial"/>
          <w:color w:val="000000"/>
          <w:sz w:val="20"/>
          <w:lang w:val="en-US" w:eastAsia="en-US" w:bidi="ar-SA"/>
        </w:rPr>
        <w:t xml:space="preserve"> If a law does go to "core Indianness" the impugned provincial legislation will not apply unless it is incorporated into federal law by s. 88 of the </w:t>
      </w:r>
      <w:r>
        <w:rPr>
          <w:rFonts w:ascii="arial" w:eastAsia="arial" w:hAnsi="arial" w:cs="arial"/>
          <w:i/>
          <w:color w:val="000000"/>
          <w:sz w:val="20"/>
          <w:lang w:val="en-US" w:eastAsia="en-US" w:bidi="ar-SA"/>
        </w:rPr>
        <w:t>Indian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1027</w:t>
      </w:r>
      <w:r>
        <w:rPr>
          <w:rFonts w:ascii="arial" w:eastAsia="arial" w:hAnsi="arial" w:cs="arial"/>
          <w:color w:val="000000"/>
          <w:sz w:val="20"/>
          <w:lang w:val="en-US" w:eastAsia="en-US" w:bidi="ar-SA"/>
        </w:rPr>
        <w:t xml:space="preserve">  There can be no doubt that s. 35 Aboriginal rights are part of the core of federal jurisdiction under s. 91(24) of the </w:t>
      </w:r>
      <w:r>
        <w:rPr>
          <w:rFonts w:ascii="arial" w:eastAsia="arial" w:hAnsi="arial" w:cs="arial"/>
          <w:b/>
          <w:i/>
          <w:color w:val="000000"/>
          <w:sz w:val="20"/>
          <w:lang w:val="en-US" w:eastAsia="en-US" w:bidi="ar-SA"/>
        </w:rPr>
        <w:t>Constitution Act, 1867</w:t>
      </w:r>
      <w:r>
        <w:rPr>
          <w:rFonts w:ascii="arial" w:eastAsia="arial" w:hAnsi="arial" w:cs="arial"/>
          <w:color w:val="000000"/>
          <w:sz w:val="20"/>
          <w:lang w:val="en-US" w:eastAsia="en-US" w:bidi="ar-SA"/>
        </w:rPr>
        <w:t xml:space="preserve">, such that provincial legislation cannot extinguish Aboriginal rights. In </w:t>
      </w:r>
      <w:r>
        <w:rPr>
          <w:rFonts w:ascii="arial" w:eastAsia="arial" w:hAnsi="arial" w:cs="arial"/>
          <w:b/>
          <w:i/>
          <w:color w:val="000000"/>
          <w:sz w:val="20"/>
          <w:lang w:val="en-US" w:eastAsia="en-US" w:bidi="ar-SA"/>
        </w:rPr>
        <w:t>Delgamuukw</w:t>
      </w:r>
      <w:r>
        <w:rPr>
          <w:rFonts w:ascii="arial" w:eastAsia="arial" w:hAnsi="arial" w:cs="arial"/>
          <w:color w:val="000000"/>
          <w:sz w:val="20"/>
          <w:lang w:val="en-US" w:eastAsia="en-US" w:bidi="ar-SA"/>
        </w:rPr>
        <w:t>, Lamer C.J.C. described the extent of federal jurisdiction, as follows at paras. 177-178: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extent of federal jurisdiction over Indians has not been definitively addressed by this Court. We have not needed to do so because the </w:t>
      </w:r>
      <w:r>
        <w:rPr>
          <w:rFonts w:ascii="arial" w:eastAsia="arial" w:hAnsi="arial" w:cs="arial"/>
          <w:i/>
          <w:color w:val="000000"/>
          <w:sz w:val="20"/>
          <w:lang w:val="en-US" w:eastAsia="en-US" w:bidi="ar-SA"/>
        </w:rPr>
        <w:t>vires</w:t>
      </w:r>
      <w:r>
        <w:rPr>
          <w:rFonts w:ascii="arial" w:eastAsia="arial" w:hAnsi="arial" w:cs="arial"/>
          <w:color w:val="000000"/>
          <w:sz w:val="20"/>
          <w:lang w:val="en-US" w:eastAsia="en-US" w:bidi="ar-SA"/>
        </w:rPr>
        <w:t xml:space="preserve"> of federal legislation with respect to Indians, under the division of powers, has never been at issue. The cases which have come before the Court under s. 91(24) have implicated the question of jurisdiction over Indians from the other direction - whether provincial laws which on their face apply to Indians intrude on federal jurisdiction and are inapplicable to Indians to the extent of that intrusion. As I explain below, the Court has held that s. 91(24) protects a "core" of Indianness from provincial intrusion, through the doctrine of interjurisdictional immunity.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follows, at the very least, that this core falls within the scope of federal jurisdiction over Indians. That core, for reasons I will develop, encompasses aboriginal rights, including the rights that are recognized and affirmed by s. 35(1). Laws which purport to extinguish those rights therefore touch the core of Indianness which lies at the heart of s. 91(24), and are beyond the legislative competence of the provinces to enact. The core of Indianness encompasses the whole range of aboriginal rights that are protected by s. 35(1). Those rights include rights in relation to land; that part of the core derives from s. 91(24)'s reference to "Lands reserved for the Indians". But those rights also encompass practices, customs and traditions which are not tied to land as well; that part of the core can be traced to federal jurisdiction over "Indians".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1028</w:t>
      </w:r>
      <w:r>
        <w:rPr>
          <w:rFonts w:ascii="arial" w:eastAsia="arial" w:hAnsi="arial" w:cs="arial"/>
          <w:color w:val="000000"/>
          <w:sz w:val="20"/>
          <w:lang w:val="en-US" w:eastAsia="en-US" w:bidi="ar-SA"/>
        </w:rPr>
        <w:t xml:space="preserve">  However, as noted in para. 84 of </w:t>
      </w:r>
      <w:r>
        <w:rPr>
          <w:rFonts w:ascii="arial" w:eastAsia="arial" w:hAnsi="arial" w:cs="arial"/>
          <w:b/>
          <w:i/>
          <w:color w:val="000000"/>
          <w:sz w:val="20"/>
          <w:lang w:val="en-US" w:eastAsia="en-US" w:bidi="ar-SA"/>
        </w:rPr>
        <w:t>Morris</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Although s. 91(24) attributes exclusive jurisdiction over "Indians" and "Lands reserved for the Indians" to Parliament, valid provincial legislation normally applies to aboriginal persons. It is well established that "First Nations are not enclaves of federal power in a sea of provincial jurisdiction" (</w:t>
      </w:r>
      <w:r>
        <w:rPr>
          <w:rFonts w:ascii="arial" w:eastAsia="arial" w:hAnsi="arial" w:cs="arial"/>
          <w:i/>
          <w:color w:val="000000"/>
          <w:sz w:val="20"/>
          <w:lang w:val="en-US" w:eastAsia="en-US" w:bidi="ar-SA"/>
        </w:rPr>
        <w:t>Kitkatla Band v. British Columbia (Minister of Small Business, Tourism and Culture)</w:t>
      </w:r>
      <w:r>
        <w:rPr>
          <w:rFonts w:ascii="arial" w:eastAsia="arial" w:hAnsi="arial" w:cs="arial"/>
          <w:color w:val="000000"/>
          <w:sz w:val="20"/>
          <w:lang w:val="en-US" w:eastAsia="en-US" w:bidi="ar-SA"/>
        </w:rPr>
        <w:t xml:space="preserve">, </w:t>
      </w:r>
      <w:hyperlink r:id="rId698" w:history="1">
        <w:r>
          <w:rPr>
            <w:rFonts w:ascii="arial" w:eastAsia="arial" w:hAnsi="arial" w:cs="arial"/>
            <w:i/>
            <w:color w:val="0077CC"/>
            <w:sz w:val="20"/>
            <w:u w:val="single"/>
            <w:shd w:val="clear" w:color="auto" w:fill="FFFFFF"/>
            <w:lang w:val="en-US" w:eastAsia="en-US" w:bidi="ar-SA"/>
          </w:rPr>
          <w:t>[2002] 2 S.C.R. 146</w:t>
        </w:r>
      </w:hyperlink>
      <w:r>
        <w:rPr>
          <w:rFonts w:ascii="arial" w:eastAsia="arial" w:hAnsi="arial" w:cs="arial"/>
          <w:color w:val="000000"/>
          <w:sz w:val="20"/>
          <w:lang w:val="en-US" w:eastAsia="en-US" w:bidi="ar-SA"/>
        </w:rPr>
        <w:t xml:space="preserve">, </w:t>
      </w:r>
      <w:hyperlink r:id="rId698" w:history="1">
        <w:r>
          <w:rPr>
            <w:rFonts w:ascii="arial" w:eastAsia="arial" w:hAnsi="arial" w:cs="arial"/>
            <w:i/>
            <w:color w:val="0077CC"/>
            <w:sz w:val="20"/>
            <w:u w:val="single"/>
            <w:shd w:val="clear" w:color="auto" w:fill="FFFFFF"/>
            <w:lang w:val="en-US" w:eastAsia="en-US" w:bidi="ar-SA"/>
          </w:rPr>
          <w:t>2002 SCC 31</w:t>
        </w:r>
      </w:hyperlink>
      <w:r>
        <w:rPr>
          <w:rFonts w:ascii="arial" w:eastAsia="arial" w:hAnsi="arial" w:cs="arial"/>
          <w:color w:val="000000"/>
          <w:sz w:val="20"/>
          <w:lang w:val="en-US" w:eastAsia="en-US" w:bidi="ar-SA"/>
        </w:rPr>
        <w:t>, at para. 66).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1029</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Kitkatla Band</w:t>
      </w:r>
      <w:r>
        <w:rPr>
          <w:rFonts w:ascii="arial" w:eastAsia="arial" w:hAnsi="arial" w:cs="arial"/>
          <w:color w:val="000000"/>
          <w:sz w:val="20"/>
          <w:lang w:val="en-US" w:eastAsia="en-US" w:bidi="ar-SA"/>
        </w:rPr>
        <w:t xml:space="preserve"> the Supreme Court of Canada considered the applicability of the provincial </w:t>
      </w:r>
      <w:r>
        <w:rPr>
          <w:rFonts w:ascii="arial" w:eastAsia="arial" w:hAnsi="arial" w:cs="arial"/>
          <w:b/>
          <w:i/>
          <w:color w:val="000000"/>
          <w:sz w:val="20"/>
          <w:lang w:val="en-US" w:eastAsia="en-US" w:bidi="ar-SA"/>
        </w:rPr>
        <w:t>Heritage Conservation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187</w:t>
      </w:r>
      <w:r>
        <w:rPr>
          <w:rFonts w:ascii="arial" w:eastAsia="arial" w:hAnsi="arial" w:cs="arial"/>
          <w:color w:val="000000"/>
          <w:sz w:val="20"/>
          <w:lang w:val="en-US" w:eastAsia="en-US" w:bidi="ar-SA"/>
        </w:rPr>
        <w:t>. That Act regulates the protection of heritage sites and objects within the Province, including heritage sites and objects of Aboriginal origin. The Court held that not all objects altered by Aboriginal people as part of traditional use, or that had cultural, historical and scientific importance for First Nations in British Columbia were at the "core of Indianness". The Court emphasized that evidence has to be adduced with respect to the relationship between the objects and the Indian culture before the proposition could be accepted that the destruction of the objects impaired the status or capacity of Indians.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1030</w:t>
      </w:r>
      <w:r>
        <w:rPr>
          <w:rFonts w:ascii="arial" w:eastAsia="arial" w:hAnsi="arial" w:cs="arial"/>
          <w:color w:val="000000"/>
          <w:sz w:val="20"/>
          <w:lang w:val="en-US" w:eastAsia="en-US" w:bidi="ar-SA"/>
        </w:rPr>
        <w:t xml:space="preserve">  The removal of timber from Aboriginal title land does not extinguish the Aboriginal title. The title to the land would remain even if the land was impoverished by the removal of such a vital asset. I conclude that the provisions of the </w:t>
      </w:r>
      <w:r>
        <w:rPr>
          <w:rFonts w:ascii="arial" w:eastAsia="arial" w:hAnsi="arial" w:cs="arial"/>
          <w:b/>
          <w:i/>
          <w:color w:val="000000"/>
          <w:sz w:val="20"/>
          <w:lang w:val="en-US" w:eastAsia="en-US" w:bidi="ar-SA"/>
        </w:rPr>
        <w:t>Forest Act</w:t>
      </w:r>
      <w:r>
        <w:rPr>
          <w:rFonts w:ascii="arial" w:eastAsia="arial" w:hAnsi="arial" w:cs="arial"/>
          <w:color w:val="000000"/>
          <w:sz w:val="20"/>
          <w:lang w:val="en-US" w:eastAsia="en-US" w:bidi="ar-SA"/>
        </w:rPr>
        <w:t xml:space="preserve"> authorizing the management, acquisition, removal and sale of timber on Aboriginal title lands do affect the very core of Aboriginal title. These provisions of the </w:t>
      </w:r>
      <w:r>
        <w:rPr>
          <w:rFonts w:ascii="arial" w:eastAsia="arial" w:hAnsi="arial" w:cs="arial"/>
          <w:b/>
          <w:i/>
          <w:color w:val="000000"/>
          <w:sz w:val="20"/>
          <w:lang w:val="en-US" w:eastAsia="en-US" w:bidi="ar-SA"/>
        </w:rPr>
        <w:t>Forest Act</w:t>
      </w:r>
      <w:r>
        <w:rPr>
          <w:rFonts w:ascii="arial" w:eastAsia="arial" w:hAnsi="arial" w:cs="arial"/>
          <w:color w:val="000000"/>
          <w:sz w:val="20"/>
          <w:lang w:val="en-US" w:eastAsia="en-US" w:bidi="ar-SA"/>
        </w:rPr>
        <w:t xml:space="preserve"> purport to affect a primary asset on that land. Such forests are no longer a public asset, but an asset in the collective hands of the Aboriginal title holders. The Act purports to manage the asset in such a way as to render meaningless the Aboriginal right to manage the very land over which Aboriginal title is held.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1031</w:t>
      </w:r>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Forest Act</w:t>
      </w:r>
      <w:r>
        <w:rPr>
          <w:rFonts w:ascii="arial" w:eastAsia="arial" w:hAnsi="arial" w:cs="arial"/>
          <w:color w:val="000000"/>
          <w:sz w:val="20"/>
          <w:lang w:val="en-US" w:eastAsia="en-US" w:bidi="ar-SA"/>
        </w:rPr>
        <w:t xml:space="preserve">, an Act of general application, cannot apply to Aboriginal title land because the impact of its provisions all go to the core of Aboriginal title. The management, acquisition, removal and sale of this Aboriginal asset falls within the protected core of federal jurisdiction: </w:t>
      </w:r>
      <w:r>
        <w:rPr>
          <w:rFonts w:ascii="arial" w:eastAsia="arial" w:hAnsi="arial" w:cs="arial"/>
          <w:b/>
          <w:i/>
          <w:color w:val="000000"/>
          <w:sz w:val="20"/>
          <w:lang w:val="en-US" w:eastAsia="en-US" w:bidi="ar-SA"/>
        </w:rPr>
        <w:t>Simon v. The Queen,</w:t>
      </w:r>
      <w:r>
        <w:rPr>
          <w:rFonts w:ascii="arial" w:eastAsia="arial" w:hAnsi="arial" w:cs="arial"/>
          <w:color w:val="000000"/>
          <w:sz w:val="20"/>
          <w:lang w:val="en-US" w:eastAsia="en-US" w:bidi="ar-SA"/>
        </w:rPr>
        <w:t xml:space="preserve"> </w:t>
      </w:r>
      <w:hyperlink r:id="rId665" w:history="1">
        <w:r>
          <w:rPr>
            <w:rFonts w:ascii="arial" w:eastAsia="arial" w:hAnsi="arial" w:cs="arial"/>
            <w:i/>
            <w:color w:val="0077CC"/>
            <w:sz w:val="20"/>
            <w:u w:val="single"/>
            <w:shd w:val="clear" w:color="auto" w:fill="FFFFFF"/>
            <w:lang w:val="en-US" w:eastAsia="en-US" w:bidi="ar-SA"/>
          </w:rPr>
          <w:t>[1985] 2 S.C.R. 387</w:t>
        </w:r>
      </w:hyperlink>
      <w:r>
        <w:rPr>
          <w:rFonts w:ascii="arial" w:eastAsia="arial" w:hAnsi="arial" w:cs="arial"/>
          <w:color w:val="000000"/>
          <w:sz w:val="20"/>
          <w:lang w:val="en-US" w:eastAsia="en-US" w:bidi="ar-SA"/>
        </w:rPr>
        <w:t xml:space="preserve">, at p. 411; </w:t>
      </w:r>
      <w:r>
        <w:rPr>
          <w:rFonts w:ascii="arial" w:eastAsia="arial" w:hAnsi="arial" w:cs="arial"/>
          <w:b/>
          <w:i/>
          <w:color w:val="000000"/>
          <w:sz w:val="20"/>
          <w:lang w:val="en-US" w:eastAsia="en-US" w:bidi="ar-SA"/>
        </w:rPr>
        <w:t>Delgamuukw,</w:t>
      </w:r>
      <w:r>
        <w:rPr>
          <w:rFonts w:ascii="arial" w:eastAsia="arial" w:hAnsi="arial" w:cs="arial"/>
          <w:color w:val="000000"/>
          <w:sz w:val="20"/>
          <w:lang w:val="en-US" w:eastAsia="en-US" w:bidi="ar-SA"/>
        </w:rPr>
        <w:t xml:space="preserve"> at para. 178; </w:t>
      </w:r>
      <w:r>
        <w:rPr>
          <w:rFonts w:ascii="arial" w:eastAsia="arial" w:hAnsi="arial" w:cs="arial"/>
          <w:b/>
          <w:i/>
          <w:color w:val="000000"/>
          <w:sz w:val="20"/>
          <w:lang w:val="en-US" w:eastAsia="en-US" w:bidi="ar-SA"/>
        </w:rPr>
        <w:t>Morris,</w:t>
      </w:r>
      <w:r>
        <w:rPr>
          <w:rFonts w:ascii="arial" w:eastAsia="arial" w:hAnsi="arial" w:cs="arial"/>
          <w:color w:val="000000"/>
          <w:sz w:val="20"/>
          <w:lang w:val="en-US" w:eastAsia="en-US" w:bidi="ar-SA"/>
        </w:rPr>
        <w:t xml:space="preserve"> at para. 91.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1032</w:t>
      </w:r>
      <w:r>
        <w:rPr>
          <w:rFonts w:ascii="arial" w:eastAsia="arial" w:hAnsi="arial" w:cs="arial"/>
          <w:color w:val="000000"/>
          <w:sz w:val="20"/>
          <w:lang w:val="en-US" w:eastAsia="en-US" w:bidi="ar-SA"/>
        </w:rPr>
        <w:t xml:space="preserve">  Section 35 Aboriginal rights, including title, go to the core of Indianness and are protected under s. 91(24). On principle, they cannot be viewed any differently than Aboriginal treaty rights in that respect. While the exercise of the provisions of the </w:t>
      </w:r>
      <w:r>
        <w:rPr>
          <w:rFonts w:ascii="arial" w:eastAsia="arial" w:hAnsi="arial" w:cs="arial"/>
          <w:b/>
          <w:i/>
          <w:color w:val="000000"/>
          <w:sz w:val="20"/>
          <w:lang w:val="en-US" w:eastAsia="en-US" w:bidi="ar-SA"/>
        </w:rPr>
        <w:t>Forest Act</w:t>
      </w:r>
      <w:r>
        <w:rPr>
          <w:rFonts w:ascii="arial" w:eastAsia="arial" w:hAnsi="arial" w:cs="arial"/>
          <w:color w:val="000000"/>
          <w:sz w:val="20"/>
          <w:lang w:val="en-US" w:eastAsia="en-US" w:bidi="ar-SA"/>
        </w:rPr>
        <w:t xml:space="preserve"> to which I have just referred do not extinguish Aboriginal title, their exercise goes to the core of Aboriginal title. Accordingly, the doctrine of interjurisdictional immunity is engaged and the </w:t>
      </w:r>
      <w:r>
        <w:rPr>
          <w:rFonts w:ascii="arial" w:eastAsia="arial" w:hAnsi="arial" w:cs="arial"/>
          <w:b/>
          <w:i/>
          <w:color w:val="000000"/>
          <w:sz w:val="20"/>
          <w:lang w:val="en-US" w:eastAsia="en-US" w:bidi="ar-SA"/>
        </w:rPr>
        <w:t>Forest Act</w:t>
      </w:r>
      <w:r>
        <w:rPr>
          <w:rFonts w:ascii="arial" w:eastAsia="arial" w:hAnsi="arial" w:cs="arial"/>
          <w:color w:val="000000"/>
          <w:sz w:val="20"/>
          <w:lang w:val="en-US" w:eastAsia="en-US" w:bidi="ar-SA"/>
        </w:rPr>
        <w:t xml:space="preserve"> is inapplicable where it intrudes or touches upon forest resources located on Aboriginal title lands.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1033</w:t>
      </w:r>
      <w:r>
        <w:rPr>
          <w:rFonts w:ascii="arial" w:eastAsia="arial" w:hAnsi="arial" w:cs="arial"/>
          <w:color w:val="000000"/>
          <w:sz w:val="20"/>
          <w:lang w:val="en-US" w:eastAsia="en-US" w:bidi="ar-SA"/>
        </w:rPr>
        <w:t xml:space="preserve">  The fourth and final step in this analysis requires a consideration of s. 88 of the </w:t>
      </w:r>
      <w:r>
        <w:rPr>
          <w:rFonts w:ascii="arial" w:eastAsia="arial" w:hAnsi="arial" w:cs="arial"/>
          <w:b/>
          <w:i/>
          <w:color w:val="000000"/>
          <w:sz w:val="20"/>
          <w:lang w:val="en-US" w:eastAsia="en-US" w:bidi="ar-SA"/>
        </w:rPr>
        <w:t>Indian Act</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Subject to the terms of any treaty and any other Act of Parliament, all laws of general application from time to time in force in any province are applicable to and in respect of Indians in the province, except to the extent that those laws are inconsistent with this Act or the </w:t>
      </w:r>
      <w:r>
        <w:rPr>
          <w:rFonts w:ascii="arial" w:eastAsia="arial" w:hAnsi="arial" w:cs="arial"/>
          <w:i/>
          <w:color w:val="000000"/>
          <w:sz w:val="20"/>
          <w:lang w:val="en-US" w:eastAsia="en-US" w:bidi="ar-SA"/>
        </w:rPr>
        <w:t>First Nations Fiscal and Statistical Management Act</w:t>
      </w:r>
      <w:r>
        <w:rPr>
          <w:rFonts w:ascii="arial" w:eastAsia="arial" w:hAnsi="arial" w:cs="arial"/>
          <w:color w:val="000000"/>
          <w:sz w:val="20"/>
          <w:lang w:val="en-US" w:eastAsia="en-US" w:bidi="ar-SA"/>
        </w:rPr>
        <w:t>, or with any order, rule, regulation or law of a band made under those Acts, and except to the extent that those provincial laws make provision for any matter for which provision is made by or under those 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1034</w:t>
      </w:r>
      <w:r>
        <w:rPr>
          <w:rFonts w:ascii="arial" w:eastAsia="arial" w:hAnsi="arial" w:cs="arial"/>
          <w:color w:val="000000"/>
          <w:sz w:val="20"/>
          <w:lang w:val="en-US" w:eastAsia="en-US" w:bidi="ar-SA"/>
        </w:rPr>
        <w:t>  The defendants did not place any reliance on s. 88. Instead, they rested on their position that the doctrine of interjurisdictional immunity does not apply because a provincial law can infringe Aboriginal rights and title, subject to the test of justification.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1035</w:t>
      </w:r>
      <w:r>
        <w:rPr>
          <w:rFonts w:ascii="arial" w:eastAsia="arial" w:hAnsi="arial" w:cs="arial"/>
          <w:color w:val="000000"/>
          <w:sz w:val="20"/>
          <w:lang w:val="en-US" w:eastAsia="en-US" w:bidi="ar-SA"/>
        </w:rPr>
        <w:t xml:space="preserve">  Section 88 of the </w:t>
      </w:r>
      <w:r>
        <w:rPr>
          <w:rFonts w:ascii="arial" w:eastAsia="arial" w:hAnsi="arial" w:cs="arial"/>
          <w:b/>
          <w:i/>
          <w:color w:val="000000"/>
          <w:sz w:val="20"/>
          <w:lang w:val="en-US" w:eastAsia="en-US" w:bidi="ar-SA"/>
        </w:rPr>
        <w:t>Indian Act</w:t>
      </w:r>
      <w:r>
        <w:rPr>
          <w:rFonts w:ascii="arial" w:eastAsia="arial" w:hAnsi="arial" w:cs="arial"/>
          <w:color w:val="000000"/>
          <w:sz w:val="20"/>
          <w:lang w:val="en-US" w:eastAsia="en-US" w:bidi="ar-SA"/>
        </w:rPr>
        <w:t xml:space="preserve"> makes some provincial laws applicable to Indians by referential incorporation in the </w:t>
      </w:r>
      <w:r>
        <w:rPr>
          <w:rFonts w:ascii="arial" w:eastAsia="arial" w:hAnsi="arial" w:cs="arial"/>
          <w:b/>
          <w:i/>
          <w:color w:val="000000"/>
          <w:sz w:val="20"/>
          <w:lang w:val="en-US" w:eastAsia="en-US" w:bidi="ar-SA"/>
        </w:rPr>
        <w:t>Indian Act</w:t>
      </w:r>
      <w:r>
        <w:rPr>
          <w:rFonts w:ascii="arial" w:eastAsia="arial" w:hAnsi="arial" w:cs="arial"/>
          <w:color w:val="000000"/>
          <w:sz w:val="20"/>
          <w:lang w:val="en-US" w:eastAsia="en-US" w:bidi="ar-SA"/>
        </w:rPr>
        <w:t>. That section provides that the provincial laws of general application "are applicable to and in respect of Indians ..." There is no reference to the second element of s. 91(24), "Lands reserved for the Indians".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1036</w:t>
      </w:r>
      <w:r>
        <w:rPr>
          <w:rFonts w:ascii="arial" w:eastAsia="arial" w:hAnsi="arial" w:cs="arial"/>
          <w:color w:val="000000"/>
          <w:sz w:val="20"/>
          <w:lang w:val="en-US" w:eastAsia="en-US" w:bidi="ar-SA"/>
        </w:rPr>
        <w:t xml:space="preserve">  This question was raised and discussed in </w:t>
      </w:r>
      <w:r>
        <w:rPr>
          <w:rFonts w:ascii="arial" w:eastAsia="arial" w:hAnsi="arial" w:cs="arial"/>
          <w:b/>
          <w:i/>
          <w:color w:val="000000"/>
          <w:sz w:val="20"/>
          <w:lang w:val="en-US" w:eastAsia="en-US" w:bidi="ar-SA"/>
        </w:rPr>
        <w:t>Derrickson v. Derrickson</w:t>
      </w:r>
      <w:r>
        <w:rPr>
          <w:rFonts w:ascii="arial" w:eastAsia="arial" w:hAnsi="arial" w:cs="arial"/>
          <w:color w:val="000000"/>
          <w:sz w:val="20"/>
          <w:lang w:val="en-US" w:eastAsia="en-US" w:bidi="ar-SA"/>
        </w:rPr>
        <w:t xml:space="preserve">, </w:t>
      </w:r>
      <w:hyperlink r:id="rId705" w:history="1">
        <w:r>
          <w:rPr>
            <w:rFonts w:ascii="arial" w:eastAsia="arial" w:hAnsi="arial" w:cs="arial"/>
            <w:i/>
            <w:color w:val="0077CC"/>
            <w:sz w:val="20"/>
            <w:u w:val="single"/>
            <w:shd w:val="clear" w:color="auto" w:fill="FFFFFF"/>
            <w:lang w:val="en-US" w:eastAsia="en-US" w:bidi="ar-SA"/>
          </w:rPr>
          <w:t>[1986] 1 S.C.R. 285</w:t>
        </w:r>
      </w:hyperlink>
      <w:r>
        <w:rPr>
          <w:rFonts w:ascii="arial" w:eastAsia="arial" w:hAnsi="arial" w:cs="arial"/>
          <w:color w:val="000000"/>
          <w:sz w:val="20"/>
          <w:lang w:val="en-US" w:eastAsia="en-US" w:bidi="ar-SA"/>
        </w:rPr>
        <w:t xml:space="preserve">, at pp. 297-299. Chouinard J. concluded it was unnecessary to decide the question as the case turned on the application of the federal paramountcy doctrine. In </w:t>
      </w:r>
      <w:r>
        <w:rPr>
          <w:rFonts w:ascii="arial" w:eastAsia="arial" w:hAnsi="arial" w:cs="arial"/>
          <w:b/>
          <w:i/>
          <w:color w:val="000000"/>
          <w:sz w:val="20"/>
          <w:lang w:val="en-US" w:eastAsia="en-US" w:bidi="ar-SA"/>
        </w:rPr>
        <w:t>Cardinal v. Attorney General of Alberta</w:t>
      </w:r>
      <w:r>
        <w:rPr>
          <w:rFonts w:ascii="arial" w:eastAsia="arial" w:hAnsi="arial" w:cs="arial"/>
          <w:color w:val="000000"/>
          <w:sz w:val="20"/>
          <w:lang w:val="en-US" w:eastAsia="en-US" w:bidi="ar-SA"/>
        </w:rPr>
        <w:t xml:space="preserve">, </w:t>
      </w:r>
      <w:hyperlink r:id="rId706" w:history="1">
        <w:r>
          <w:rPr>
            <w:rFonts w:ascii="arial" w:eastAsia="arial" w:hAnsi="arial" w:cs="arial"/>
            <w:i/>
            <w:color w:val="0077CC"/>
            <w:sz w:val="20"/>
            <w:u w:val="single"/>
            <w:shd w:val="clear" w:color="auto" w:fill="FFFFFF"/>
            <w:lang w:val="en-US" w:eastAsia="en-US" w:bidi="ar-SA"/>
          </w:rPr>
          <w:t>[1974] S.C.R. 695</w:t>
        </w:r>
      </w:hyperlink>
      <w:r>
        <w:rPr>
          <w:rFonts w:ascii="arial" w:eastAsia="arial" w:hAnsi="arial" w:cs="arial"/>
          <w:color w:val="000000"/>
          <w:sz w:val="20"/>
          <w:lang w:val="en-US" w:eastAsia="en-US" w:bidi="ar-SA"/>
        </w:rPr>
        <w:t xml:space="preserve">, Laskin J. (as he then was) noted at p. 727 that s. 88 "deals only with Indians, not with Reserves ..." Laskin J. was writing for the minority in that decision; the majority did not address the question of the meaning and effect of s. 88. In </w:t>
      </w:r>
      <w:r>
        <w:rPr>
          <w:rFonts w:ascii="arial" w:eastAsia="arial" w:hAnsi="arial" w:cs="arial"/>
          <w:b/>
          <w:i/>
          <w:color w:val="000000"/>
          <w:sz w:val="20"/>
          <w:lang w:val="en-US" w:eastAsia="en-US" w:bidi="ar-SA"/>
        </w:rPr>
        <w:t>Paul</w:t>
      </w:r>
      <w:r>
        <w:rPr>
          <w:rFonts w:ascii="arial" w:eastAsia="arial" w:hAnsi="arial" w:cs="arial"/>
          <w:color w:val="000000"/>
          <w:sz w:val="20"/>
          <w:lang w:val="en-US" w:eastAsia="en-US" w:bidi="ar-SA"/>
        </w:rPr>
        <w:t>, at para. 12, the Court concluded there was no need to consider s. 88.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1037</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Derrickson v. Derrickson</w:t>
      </w:r>
      <w:r>
        <w:rPr>
          <w:rFonts w:ascii="arial" w:eastAsia="arial" w:hAnsi="arial" w:cs="arial"/>
          <w:color w:val="000000"/>
          <w:sz w:val="20"/>
          <w:lang w:val="en-US" w:eastAsia="en-US" w:bidi="ar-SA"/>
        </w:rPr>
        <w:t xml:space="preserve"> </w:t>
      </w:r>
      <w:hyperlink r:id="rId707" w:history="1">
        <w:r>
          <w:rPr>
            <w:rFonts w:ascii="arial" w:eastAsia="arial" w:hAnsi="arial" w:cs="arial"/>
            <w:i/>
            <w:color w:val="0077CC"/>
            <w:sz w:val="20"/>
            <w:u w:val="single"/>
            <w:shd w:val="clear" w:color="auto" w:fill="FFFFFF"/>
            <w:lang w:val="en-US" w:eastAsia="en-US" w:bidi="ar-SA"/>
          </w:rPr>
          <w:t>(1984), 51 B.C.L.R. 42</w:t>
        </w:r>
      </w:hyperlink>
      <w:r>
        <w:rPr>
          <w:rFonts w:ascii="arial" w:eastAsia="arial" w:hAnsi="arial" w:cs="arial"/>
          <w:color w:val="000000"/>
          <w:sz w:val="20"/>
          <w:lang w:val="en-US" w:eastAsia="en-US" w:bidi="ar-SA"/>
        </w:rPr>
        <w:t xml:space="preserve">, at p. 46, the B.C. Court of Appeal unanimously concluded that s. 88 does not apply to Indian reserve lands which, like Aboriginal title lands, are "Lands reserved for the Indians". (The Court of Appeal decision was affirmed by the Supreme Court of Canada, but this point was not addressed as noted in the foregoing paragraph.) In </w:t>
      </w:r>
      <w:r>
        <w:rPr>
          <w:rFonts w:ascii="arial" w:eastAsia="arial" w:hAnsi="arial" w:cs="arial"/>
          <w:b/>
          <w:i/>
          <w:color w:val="000000"/>
          <w:sz w:val="20"/>
          <w:lang w:val="en-US" w:eastAsia="en-US" w:bidi="ar-SA"/>
        </w:rPr>
        <w:t>Paul v. Forest Appeal Commission</w:t>
      </w:r>
      <w:r>
        <w:rPr>
          <w:rFonts w:ascii="arial" w:eastAsia="arial" w:hAnsi="arial" w:cs="arial"/>
          <w:color w:val="000000"/>
          <w:sz w:val="20"/>
          <w:lang w:val="en-US" w:eastAsia="en-US" w:bidi="ar-SA"/>
        </w:rPr>
        <w:t xml:space="preserve">, </w:t>
      </w:r>
      <w:hyperlink r:id="rId708" w:history="1">
        <w:r>
          <w:rPr>
            <w:rFonts w:ascii="arial" w:eastAsia="arial" w:hAnsi="arial" w:cs="arial"/>
            <w:i/>
            <w:color w:val="0077CC"/>
            <w:sz w:val="20"/>
            <w:u w:val="single"/>
            <w:shd w:val="clear" w:color="auto" w:fill="FFFFFF"/>
            <w:lang w:val="en-US" w:eastAsia="en-US" w:bidi="ar-SA"/>
          </w:rPr>
          <w:t>(2001), 89 B.C.L.R. (3d) 210</w:t>
        </w:r>
      </w:hyperlink>
      <w:r>
        <w:rPr>
          <w:rFonts w:ascii="arial" w:eastAsia="arial" w:hAnsi="arial" w:cs="arial"/>
          <w:color w:val="000000"/>
          <w:sz w:val="20"/>
          <w:lang w:val="en-US" w:eastAsia="en-US" w:bidi="ar-SA"/>
        </w:rPr>
        <w:t xml:space="preserve">, </w:t>
      </w:r>
      <w:hyperlink r:id="rId708" w:history="1">
        <w:r>
          <w:rPr>
            <w:rFonts w:ascii="arial" w:eastAsia="arial" w:hAnsi="arial" w:cs="arial"/>
            <w:i/>
            <w:color w:val="0077CC"/>
            <w:sz w:val="20"/>
            <w:u w:val="single"/>
            <w:shd w:val="clear" w:color="auto" w:fill="FFFFFF"/>
            <w:lang w:val="en-US" w:eastAsia="en-US" w:bidi="ar-SA"/>
          </w:rPr>
          <w:t>2001 BCCA 411</w:t>
        </w:r>
      </w:hyperlink>
      <w:r>
        <w:rPr>
          <w:rFonts w:ascii="arial" w:eastAsia="arial" w:hAnsi="arial" w:cs="arial"/>
          <w:color w:val="000000"/>
          <w:sz w:val="20"/>
          <w:lang w:val="en-US" w:eastAsia="en-US" w:bidi="ar-SA"/>
        </w:rPr>
        <w:t>, the majority of the Court of Appeal decided that s. 88 could not constitutionally invigorate provincial legislation in relation to its application to "aboriginal title and the main body of aboriginal rights which are intimately related to the use of land": para. 76. The Court of Appeal's decision was reversed, but not on this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1038</w:t>
      </w:r>
      <w:r>
        <w:rPr>
          <w:rFonts w:ascii="arial" w:eastAsia="arial" w:hAnsi="arial" w:cs="arial"/>
          <w:color w:val="000000"/>
          <w:sz w:val="20"/>
          <w:lang w:val="en-US" w:eastAsia="en-US" w:bidi="ar-SA"/>
        </w:rPr>
        <w:t xml:space="preserve">  Lysyk J. undertook an extensive analysis of this question in </w:t>
      </w:r>
      <w:r>
        <w:rPr>
          <w:rFonts w:ascii="arial" w:eastAsia="arial" w:hAnsi="arial" w:cs="arial"/>
          <w:b/>
          <w:i/>
          <w:color w:val="000000"/>
          <w:sz w:val="20"/>
          <w:lang w:val="en-US" w:eastAsia="en-US" w:bidi="ar-SA"/>
        </w:rPr>
        <w:t>Stoney Creek Indian Band v. British Columbia</w:t>
      </w:r>
      <w:r>
        <w:rPr>
          <w:rFonts w:ascii="arial" w:eastAsia="arial" w:hAnsi="arial" w:cs="arial"/>
          <w:color w:val="000000"/>
          <w:sz w:val="20"/>
          <w:lang w:val="en-US" w:eastAsia="en-US" w:bidi="ar-SA"/>
        </w:rPr>
        <w:t xml:space="preserve">, </w:t>
      </w:r>
      <w:hyperlink r:id="rId709" w:history="1">
        <w:r>
          <w:rPr>
            <w:rFonts w:ascii="arial" w:eastAsia="arial" w:hAnsi="arial" w:cs="arial"/>
            <w:i/>
            <w:color w:val="0077CC"/>
            <w:sz w:val="20"/>
            <w:u w:val="single"/>
            <w:shd w:val="clear" w:color="auto" w:fill="FFFFFF"/>
            <w:lang w:val="en-US" w:eastAsia="en-US" w:bidi="ar-SA"/>
          </w:rPr>
          <w:t>[1999] 1 C.N.L.R. 192</w:t>
        </w:r>
      </w:hyperlink>
      <w:r>
        <w:rPr>
          <w:rFonts w:ascii="arial" w:eastAsia="arial" w:hAnsi="arial" w:cs="arial"/>
          <w:color w:val="000000"/>
          <w:sz w:val="20"/>
          <w:lang w:val="en-US" w:eastAsia="en-US" w:bidi="ar-SA"/>
        </w:rPr>
        <w:t xml:space="preserve"> (B.C.S.C.), reversed on other grounds, </w:t>
      </w:r>
      <w:hyperlink r:id="rId710" w:history="1">
        <w:r>
          <w:rPr>
            <w:rFonts w:ascii="arial" w:eastAsia="arial" w:hAnsi="arial" w:cs="arial"/>
            <w:i/>
            <w:color w:val="0077CC"/>
            <w:sz w:val="20"/>
            <w:u w:val="single"/>
            <w:shd w:val="clear" w:color="auto" w:fill="FFFFFF"/>
            <w:lang w:val="en-US" w:eastAsia="en-US" w:bidi="ar-SA"/>
          </w:rPr>
          <w:t>1999 BCCA 527</w:t>
        </w:r>
      </w:hyperlink>
      <w:r>
        <w:rPr>
          <w:rFonts w:ascii="arial" w:eastAsia="arial" w:hAnsi="arial" w:cs="arial"/>
          <w:color w:val="000000"/>
          <w:sz w:val="20"/>
          <w:lang w:val="en-US" w:eastAsia="en-US" w:bidi="ar-SA"/>
        </w:rPr>
        <w:t>. He concluded that s. 88 did not constitutionally invigorate provincial laws in their application to Indian lands.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1039</w:t>
      </w:r>
      <w:r>
        <w:rPr>
          <w:rFonts w:ascii="arial" w:eastAsia="arial" w:hAnsi="arial" w:cs="arial"/>
          <w:color w:val="000000"/>
          <w:sz w:val="20"/>
          <w:lang w:val="en-US" w:eastAsia="en-US" w:bidi="ar-SA"/>
        </w:rPr>
        <w:t xml:space="preserve">  The application of s. 88 to "Lands reserved for the Indians" has not been conclusively resolved by the Supreme Court of Canada. On a consideration of the case law outlined above, I conclude that provision is directed only to "Indians" and cannot be used to invigorate provincial legislation in its application to Aboriginal title lands. This view accords with the opinions expressed by Kent McNeil in </w:t>
      </w:r>
      <w:r>
        <w:rPr>
          <w:rFonts w:ascii="arial" w:eastAsia="arial" w:hAnsi="arial" w:cs="arial"/>
          <w:b/>
          <w:i/>
          <w:color w:val="000000"/>
          <w:sz w:val="20"/>
          <w:lang w:val="en-US" w:eastAsia="en-US" w:bidi="ar-SA"/>
        </w:rPr>
        <w:t>"Aboriginal Title and Section 88 of the Indian Act"</w:t>
      </w:r>
      <w:r>
        <w:rPr>
          <w:rFonts w:ascii="arial" w:eastAsia="arial" w:hAnsi="arial" w:cs="arial"/>
          <w:color w:val="000000"/>
          <w:sz w:val="20"/>
          <w:lang w:val="en-US" w:eastAsia="en-US" w:bidi="ar-SA"/>
        </w:rPr>
        <w:t xml:space="preserve"> </w:t>
      </w:r>
      <w:hyperlink r:id="rId711" w:history="1">
        <w:r>
          <w:rPr>
            <w:rFonts w:ascii="arial" w:eastAsia="arial" w:hAnsi="arial" w:cs="arial"/>
            <w:i/>
            <w:color w:val="0077CC"/>
            <w:sz w:val="20"/>
            <w:u w:val="single"/>
            <w:shd w:val="clear" w:color="auto" w:fill="FFFFFF"/>
            <w:lang w:val="en-US" w:eastAsia="en-US" w:bidi="ar-SA"/>
          </w:rPr>
          <w:t>(2000), 34 U.B.C.L. Rev. 159</w:t>
        </w:r>
      </w:hyperlink>
      <w:r>
        <w:rPr>
          <w:rFonts w:ascii="arial" w:eastAsia="arial" w:hAnsi="arial" w:cs="arial"/>
          <w:color w:val="000000"/>
          <w:sz w:val="20"/>
          <w:lang w:val="en-US" w:eastAsia="en-US" w:bidi="ar-SA"/>
        </w:rPr>
        <w:t>, and Brian Slattery in "</w:t>
      </w:r>
      <w:r>
        <w:rPr>
          <w:rFonts w:ascii="arial" w:eastAsia="arial" w:hAnsi="arial" w:cs="arial"/>
          <w:b/>
          <w:i/>
          <w:color w:val="000000"/>
          <w:sz w:val="20"/>
          <w:lang w:val="en-US" w:eastAsia="en-US" w:bidi="ar-SA"/>
        </w:rPr>
        <w:t>Understanding Aboriginal Rights</w:t>
      </w:r>
      <w:r>
        <w:rPr>
          <w:rFonts w:ascii="arial" w:eastAsia="arial" w:hAnsi="arial" w:cs="arial"/>
          <w:color w:val="000000"/>
          <w:sz w:val="20"/>
          <w:lang w:val="en-US" w:eastAsia="en-US" w:bidi="ar-SA"/>
        </w:rPr>
        <w:t>" (1987) 66 Can. Bar Rev. 727 at pp. 779-81.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1040</w:t>
      </w:r>
      <w:r>
        <w:rPr>
          <w:rFonts w:ascii="arial" w:eastAsia="arial" w:hAnsi="arial" w:cs="arial"/>
          <w:color w:val="000000"/>
          <w:sz w:val="20"/>
          <w:lang w:val="en-US" w:eastAsia="en-US" w:bidi="ar-SA"/>
        </w:rPr>
        <w:t xml:space="preserve">  I am supported in this conclusion by the dicta of Lambert J.A. in </w:t>
      </w:r>
      <w:r>
        <w:rPr>
          <w:rFonts w:ascii="arial" w:eastAsia="arial" w:hAnsi="arial" w:cs="arial"/>
          <w:b/>
          <w:i/>
          <w:color w:val="000000"/>
          <w:sz w:val="20"/>
          <w:lang w:val="en-US" w:eastAsia="en-US" w:bidi="ar-SA"/>
        </w:rPr>
        <w:t>Haida Nation</w:t>
      </w:r>
      <w:r>
        <w:rPr>
          <w:rFonts w:ascii="arial" w:eastAsia="arial" w:hAnsi="arial" w:cs="arial"/>
          <w:color w:val="000000"/>
          <w:sz w:val="20"/>
          <w:lang w:val="en-US" w:eastAsia="en-US" w:bidi="ar-SA"/>
        </w:rPr>
        <w:t xml:space="preserve"> (B.C.C.A.) where he said at paras. 78-79: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as a matter of constitutional analysis, aboriginal title must lie at the core of Indianness, so provincial laws of general application do not apply to aboriginal title of their own force and, arguably, can not be constitutionally invigorated by s. 88 of the </w:t>
      </w:r>
      <w:r>
        <w:rPr>
          <w:rFonts w:ascii="arial" w:eastAsia="arial" w:hAnsi="arial" w:cs="arial"/>
          <w:i/>
          <w:color w:val="000000"/>
          <w:sz w:val="20"/>
          <w:lang w:val="en-US" w:eastAsia="en-US" w:bidi="ar-SA"/>
        </w:rPr>
        <w:t>Indian Act</w:t>
      </w:r>
      <w:r>
        <w:rPr>
          <w:rFonts w:ascii="arial" w:eastAsia="arial" w:hAnsi="arial" w:cs="arial"/>
          <w:color w:val="000000"/>
          <w:sz w:val="20"/>
          <w:lang w:val="en-US" w:eastAsia="en-US" w:bidi="ar-SA"/>
        </w:rPr>
        <w:t xml:space="preserve"> because s. 88 applies to Indians but not to Indian lands, a distinction drawn from the wording of s. 91(24) of the </w:t>
      </w:r>
      <w:r>
        <w:rPr>
          <w:rFonts w:ascii="arial" w:eastAsia="arial" w:hAnsi="arial" w:cs="arial"/>
          <w:i/>
          <w:color w:val="000000"/>
          <w:sz w:val="20"/>
          <w:lang w:val="en-US" w:eastAsia="en-US" w:bidi="ar-SA"/>
        </w:rPr>
        <w:t>Constitution Act, 1867</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seeming inconsistency will be resolved in due course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1041</w:t>
      </w:r>
      <w:r>
        <w:rPr>
          <w:rFonts w:ascii="arial" w:eastAsia="arial" w:hAnsi="arial" w:cs="arial"/>
          <w:color w:val="000000"/>
          <w:sz w:val="20"/>
          <w:lang w:val="en-US" w:eastAsia="en-US" w:bidi="ar-SA"/>
        </w:rPr>
        <w:t xml:space="preserve">  I turn now to the question of whether provisions of the </w:t>
      </w:r>
      <w:r>
        <w:rPr>
          <w:rFonts w:ascii="arial" w:eastAsia="arial" w:hAnsi="arial" w:cs="arial"/>
          <w:b/>
          <w:i/>
          <w:color w:val="000000"/>
          <w:sz w:val="20"/>
          <w:lang w:val="en-US" w:eastAsia="en-US" w:bidi="ar-SA"/>
        </w:rPr>
        <w:t>Forest Act</w:t>
      </w:r>
      <w:r>
        <w:rPr>
          <w:rFonts w:ascii="arial" w:eastAsia="arial" w:hAnsi="arial" w:cs="arial"/>
          <w:color w:val="000000"/>
          <w:sz w:val="20"/>
          <w:lang w:val="en-US" w:eastAsia="en-US" w:bidi="ar-SA"/>
        </w:rPr>
        <w:t xml:space="preserve"> which allow for the management, acquisition, removal and sale of timber applies to Tsilhqot'in Aboriginal rights. These rights include:</w:t>
      </w:r>
      <w:r>
        <w:rPr>
          <w:rFonts w:ascii="arial" w:eastAsia="arial" w:hAnsi="arial" w:cs="arial"/>
          <w:sz w:val="20"/>
          <w:lang w:val="en-US" w:eastAsia="en-US" w:bidi="ar-SA"/>
        </w:rPr>
        <w:cr/>
      </w:r>
    </w:p>
    <w:p>
      <w:pPr>
        <w:numPr>
          <w:numId w:val="2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Tsilhqot'in Aboriginal right to hunt and trap birds and animals throughout the Claim Area for the purposes of securing animals for work and transportation, food, clothing, shelter, mats, blankets and crafts, as well as for spiritual, ceremonial, and cultural uses; and</w:t>
      </w:r>
    </w:p>
    <w:p>
      <w:pPr>
        <w:numPr>
          <w:numId w:val="2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Tsilhqot'in Aboriginal right to trade in skins and pelts as a means of securing a moderate livelihood.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1042</w:t>
      </w:r>
      <w:r>
        <w:rPr>
          <w:rFonts w:ascii="arial" w:eastAsia="arial" w:hAnsi="arial" w:cs="arial"/>
          <w:color w:val="000000"/>
          <w:sz w:val="20"/>
          <w:lang w:val="en-US" w:eastAsia="en-US" w:bidi="ar-SA"/>
        </w:rPr>
        <w:t xml:space="preserve">  In both situations, I conclude that the provisions of the </w:t>
      </w:r>
      <w:r>
        <w:rPr>
          <w:rFonts w:ascii="arial" w:eastAsia="arial" w:hAnsi="arial" w:cs="arial"/>
          <w:b/>
          <w:i/>
          <w:color w:val="000000"/>
          <w:sz w:val="20"/>
          <w:lang w:val="en-US" w:eastAsia="en-US" w:bidi="ar-SA"/>
        </w:rPr>
        <w:t>Forest Act</w:t>
      </w:r>
      <w:r>
        <w:rPr>
          <w:rFonts w:ascii="arial" w:eastAsia="arial" w:hAnsi="arial" w:cs="arial"/>
          <w:color w:val="000000"/>
          <w:sz w:val="20"/>
          <w:lang w:val="en-US" w:eastAsia="en-US" w:bidi="ar-SA"/>
        </w:rPr>
        <w:t xml:space="preserve"> do not go to the core of "Indianness" or to the core of these two Tsilhqot'in Aboriginal rights.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1043</w:t>
      </w:r>
      <w:r>
        <w:rPr>
          <w:rFonts w:ascii="arial" w:eastAsia="arial" w:hAnsi="arial" w:cs="arial"/>
          <w:color w:val="000000"/>
          <w:sz w:val="20"/>
          <w:lang w:val="en-US" w:eastAsia="en-US" w:bidi="ar-SA"/>
        </w:rPr>
        <w:t xml:space="preserve">  It bears repeating that this is the type of situation to which Lamer C.J.C. referred in </w:t>
      </w:r>
      <w:r>
        <w:rPr>
          <w:rFonts w:ascii="arial" w:eastAsia="arial" w:hAnsi="arial" w:cs="arial"/>
          <w:b/>
          <w:i/>
          <w:color w:val="000000"/>
          <w:sz w:val="20"/>
          <w:lang w:val="en-US" w:eastAsia="en-US" w:bidi="ar-SA"/>
        </w:rPr>
        <w:t>Delgamuukw</w:t>
      </w:r>
      <w:r>
        <w:rPr>
          <w:rFonts w:ascii="arial" w:eastAsia="arial" w:hAnsi="arial" w:cs="arial"/>
          <w:color w:val="000000"/>
          <w:sz w:val="20"/>
          <w:lang w:val="en-US" w:eastAsia="en-US" w:bidi="ar-SA"/>
        </w:rPr>
        <w:t>, when he said, at para. 160: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aboriginal rights recognized and affirmed by s. 35(1), including aboriginal title, are not absolute. Those rights may be infringed, both by the federal (e.g., </w:t>
      </w:r>
      <w:r>
        <w:rPr>
          <w:rFonts w:ascii="arial" w:eastAsia="arial" w:hAnsi="arial" w:cs="arial"/>
          <w:i/>
          <w:color w:val="000000"/>
          <w:sz w:val="20"/>
          <w:lang w:val="en-US" w:eastAsia="en-US" w:bidi="ar-SA"/>
        </w:rPr>
        <w:t>Sparrow</w:t>
      </w:r>
      <w:r>
        <w:rPr>
          <w:rFonts w:ascii="arial" w:eastAsia="arial" w:hAnsi="arial" w:cs="arial"/>
          <w:color w:val="000000"/>
          <w:sz w:val="20"/>
          <w:lang w:val="en-US" w:eastAsia="en-US" w:bidi="ar-SA"/>
        </w:rPr>
        <w:t xml:space="preserve">) and provincial (e.g., </w:t>
      </w:r>
      <w:r>
        <w:rPr>
          <w:rFonts w:ascii="arial" w:eastAsia="arial" w:hAnsi="arial" w:cs="arial"/>
          <w:i/>
          <w:color w:val="000000"/>
          <w:sz w:val="20"/>
          <w:lang w:val="en-US" w:eastAsia="en-US" w:bidi="ar-SA"/>
        </w:rPr>
        <w:t>Côté</w:t>
      </w:r>
      <w:r>
        <w:rPr>
          <w:rFonts w:ascii="arial" w:eastAsia="arial" w:hAnsi="arial" w:cs="arial"/>
          <w:color w:val="000000"/>
          <w:sz w:val="20"/>
          <w:lang w:val="en-US" w:eastAsia="en-US" w:bidi="ar-SA"/>
        </w:rPr>
        <w:t>) governments. However, s. 35(1) requires that those infringements satisfy the test of justification.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1044</w:t>
      </w:r>
      <w:r>
        <w:rPr>
          <w:rFonts w:ascii="arial" w:eastAsia="arial" w:hAnsi="arial" w:cs="arial"/>
          <w:color w:val="000000"/>
          <w:sz w:val="20"/>
          <w:lang w:val="en-US" w:eastAsia="en-US" w:bidi="ar-SA"/>
        </w:rPr>
        <w:t xml:space="preserve">  The application of the </w:t>
      </w:r>
      <w:r>
        <w:rPr>
          <w:rFonts w:ascii="arial" w:eastAsia="arial" w:hAnsi="arial" w:cs="arial"/>
          <w:b/>
          <w:i/>
          <w:color w:val="000000"/>
          <w:sz w:val="20"/>
          <w:lang w:val="en-US" w:eastAsia="en-US" w:bidi="ar-SA"/>
        </w:rPr>
        <w:t>Forest Act</w:t>
      </w:r>
      <w:r>
        <w:rPr>
          <w:rFonts w:ascii="arial" w:eastAsia="arial" w:hAnsi="arial" w:cs="arial"/>
          <w:color w:val="000000"/>
          <w:sz w:val="20"/>
          <w:lang w:val="en-US" w:eastAsia="en-US" w:bidi="ar-SA"/>
        </w:rPr>
        <w:t xml:space="preserve"> providing for the management, acquisition and removal of timber cannot be applied to a forest asset owned by an Aboriginal collective. Forestry activities might well infringe and, to some degree, impact upon an Aboriginal right other than title. In such circumstances, the Province would bear the burden of justification for the acts of infringement.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1045</w:t>
      </w:r>
      <w:r>
        <w:rPr>
          <w:rFonts w:ascii="arial" w:eastAsia="arial" w:hAnsi="arial" w:cs="arial"/>
          <w:color w:val="000000"/>
          <w:sz w:val="20"/>
          <w:lang w:val="en-US" w:eastAsia="en-US" w:bidi="ar-SA"/>
        </w:rPr>
        <w:t>  I summarize my conclusions as follows:</w:t>
      </w:r>
      <w:r>
        <w:rPr>
          <w:rFonts w:ascii="arial" w:eastAsia="arial" w:hAnsi="arial" w:cs="arial"/>
          <w:sz w:val="20"/>
          <w:lang w:val="en-US" w:eastAsia="en-US" w:bidi="ar-SA"/>
        </w:rPr>
        <w:cr/>
      </w:r>
    </w:p>
    <w:p>
      <w:pPr>
        <w:numPr>
          <w:numId w:val="2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Section 35 Aboriginal rights are part of the core of federal jurisdiction under s. 91(24) of the </w:t>
      </w:r>
      <w:r>
        <w:rPr>
          <w:rFonts w:ascii="arial" w:eastAsia="arial" w:hAnsi="arial" w:cs="arial"/>
          <w:b/>
          <w:i/>
          <w:color w:val="000000"/>
          <w:sz w:val="20"/>
          <w:lang w:val="en-US" w:eastAsia="en-US" w:bidi="ar-SA"/>
        </w:rPr>
        <w:t>Constitution Act, 1867</w:t>
      </w:r>
      <w:r>
        <w:rPr>
          <w:rFonts w:ascii="arial" w:eastAsia="arial" w:hAnsi="arial" w:cs="arial"/>
          <w:color w:val="000000"/>
          <w:sz w:val="20"/>
          <w:lang w:val="en-US" w:eastAsia="en-US" w:bidi="ar-SA"/>
        </w:rPr>
        <w:t xml:space="preserve">, such that provincial legislation cannot extinguish Aboriginal rights: </w:t>
      </w:r>
      <w:r>
        <w:rPr>
          <w:rFonts w:ascii="arial" w:eastAsia="arial" w:hAnsi="arial" w:cs="arial"/>
          <w:b/>
          <w:i/>
          <w:color w:val="000000"/>
          <w:sz w:val="20"/>
          <w:lang w:val="en-US" w:eastAsia="en-US" w:bidi="ar-SA"/>
        </w:rPr>
        <w:t>Delgamuukw</w:t>
      </w:r>
      <w:r>
        <w:rPr>
          <w:rFonts w:ascii="arial" w:eastAsia="arial" w:hAnsi="arial" w:cs="arial"/>
          <w:color w:val="000000"/>
          <w:sz w:val="20"/>
          <w:lang w:val="en-US" w:eastAsia="en-US" w:bidi="ar-SA"/>
        </w:rPr>
        <w:t xml:space="preserve"> (S.C.C.); </w:t>
      </w:r>
      <w:r>
        <w:rPr>
          <w:rFonts w:ascii="arial" w:eastAsia="arial" w:hAnsi="arial" w:cs="arial"/>
          <w:b/>
          <w:i/>
          <w:color w:val="000000"/>
          <w:sz w:val="20"/>
          <w:lang w:val="en-US" w:eastAsia="en-US" w:bidi="ar-SA"/>
        </w:rPr>
        <w:t>Morris</w:t>
      </w:r>
      <w:r>
        <w:rPr>
          <w:rFonts w:ascii="arial" w:eastAsia="arial" w:hAnsi="arial" w:cs="arial"/>
          <w:color w:val="000000"/>
          <w:sz w:val="20"/>
          <w:lang w:val="en-US" w:eastAsia="en-US" w:bidi="ar-SA"/>
        </w:rPr>
        <w:t xml:space="preserve"> (S.C.C.).</w:t>
      </w:r>
    </w:p>
    <w:p>
      <w:pPr>
        <w:numPr>
          <w:numId w:val="2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Provincial management of timber and the acquisition, removal and sale of timber by third parties under the provisions of the </w:t>
      </w:r>
      <w:r>
        <w:rPr>
          <w:rFonts w:ascii="arial" w:eastAsia="arial" w:hAnsi="arial" w:cs="arial"/>
          <w:b/>
          <w:i/>
          <w:color w:val="000000"/>
          <w:sz w:val="20"/>
          <w:lang w:val="en-US" w:eastAsia="en-US" w:bidi="ar-SA"/>
        </w:rPr>
        <w:t>Forest Act</w:t>
      </w:r>
      <w:r>
        <w:rPr>
          <w:rFonts w:ascii="arial" w:eastAsia="arial" w:hAnsi="arial" w:cs="arial"/>
          <w:color w:val="000000"/>
          <w:sz w:val="20"/>
          <w:lang w:val="en-US" w:eastAsia="en-US" w:bidi="ar-SA"/>
        </w:rPr>
        <w:t xml:space="preserve"> does not extinguish Aboriginal title.</w:t>
      </w:r>
    </w:p>
    <w:p>
      <w:pPr>
        <w:numPr>
          <w:numId w:val="2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provisions of the </w:t>
      </w:r>
      <w:r>
        <w:rPr>
          <w:rFonts w:ascii="arial" w:eastAsia="arial" w:hAnsi="arial" w:cs="arial"/>
          <w:b/>
          <w:i/>
          <w:color w:val="000000"/>
          <w:sz w:val="20"/>
          <w:lang w:val="en-US" w:eastAsia="en-US" w:bidi="ar-SA"/>
        </w:rPr>
        <w:t>Forest Act</w:t>
      </w:r>
      <w:r>
        <w:rPr>
          <w:rFonts w:ascii="arial" w:eastAsia="arial" w:hAnsi="arial" w:cs="arial"/>
          <w:color w:val="000000"/>
          <w:sz w:val="20"/>
          <w:lang w:val="en-US" w:eastAsia="en-US" w:bidi="ar-SA"/>
        </w:rPr>
        <w:t xml:space="preserve"> that provide for the acquisition, removal and sale of timber by third parties go to the core of "Indianness", or put in contemporary language, go to the core of Aboriginal title.</w:t>
      </w:r>
    </w:p>
    <w:p>
      <w:pPr>
        <w:numPr>
          <w:numId w:val="2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provisions of the </w:t>
      </w:r>
      <w:r>
        <w:rPr>
          <w:rFonts w:ascii="arial" w:eastAsia="arial" w:hAnsi="arial" w:cs="arial"/>
          <w:b/>
          <w:i/>
          <w:color w:val="000000"/>
          <w:sz w:val="20"/>
          <w:lang w:val="en-US" w:eastAsia="en-US" w:bidi="ar-SA"/>
        </w:rPr>
        <w:t>Forest Act</w:t>
      </w:r>
      <w:r>
        <w:rPr>
          <w:rFonts w:ascii="arial" w:eastAsia="arial" w:hAnsi="arial" w:cs="arial"/>
          <w:color w:val="000000"/>
          <w:sz w:val="20"/>
          <w:lang w:val="en-US" w:eastAsia="en-US" w:bidi="ar-SA"/>
        </w:rPr>
        <w:t xml:space="preserve"> do not apply to Aboriginal title land under the doctrine of interjurisdictional immunity.</w:t>
      </w:r>
    </w:p>
    <w:p>
      <w:pPr>
        <w:numPr>
          <w:numId w:val="2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same provisions do not go to the core of Tsilhqot'in Aboriginal rights. Any infringement of these rights by such activities must be justified by the Province.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1046</w:t>
      </w:r>
      <w:r>
        <w:rPr>
          <w:rFonts w:ascii="arial" w:eastAsia="arial" w:hAnsi="arial" w:cs="arial"/>
          <w:color w:val="000000"/>
          <w:sz w:val="20"/>
          <w:lang w:val="en-US" w:eastAsia="en-US" w:bidi="ar-SA"/>
        </w:rPr>
        <w:t>  The conclusions I have reached reaffirm the central role of Parliament in matters relating to Aboriginal Canadians. The denial or avoidance of this constitutional responsibility is unacceptable if there is to be a just reconciliation in this era of decolonization.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1047</w:t>
      </w:r>
      <w:r>
        <w:rPr>
          <w:rFonts w:ascii="arial" w:eastAsia="arial" w:hAnsi="arial" w:cs="arial"/>
          <w:color w:val="000000"/>
          <w:sz w:val="20"/>
          <w:lang w:val="en-US" w:eastAsia="en-US" w:bidi="ar-SA"/>
        </w:rPr>
        <w:t xml:space="preserve">  I am aware of the serious implications this conclusion will have on British Columbia. However, I agree with Professor Kent McNeil when he explains that long established principles have been conveniently ignored. At p. 194 of "Aboriginal Title and Section 88 of the </w:t>
      </w:r>
      <w:r>
        <w:rPr>
          <w:rFonts w:ascii="arial" w:eastAsia="arial" w:hAnsi="arial" w:cs="arial"/>
          <w:i/>
          <w:color w:val="000000"/>
          <w:sz w:val="20"/>
          <w:lang w:val="en-US" w:eastAsia="en-US" w:bidi="ar-SA"/>
        </w:rPr>
        <w:t>Indian Act</w:t>
      </w:r>
      <w:r>
        <w:rPr>
          <w:rFonts w:ascii="arial" w:eastAsia="arial" w:hAnsi="arial" w:cs="arial"/>
          <w:color w:val="000000"/>
          <w:sz w:val="20"/>
          <w:lang w:val="en-US" w:eastAsia="en-US" w:bidi="ar-SA"/>
        </w:rPr>
        <w:t>", he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Ever since the </w:t>
      </w:r>
      <w:r>
        <w:rPr>
          <w:rFonts w:ascii="arial" w:eastAsia="arial" w:hAnsi="arial" w:cs="arial"/>
          <w:i/>
          <w:color w:val="000000"/>
          <w:sz w:val="20"/>
          <w:lang w:val="en-US" w:eastAsia="en-US" w:bidi="ar-SA"/>
        </w:rPr>
        <w:t>St. Catherine's Milling</w:t>
      </w:r>
      <w:r>
        <w:rPr>
          <w:rFonts w:ascii="arial" w:eastAsia="arial" w:hAnsi="arial" w:cs="arial"/>
          <w:color w:val="000000"/>
          <w:sz w:val="20"/>
          <w:lang w:val="en-US" w:eastAsia="en-US" w:bidi="ar-SA"/>
        </w:rPr>
        <w:t xml:space="preserve"> decision in 1888, it has been apparent that exclusive federal jurisdiction over "[l]ands reserved for the Indians" might well include jurisdiction over Aboriginal title lands. So in acting as though it had constitutional authority over Aboriginal title lands in British Columbia, the province has skated on thin constitutional ice for over a century. In reality, it appears that the province has been violating Aboriginal title in an unconstitutional and therefore illegal fashion ever since it joined Canada in 1871. What is truly disturbing is not that the province can no longer do so, but that it has been able to get away with it for so many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1048</w:t>
      </w:r>
      <w:r>
        <w:rPr>
          <w:rFonts w:ascii="arial" w:eastAsia="arial" w:hAnsi="arial" w:cs="arial"/>
          <w:color w:val="000000"/>
          <w:sz w:val="20"/>
          <w:lang w:val="en-US" w:eastAsia="en-US" w:bidi="ar-SA"/>
        </w:rPr>
        <w:t>  The right of exclusive use and possession is fundamental to Aboriginal title. Aboriginal title confers a right to the land itself, and the right to determine how it will be used. Legislation that authorizes the granting of rights to harvest timber from these lands to third parties strikes at the very core of Aboriginal title. These legislative enactments are beyond the constitutional reach of the Province. They fall within the exclusive domain of Parliament under s. 91(24).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1049</w:t>
      </w:r>
      <w:r>
        <w:rPr>
          <w:rFonts w:ascii="arial" w:eastAsia="arial" w:hAnsi="arial" w:cs="arial"/>
          <w:color w:val="000000"/>
          <w:sz w:val="20"/>
          <w:lang w:val="en-US" w:eastAsia="en-US" w:bidi="ar-SA"/>
        </w:rPr>
        <w:t xml:space="preserve">  At all material times, the </w:t>
      </w:r>
      <w:r>
        <w:rPr>
          <w:rFonts w:ascii="arial" w:eastAsia="arial" w:hAnsi="arial" w:cs="arial"/>
          <w:b/>
          <w:i/>
          <w:color w:val="000000"/>
          <w:sz w:val="20"/>
          <w:lang w:val="en-US" w:eastAsia="en-US" w:bidi="ar-SA"/>
        </w:rPr>
        <w:t>Forest Act</w:t>
      </w:r>
      <w:r>
        <w:rPr>
          <w:rFonts w:ascii="arial" w:eastAsia="arial" w:hAnsi="arial" w:cs="arial"/>
          <w:color w:val="000000"/>
          <w:sz w:val="20"/>
          <w:lang w:val="en-US" w:eastAsia="en-US" w:bidi="ar-SA"/>
        </w:rPr>
        <w:t xml:space="preserve"> was and remains constitutionally inapplicable to the extent that it purports to authorize:</w:t>
      </w:r>
      <w:r>
        <w:rPr>
          <w:rFonts w:ascii="arial" w:eastAsia="arial" w:hAnsi="arial" w:cs="arial"/>
          <w:sz w:val="20"/>
          <w:lang w:val="en-US" w:eastAsia="en-US" w:bidi="ar-SA"/>
        </w:rPr>
        <w:cr/>
      </w:r>
    </w:p>
    <w:p>
      <w:pPr>
        <w:numPr>
          <w:numId w:val="2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inclusion of Tsilhqot'in Aboriginal title lands in the applicable Public Sustained Yield Units or in the Williams Lake Timber Supply Area;</w:t>
      </w:r>
    </w:p>
    <w:p>
      <w:pPr>
        <w:numPr>
          <w:numId w:val="2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issuance of Forestry Tenures and Authorizations that affect Tsilhqot'in Aboriginal title; or</w:t>
      </w:r>
    </w:p>
    <w:p>
      <w:pPr>
        <w:numPr>
          <w:numId w:val="2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strategic planning decisions with respect to the use, management and control of forest resources on Tsilhqot'in Aboriginal title lands.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 Submerged Lands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1050</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William v. British Columbia</w:t>
      </w:r>
      <w:r>
        <w:rPr>
          <w:rFonts w:ascii="arial" w:eastAsia="arial" w:hAnsi="arial" w:cs="arial"/>
          <w:color w:val="000000"/>
          <w:sz w:val="20"/>
          <w:lang w:val="en-US" w:eastAsia="en-US" w:bidi="ar-SA"/>
        </w:rPr>
        <w:t xml:space="preserve">, </w:t>
      </w:r>
      <w:hyperlink r:id="rId712" w:history="1">
        <w:r>
          <w:rPr>
            <w:rFonts w:ascii="arial" w:eastAsia="arial" w:hAnsi="arial" w:cs="arial"/>
            <w:i/>
            <w:color w:val="0077CC"/>
            <w:sz w:val="20"/>
            <w:u w:val="single"/>
            <w:shd w:val="clear" w:color="auto" w:fill="FFFFFF"/>
            <w:lang w:val="en-US" w:eastAsia="en-US" w:bidi="ar-SA"/>
          </w:rPr>
          <w:t>2006 BCSC 399</w:t>
        </w:r>
      </w:hyperlink>
      <w:r>
        <w:rPr>
          <w:rFonts w:ascii="arial" w:eastAsia="arial" w:hAnsi="arial" w:cs="arial"/>
          <w:color w:val="000000"/>
          <w:sz w:val="20"/>
          <w:lang w:val="en-US" w:eastAsia="en-US" w:bidi="ar-SA"/>
        </w:rPr>
        <w:t xml:space="preserve">, I concluded that the pleadings were inclusive of some rivers, lakes and streams. At para. 21 I found there is no plea of "any infringement of rights and title by Canada. Specifically, there is no plea that the exercise of federal jurisdiction under the </w:t>
      </w:r>
      <w:r>
        <w:rPr>
          <w:rFonts w:ascii="arial" w:eastAsia="arial" w:hAnsi="arial" w:cs="arial"/>
          <w:b/>
          <w:i/>
          <w:color w:val="000000"/>
          <w:sz w:val="20"/>
          <w:lang w:val="en-US" w:eastAsia="en-US" w:bidi="ar-SA"/>
        </w:rPr>
        <w:t>Navigable Waters Protection Act</w:t>
      </w:r>
      <w:r>
        <w:rPr>
          <w:rFonts w:ascii="arial" w:eastAsia="arial" w:hAnsi="arial" w:cs="arial"/>
          <w:color w:val="000000"/>
          <w:sz w:val="20"/>
          <w:lang w:val="en-US" w:eastAsia="en-US" w:bidi="ar-SA"/>
        </w:rPr>
        <w:t xml:space="preserve">, </w:t>
      </w:r>
      <w:hyperlink r:id="rId713" w:history="1">
        <w:r>
          <w:rPr>
            <w:rFonts w:ascii="arial" w:eastAsia="arial" w:hAnsi="arial" w:cs="arial"/>
            <w:i/>
            <w:color w:val="0077CC"/>
            <w:sz w:val="20"/>
            <w:u w:val="single"/>
            <w:shd w:val="clear" w:color="auto" w:fill="FFFFFF"/>
            <w:lang w:val="en-US" w:eastAsia="en-US" w:bidi="ar-SA"/>
          </w:rPr>
          <w:t>R.S.C. 1985, c. N-22</w:t>
        </w:r>
      </w:hyperlink>
      <w:r>
        <w:rPr>
          <w:rFonts w:ascii="arial" w:eastAsia="arial" w:hAnsi="arial" w:cs="arial"/>
          <w:color w:val="000000"/>
          <w:sz w:val="20"/>
          <w:lang w:val="en-US" w:eastAsia="en-US" w:bidi="ar-SA"/>
        </w:rPr>
        <w:t>, or any other federal legislative or administrative enactment, constitutes an infringement on the plaintiff's alleged rights and title".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1051</w:t>
      </w:r>
      <w:r>
        <w:rPr>
          <w:rFonts w:ascii="arial" w:eastAsia="arial" w:hAnsi="arial" w:cs="arial"/>
          <w:color w:val="000000"/>
          <w:sz w:val="20"/>
          <w:lang w:val="en-US" w:eastAsia="en-US" w:bidi="ar-SA"/>
        </w:rPr>
        <w:t>  As there was no claim of infringement of Aboriginal title over submerged lands, it is not necessary for me to consider this issue. There was evidence that Tsilhqot'in people used the lakes, rivers and streams to move about in bark canoes from time to time and for the purpose of resource gathering. While fishing was a large part of the seasonal rounds, the plaintiff does not allege an Aboriginal right to fish. The only evidence concerning the use of submerged lands related to the setting of weirs, traps or devices to assist in the sighting of fish that might, in some situations, lay on submerged 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1052</w:t>
      </w:r>
      <w:r>
        <w:rPr>
          <w:rFonts w:ascii="arial" w:eastAsia="arial" w:hAnsi="arial" w:cs="arial"/>
          <w:color w:val="000000"/>
          <w:sz w:val="20"/>
          <w:lang w:val="en-US" w:eastAsia="en-US" w:bidi="ar-SA"/>
        </w:rPr>
        <w:t>  In the circumstances, it is unnecessary to decide the effect, if any, of a declaration of Aboriginal title over submerged lands.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 INFRINGEMENT OF ABORIGINAL TITLE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1053</w:t>
      </w:r>
      <w:r>
        <w:rPr>
          <w:rFonts w:ascii="arial" w:eastAsia="arial" w:hAnsi="arial" w:cs="arial"/>
          <w:color w:val="000000"/>
          <w:sz w:val="20"/>
          <w:lang w:val="en-US" w:eastAsia="en-US" w:bidi="ar-SA"/>
        </w:rPr>
        <w:t xml:space="preserve">  I have concluded that the provisions of the </w:t>
      </w:r>
      <w:r>
        <w:rPr>
          <w:rFonts w:ascii="arial" w:eastAsia="arial" w:hAnsi="arial" w:cs="arial"/>
          <w:b/>
          <w:i/>
          <w:color w:val="000000"/>
          <w:sz w:val="20"/>
          <w:lang w:val="en-US" w:eastAsia="en-US" w:bidi="ar-SA"/>
        </w:rPr>
        <w:t>Forest Act</w:t>
      </w:r>
      <w:r>
        <w:rPr>
          <w:rFonts w:ascii="arial" w:eastAsia="arial" w:hAnsi="arial" w:cs="arial"/>
          <w:color w:val="000000"/>
          <w:sz w:val="20"/>
          <w:lang w:val="en-US" w:eastAsia="en-US" w:bidi="ar-SA"/>
        </w:rPr>
        <w:t xml:space="preserve"> do not apply to Aboriginal title land. If I am wrong, it becomes necessary for me to consider whether such legislation or the application of the legislative scheme established by the </w:t>
      </w:r>
      <w:r>
        <w:rPr>
          <w:rFonts w:ascii="arial" w:eastAsia="arial" w:hAnsi="arial" w:cs="arial"/>
          <w:b/>
          <w:i/>
          <w:color w:val="000000"/>
          <w:sz w:val="20"/>
          <w:lang w:val="en-US" w:eastAsia="en-US" w:bidi="ar-SA"/>
        </w:rPr>
        <w:t>Forest Act</w:t>
      </w:r>
      <w:r>
        <w:rPr>
          <w:rFonts w:ascii="arial" w:eastAsia="arial" w:hAnsi="arial" w:cs="arial"/>
          <w:color w:val="000000"/>
          <w:sz w:val="20"/>
          <w:lang w:val="en-US" w:eastAsia="en-US" w:bidi="ar-SA"/>
        </w:rPr>
        <w:t xml:space="preserve"> infringes Tsilhqot'in Aboriginal title. I conclude that the passing of the </w:t>
      </w:r>
      <w:r>
        <w:rPr>
          <w:rFonts w:ascii="arial" w:eastAsia="arial" w:hAnsi="arial" w:cs="arial"/>
          <w:b/>
          <w:i/>
          <w:color w:val="000000"/>
          <w:sz w:val="20"/>
          <w:lang w:val="en-US" w:eastAsia="en-US" w:bidi="ar-SA"/>
        </w:rPr>
        <w:t>Forest Act</w:t>
      </w:r>
      <w:r>
        <w:rPr>
          <w:rFonts w:ascii="arial" w:eastAsia="arial" w:hAnsi="arial" w:cs="arial"/>
          <w:color w:val="000000"/>
          <w:sz w:val="20"/>
          <w:lang w:val="en-US" w:eastAsia="en-US" w:bidi="ar-SA"/>
        </w:rPr>
        <w:t xml:space="preserve"> does not infringe Aboriginal title but I have no difficulty in finding that the application of the legislative scheme established by the provisions of the </w:t>
      </w:r>
      <w:r>
        <w:rPr>
          <w:rFonts w:ascii="arial" w:eastAsia="arial" w:hAnsi="arial" w:cs="arial"/>
          <w:b/>
          <w:i/>
          <w:color w:val="000000"/>
          <w:sz w:val="20"/>
          <w:lang w:val="en-US" w:eastAsia="en-US" w:bidi="ar-SA"/>
        </w:rPr>
        <w:t>Forest Act</w:t>
      </w:r>
      <w:r>
        <w:rPr>
          <w:rFonts w:ascii="arial" w:eastAsia="arial" w:hAnsi="arial" w:cs="arial"/>
          <w:color w:val="000000"/>
          <w:sz w:val="20"/>
          <w:lang w:val="en-US" w:eastAsia="en-US" w:bidi="ar-SA"/>
        </w:rPr>
        <w:t xml:space="preserve"> does infringe that title for the following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 General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1054</w:t>
      </w:r>
      <w:r>
        <w:rPr>
          <w:rFonts w:ascii="arial" w:eastAsia="arial" w:hAnsi="arial" w:cs="arial"/>
          <w:color w:val="000000"/>
          <w:sz w:val="20"/>
          <w:lang w:val="en-US" w:eastAsia="en-US" w:bidi="ar-SA"/>
        </w:rPr>
        <w:t xml:space="preserve">  Today we understand that Aboriginal title confers "the right to the land itself": </w:t>
      </w:r>
      <w:r>
        <w:rPr>
          <w:rFonts w:ascii="arial" w:eastAsia="arial" w:hAnsi="arial" w:cs="arial"/>
          <w:b/>
          <w:i/>
          <w:color w:val="000000"/>
          <w:sz w:val="20"/>
          <w:lang w:val="en-US" w:eastAsia="en-US" w:bidi="ar-SA"/>
        </w:rPr>
        <w:t>Delgamuukw</w:t>
      </w:r>
      <w:r>
        <w:rPr>
          <w:rFonts w:ascii="arial" w:eastAsia="arial" w:hAnsi="arial" w:cs="arial"/>
          <w:color w:val="000000"/>
          <w:sz w:val="20"/>
          <w:lang w:val="en-US" w:eastAsia="en-US" w:bidi="ar-SA"/>
        </w:rPr>
        <w:t xml:space="preserve"> (S.C.C.) at para. 138. Aboriginal title "encompasses the right to exclusive use and occupation of the land held pursuant to that title for a variety of purposes, which need not be aspects of those aboriginal practices, customs and traditions which are integral to distinctive aboriginal cultures": </w:t>
      </w:r>
      <w:r>
        <w:rPr>
          <w:rFonts w:ascii="arial" w:eastAsia="arial" w:hAnsi="arial" w:cs="arial"/>
          <w:b/>
          <w:i/>
          <w:color w:val="000000"/>
          <w:sz w:val="20"/>
          <w:lang w:val="en-US" w:eastAsia="en-US" w:bidi="ar-SA"/>
        </w:rPr>
        <w:t>Delgamuukw</w:t>
      </w:r>
      <w:r>
        <w:rPr>
          <w:rFonts w:ascii="arial" w:eastAsia="arial" w:hAnsi="arial" w:cs="arial"/>
          <w:color w:val="000000"/>
          <w:sz w:val="20"/>
          <w:lang w:val="en-US" w:eastAsia="en-US" w:bidi="ar-SA"/>
        </w:rPr>
        <w:t xml:space="preserve"> (S.C.C.) at para. 117. The Crown does not have a present proprietory interest in such lands. The Crown's interest is residual and is only perfected on surrender of the land by the Aboriginal title holders.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1055</w:t>
      </w:r>
      <w:r>
        <w:rPr>
          <w:rFonts w:ascii="arial" w:eastAsia="arial" w:hAnsi="arial" w:cs="arial"/>
          <w:color w:val="000000"/>
          <w:sz w:val="20"/>
          <w:lang w:val="en-US" w:eastAsia="en-US" w:bidi="ar-SA"/>
        </w:rPr>
        <w:t xml:space="preserve">  Aboriginal rights are not absolute. Infringement by the Crown "is justified in pursuance of a compelling and substantial legislative objective for the good of larger society": </w:t>
      </w:r>
      <w:r>
        <w:rPr>
          <w:rFonts w:ascii="arial" w:eastAsia="arial" w:hAnsi="arial" w:cs="arial"/>
          <w:b/>
          <w:i/>
          <w:color w:val="000000"/>
          <w:sz w:val="20"/>
          <w:lang w:val="en-US" w:eastAsia="en-US" w:bidi="ar-SA"/>
        </w:rPr>
        <w:t>Marshall; Bernard</w:t>
      </w:r>
      <w:r>
        <w:rPr>
          <w:rFonts w:ascii="arial" w:eastAsia="arial" w:hAnsi="arial" w:cs="arial"/>
          <w:color w:val="000000"/>
          <w:sz w:val="20"/>
          <w:lang w:val="en-US" w:eastAsia="en-US" w:bidi="ar-SA"/>
        </w:rPr>
        <w:t xml:space="preserve"> at para. 39, citing </w:t>
      </w:r>
      <w:r>
        <w:rPr>
          <w:rFonts w:ascii="arial" w:eastAsia="arial" w:hAnsi="arial" w:cs="arial"/>
          <w:b/>
          <w:i/>
          <w:color w:val="000000"/>
          <w:sz w:val="20"/>
          <w:lang w:val="en-US" w:eastAsia="en-US" w:bidi="ar-SA"/>
        </w:rPr>
        <w:t>Sparrow</w:t>
      </w:r>
      <w:r>
        <w:rPr>
          <w:rFonts w:ascii="arial" w:eastAsia="arial" w:hAnsi="arial" w:cs="arial"/>
          <w:color w:val="000000"/>
          <w:sz w:val="20"/>
          <w:lang w:val="en-US" w:eastAsia="en-US" w:bidi="ar-SA"/>
        </w:rPr>
        <w:t xml:space="preserve"> at p. 1113. This holds true for all Aboriginal rights.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1056</w:t>
      </w:r>
      <w:r>
        <w:rPr>
          <w:rFonts w:ascii="arial" w:eastAsia="arial" w:hAnsi="arial" w:cs="arial"/>
          <w:color w:val="000000"/>
          <w:sz w:val="20"/>
          <w:lang w:val="en-US" w:eastAsia="en-US" w:bidi="ar-SA"/>
        </w:rPr>
        <w:t xml:space="preserve">  The Supreme Court of Canada first established the infringement and justification framework in </w:t>
      </w:r>
      <w:r>
        <w:rPr>
          <w:rFonts w:ascii="arial" w:eastAsia="arial" w:hAnsi="arial" w:cs="arial"/>
          <w:b/>
          <w:i/>
          <w:color w:val="000000"/>
          <w:sz w:val="20"/>
          <w:lang w:val="en-US" w:eastAsia="en-US" w:bidi="ar-SA"/>
        </w:rPr>
        <w:t>Sparrow</w:t>
      </w:r>
      <w:r>
        <w:rPr>
          <w:rFonts w:ascii="arial" w:eastAsia="arial" w:hAnsi="arial" w:cs="arial"/>
          <w:color w:val="000000"/>
          <w:sz w:val="20"/>
          <w:lang w:val="en-US" w:eastAsia="en-US" w:bidi="ar-SA"/>
        </w:rPr>
        <w:t>. Dickson C.J.C. and La Forest J., writing jointly for the Court, described this framework as a vehicle for reconciling Aboriginal rights with the interests of the greater public. Starting from the premise that the Crown's powers must be reconciled with its duties to Aboriginal peoples, Dickson C.J.C. and La Forest J. at pp. 1109-1110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best way to achieve that reconciliation is to demand the justification of any government regulation that infringes upon or denies aboriginal rights. Such scrutiny is in keeping with the liberal interpretive principle enunciated in </w:t>
      </w:r>
      <w:r>
        <w:rPr>
          <w:rFonts w:ascii="arial" w:eastAsia="arial" w:hAnsi="arial" w:cs="arial"/>
          <w:i/>
          <w:color w:val="000000"/>
          <w:sz w:val="20"/>
          <w:lang w:val="en-US" w:eastAsia="en-US" w:bidi="ar-SA"/>
        </w:rPr>
        <w:t>Nowegijick</w:t>
      </w:r>
      <w:r>
        <w:rPr>
          <w:rFonts w:ascii="arial" w:eastAsia="arial" w:hAnsi="arial" w:cs="arial"/>
          <w:color w:val="000000"/>
          <w:sz w:val="20"/>
          <w:lang w:val="en-US" w:eastAsia="en-US" w:bidi="ar-SA"/>
        </w:rPr>
        <w:t xml:space="preserve"> </w:t>
      </w:r>
      <w:hyperlink r:id="rId714" w:history="1">
        <w:r>
          <w:rPr>
            <w:rFonts w:ascii="arial" w:eastAsia="arial" w:hAnsi="arial" w:cs="arial"/>
            <w:i/>
            <w:color w:val="0077CC"/>
            <w:sz w:val="20"/>
            <w:u w:val="single"/>
            <w:shd w:val="clear" w:color="auto" w:fill="FFFFFF"/>
            <w:lang w:val="en-US" w:eastAsia="en-US" w:bidi="ar-SA"/>
          </w:rPr>
          <w:t>[1983] 1 S.C.R. 29</w:t>
        </w:r>
      </w:hyperlink>
      <w:r>
        <w:rPr>
          <w:rFonts w:ascii="arial" w:eastAsia="arial" w:hAnsi="arial" w:cs="arial"/>
          <w:color w:val="000000"/>
          <w:sz w:val="20"/>
          <w:lang w:val="en-US" w:eastAsia="en-US" w:bidi="ar-SA"/>
        </w:rPr>
        <w:t>, and the concept of holding the Crown to a high standard of honourable dealing with respect to the aboriginal peoples of Canada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government is required to bear the burden of justifying any legislation that has some negative effect on any aboriginal right protected under s. 35(1).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1057</w:t>
      </w:r>
      <w:r>
        <w:rPr>
          <w:rFonts w:ascii="arial" w:eastAsia="arial" w:hAnsi="arial" w:cs="arial"/>
          <w:color w:val="000000"/>
          <w:sz w:val="20"/>
          <w:lang w:val="en-US" w:eastAsia="en-US" w:bidi="ar-SA"/>
        </w:rPr>
        <w:t xml:space="preserve">  The choice of language in </w:t>
      </w:r>
      <w:r>
        <w:rPr>
          <w:rFonts w:ascii="arial" w:eastAsia="arial" w:hAnsi="arial" w:cs="arial"/>
          <w:b/>
          <w:i/>
          <w:color w:val="000000"/>
          <w:sz w:val="20"/>
          <w:lang w:val="en-US" w:eastAsia="en-US" w:bidi="ar-SA"/>
        </w:rPr>
        <w:t>Sparrow</w:t>
      </w:r>
      <w:r>
        <w:rPr>
          <w:rFonts w:ascii="arial" w:eastAsia="arial" w:hAnsi="arial" w:cs="arial"/>
          <w:color w:val="000000"/>
          <w:sz w:val="20"/>
          <w:lang w:val="en-US" w:eastAsia="en-US" w:bidi="ar-SA"/>
        </w:rPr>
        <w:t xml:space="preserve"> is informative. Justification is demanded of government regulation "that infringes upon or denies aboriginal rights". The denial of Aboriginal rights, as well as infringement, demands justification.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1058</w:t>
      </w:r>
      <w:r>
        <w:rPr>
          <w:rFonts w:ascii="arial" w:eastAsia="arial" w:hAnsi="arial" w:cs="arial"/>
          <w:color w:val="000000"/>
          <w:sz w:val="20"/>
          <w:lang w:val="en-US" w:eastAsia="en-US" w:bidi="ar-SA"/>
        </w:rPr>
        <w:t xml:space="preserve">  A person claiming an Aboriginal right bears the onus of establishing that the government's conduct amounts to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infringement or denial of that right. Once this onus is discharged, the burden then shifts to the Crown to demonstrate that its conduct was justified. Proof of infringement of an Aboriginal right protected by s. 35(1) triggers the Crown's burden to justify its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1059</w:t>
      </w:r>
      <w:r>
        <w:rPr>
          <w:rFonts w:ascii="arial" w:eastAsia="arial" w:hAnsi="arial" w:cs="arial"/>
          <w:color w:val="000000"/>
          <w:sz w:val="20"/>
          <w:lang w:val="en-US" w:eastAsia="en-US" w:bidi="ar-SA"/>
        </w:rPr>
        <w:t xml:space="preserve">  The test for infringement was set out in </w:t>
      </w:r>
      <w:r>
        <w:rPr>
          <w:rFonts w:ascii="arial" w:eastAsia="arial" w:hAnsi="arial" w:cs="arial"/>
          <w:b/>
          <w:i/>
          <w:color w:val="000000"/>
          <w:sz w:val="20"/>
          <w:lang w:val="en-US" w:eastAsia="en-US" w:bidi="ar-SA"/>
        </w:rPr>
        <w:t>Sparrow</w:t>
      </w:r>
      <w:r>
        <w:rPr>
          <w:rFonts w:ascii="arial" w:eastAsia="arial" w:hAnsi="arial" w:cs="arial"/>
          <w:color w:val="000000"/>
          <w:sz w:val="20"/>
          <w:lang w:val="en-US" w:eastAsia="en-US" w:bidi="ar-SA"/>
        </w:rPr>
        <w:t xml:space="preserve"> at pp. 1111-1112,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first question to be asked is whether the legislation in question has the effect of interfering with an existing aboriginal right. If it does have such an effect, it represents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infringement of s. 35(1). Parliament is not expected to act in a manner contrary to the rights and interests of aboriginals, and, indeed, may be barred from doing so by the second stage of s. 35(1) analysis. The inquiry with respect to interference begins with a reference to the characteristics or incidents of the right at stake.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 determine whether the fishing rights have been interfered with such as to constitute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infringement of s. 35(1), certain questions must be asked. First, is the limitation unreasonable? Second, does the regulation impose undue hardship? Third, does the regulation deny to the holders of the right their preferred means of exercising that right? The onus of proving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infringement lies on the individual or group challenging the legislation.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1060</w:t>
      </w:r>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Sparrow</w:t>
      </w:r>
      <w:r>
        <w:rPr>
          <w:rFonts w:ascii="arial" w:eastAsia="arial" w:hAnsi="arial" w:cs="arial"/>
          <w:color w:val="000000"/>
          <w:sz w:val="20"/>
          <w:lang w:val="en-US" w:eastAsia="en-US" w:bidi="ar-SA"/>
        </w:rPr>
        <w:t xml:space="preserve"> test also requires the Court to consider the factual context in which the issue arises. This involves asking whether the purpose or effect of the legislation or regulation infringes the interests protected by the 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1061</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R. v. Gladstone</w:t>
      </w:r>
      <w:r>
        <w:rPr>
          <w:rFonts w:ascii="arial" w:eastAsia="arial" w:hAnsi="arial" w:cs="arial"/>
          <w:color w:val="000000"/>
          <w:sz w:val="20"/>
          <w:lang w:val="en-US" w:eastAsia="en-US" w:bidi="ar-SA"/>
        </w:rPr>
        <w:t xml:space="preserve">, </w:t>
      </w:r>
      <w:hyperlink r:id="rId715" w:history="1">
        <w:r>
          <w:rPr>
            <w:rFonts w:ascii="arial" w:eastAsia="arial" w:hAnsi="arial" w:cs="arial"/>
            <w:i/>
            <w:color w:val="0077CC"/>
            <w:sz w:val="20"/>
            <w:u w:val="single"/>
            <w:shd w:val="clear" w:color="auto" w:fill="FFFFFF"/>
            <w:lang w:val="en-US" w:eastAsia="en-US" w:bidi="ar-SA"/>
          </w:rPr>
          <w:t>[1996] 2 S.C.R. 723</w:t>
        </w:r>
      </w:hyperlink>
      <w:r>
        <w:rPr>
          <w:rFonts w:ascii="arial" w:eastAsia="arial" w:hAnsi="arial" w:cs="arial"/>
          <w:color w:val="000000"/>
          <w:sz w:val="20"/>
          <w:lang w:val="en-US" w:eastAsia="en-US" w:bidi="ar-SA"/>
        </w:rPr>
        <w:t xml:space="preserve">, the Supreme Court revisited the criteria for infringement of an Aboriginal right and further clarified the concepts raised in the </w:t>
      </w:r>
      <w:r>
        <w:rPr>
          <w:rFonts w:ascii="arial" w:eastAsia="arial" w:hAnsi="arial" w:cs="arial"/>
          <w:b/>
          <w:i/>
          <w:color w:val="000000"/>
          <w:sz w:val="20"/>
          <w:lang w:val="en-US" w:eastAsia="en-US" w:bidi="ar-SA"/>
        </w:rPr>
        <w:t>Sparrow</w:t>
      </w:r>
      <w:r>
        <w:rPr>
          <w:rFonts w:ascii="arial" w:eastAsia="arial" w:hAnsi="arial" w:cs="arial"/>
          <w:color w:val="000000"/>
          <w:sz w:val="20"/>
          <w:lang w:val="en-US" w:eastAsia="en-US" w:bidi="ar-SA"/>
        </w:rPr>
        <w:t xml:space="preserve"> case. In </w:t>
      </w:r>
      <w:r>
        <w:rPr>
          <w:rFonts w:ascii="arial" w:eastAsia="arial" w:hAnsi="arial" w:cs="arial"/>
          <w:b/>
          <w:i/>
          <w:color w:val="000000"/>
          <w:sz w:val="20"/>
          <w:lang w:val="en-US" w:eastAsia="en-US" w:bidi="ar-SA"/>
        </w:rPr>
        <w:t>Gladstone</w:t>
      </w:r>
      <w:r>
        <w:rPr>
          <w:rFonts w:ascii="arial" w:eastAsia="arial" w:hAnsi="arial" w:cs="arial"/>
          <w:color w:val="000000"/>
          <w:sz w:val="20"/>
          <w:lang w:val="en-US" w:eastAsia="en-US" w:bidi="ar-SA"/>
        </w:rPr>
        <w:t>, Lamer C.J.C., for the majority, stated, at para. 43: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i/>
          <w:color w:val="000000"/>
          <w:sz w:val="20"/>
          <w:lang w:val="en-US" w:eastAsia="en-US" w:bidi="ar-SA"/>
        </w:rPr>
        <w:t>Sparrow</w:t>
      </w:r>
      <w:r>
        <w:rPr>
          <w:rFonts w:ascii="arial" w:eastAsia="arial" w:hAnsi="arial" w:cs="arial"/>
          <w:color w:val="000000"/>
          <w:sz w:val="20"/>
          <w:lang w:val="en-US" w:eastAsia="en-US" w:bidi="ar-SA"/>
        </w:rPr>
        <w:t xml:space="preserve"> test for infringement might seem, at first glance, to be internally contradictory. On the one hand, the test states that the appellants need simply show that there has been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interference with their rights in order to demonstrate that those rights have been infringed, suggesting thereby that any meaningful diminution of the appellants' rights will constitute an infringement for the purpose of this analysis. On the other hand, the questions the test directs courts to answer in determining whether an infringement has taken place incorporate ideas such as unreasonableness and "undue" hardship, ideas which suggest that something more than meaningful diminution is required to demonstrate infringement. This internal contradiction is, however, more apparent than real. The questions asked by the Court in </w:t>
      </w:r>
      <w:r>
        <w:rPr>
          <w:rFonts w:ascii="arial" w:eastAsia="arial" w:hAnsi="arial" w:cs="arial"/>
          <w:i/>
          <w:color w:val="000000"/>
          <w:sz w:val="20"/>
          <w:lang w:val="en-US" w:eastAsia="en-US" w:bidi="ar-SA"/>
        </w:rPr>
        <w:t>Sparrow</w:t>
      </w:r>
      <w:r>
        <w:rPr>
          <w:rFonts w:ascii="arial" w:eastAsia="arial" w:hAnsi="arial" w:cs="arial"/>
          <w:color w:val="000000"/>
          <w:sz w:val="20"/>
          <w:lang w:val="en-US" w:eastAsia="en-US" w:bidi="ar-SA"/>
        </w:rPr>
        <w:t xml:space="preserve"> do not define the concept of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infringement; they only point to factors which will indicate that such an infringement has taken place. Simply because one of those questions is answered in the negative will not prohibit a finding by a court that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infringement has taken place; it will just be one factor for a court to consider in its determination of whether there has been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infringement.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1062</w:t>
      </w:r>
      <w:r>
        <w:rPr>
          <w:rFonts w:ascii="arial" w:eastAsia="arial" w:hAnsi="arial" w:cs="arial"/>
          <w:color w:val="000000"/>
          <w:sz w:val="20"/>
          <w:lang w:val="en-US" w:eastAsia="en-US" w:bidi="ar-SA"/>
        </w:rPr>
        <w:t xml:space="preserve">  The onus of establishing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infringement is not high. While the interference must be shown to have more than a </w:t>
      </w:r>
      <w:r>
        <w:rPr>
          <w:rFonts w:ascii="arial" w:eastAsia="arial" w:hAnsi="arial" w:cs="arial"/>
          <w:i/>
          <w:color w:val="000000"/>
          <w:sz w:val="20"/>
          <w:lang w:val="en-US" w:eastAsia="en-US" w:bidi="ar-SA"/>
        </w:rPr>
        <w:t>de minimis</w:t>
      </w:r>
      <w:r>
        <w:rPr>
          <w:rFonts w:ascii="arial" w:eastAsia="arial" w:hAnsi="arial" w:cs="arial"/>
          <w:color w:val="000000"/>
          <w:sz w:val="20"/>
          <w:lang w:val="en-US" w:eastAsia="en-US" w:bidi="ar-SA"/>
        </w:rPr>
        <w:t xml:space="preserve"> effect on Aboriginal rights, the claimant is only required to demonstrate that the claim of infringement is, on its face, meritorious. In </w:t>
      </w:r>
      <w:r>
        <w:rPr>
          <w:rFonts w:ascii="arial" w:eastAsia="arial" w:hAnsi="arial" w:cs="arial"/>
          <w:b/>
          <w:i/>
          <w:color w:val="000000"/>
          <w:sz w:val="20"/>
          <w:lang w:val="en-US" w:eastAsia="en-US" w:bidi="ar-SA"/>
        </w:rPr>
        <w:t>R. v. Sampson</w:t>
      </w:r>
      <w:r>
        <w:rPr>
          <w:rFonts w:ascii="arial" w:eastAsia="arial" w:hAnsi="arial" w:cs="arial"/>
          <w:color w:val="000000"/>
          <w:sz w:val="20"/>
          <w:lang w:val="en-US" w:eastAsia="en-US" w:bidi="ar-SA"/>
        </w:rPr>
        <w:t xml:space="preserve">, </w:t>
      </w:r>
      <w:hyperlink r:id="rId716" w:history="1">
        <w:r>
          <w:rPr>
            <w:rFonts w:ascii="arial" w:eastAsia="arial" w:hAnsi="arial" w:cs="arial"/>
            <w:i/>
            <w:color w:val="0077CC"/>
            <w:sz w:val="20"/>
            <w:u w:val="single"/>
            <w:shd w:val="clear" w:color="auto" w:fill="FFFFFF"/>
            <w:lang w:val="en-US" w:eastAsia="en-US" w:bidi="ar-SA"/>
          </w:rPr>
          <w:t>[1996] 2 C.N.L.R. 184</w:t>
        </w:r>
      </w:hyperlink>
      <w:r>
        <w:rPr>
          <w:rFonts w:ascii="arial" w:eastAsia="arial" w:hAnsi="arial" w:cs="arial"/>
          <w:color w:val="000000"/>
          <w:sz w:val="20"/>
          <w:lang w:val="en-US" w:eastAsia="en-US" w:bidi="ar-SA"/>
        </w:rPr>
        <w:t xml:space="preserve">, </w:t>
      </w:r>
      <w:hyperlink r:id="rId717" w:history="1">
        <w:r>
          <w:rPr>
            <w:rFonts w:ascii="arial" w:eastAsia="arial" w:hAnsi="arial" w:cs="arial"/>
            <w:i/>
            <w:color w:val="0077CC"/>
            <w:sz w:val="20"/>
            <w:u w:val="single"/>
            <w:shd w:val="clear" w:color="auto" w:fill="FFFFFF"/>
            <w:lang w:val="en-US" w:eastAsia="en-US" w:bidi="ar-SA"/>
          </w:rPr>
          <w:t>131 D.L.R. (4th) 192</w:t>
        </w:r>
      </w:hyperlink>
      <w:r>
        <w:rPr>
          <w:rFonts w:ascii="arial" w:eastAsia="arial" w:hAnsi="arial" w:cs="arial"/>
          <w:color w:val="000000"/>
          <w:sz w:val="20"/>
          <w:lang w:val="en-US" w:eastAsia="en-US" w:bidi="ar-SA"/>
        </w:rPr>
        <w:t>, at paras. 42-43, the B.C. Court of Appeal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fact that s. 35(1) of the Act does not fall within the ambit of s. 1 of the </w:t>
      </w:r>
      <w:r>
        <w:rPr>
          <w:rFonts w:ascii="arial" w:eastAsia="arial" w:hAnsi="arial" w:cs="arial"/>
          <w:b/>
          <w:i/>
          <w:color w:val="000000"/>
          <w:sz w:val="20"/>
          <w:lang w:val="en-US" w:eastAsia="en-US" w:bidi="ar-SA"/>
        </w:rPr>
        <w:t>Canadian Charter of Rights and Freedoms</w:t>
      </w:r>
      <w:r>
        <w:rPr>
          <w:rFonts w:ascii="arial" w:eastAsia="arial" w:hAnsi="arial" w:cs="arial"/>
          <w:color w:val="000000"/>
          <w:sz w:val="20"/>
          <w:lang w:val="en-US" w:eastAsia="en-US" w:bidi="ar-SA"/>
        </w:rPr>
        <w:t xml:space="preserve"> - as acknowledged in </w:t>
      </w:r>
      <w:r>
        <w:rPr>
          <w:rFonts w:ascii="arial" w:eastAsia="arial" w:hAnsi="arial" w:cs="arial"/>
          <w:i/>
          <w:color w:val="000000"/>
          <w:sz w:val="20"/>
          <w:lang w:val="en-US" w:eastAsia="en-US" w:bidi="ar-SA"/>
        </w:rPr>
        <w:t>Sparrow</w:t>
      </w:r>
      <w:r>
        <w:rPr>
          <w:rFonts w:ascii="arial" w:eastAsia="arial" w:hAnsi="arial" w:cs="arial"/>
          <w:color w:val="000000"/>
          <w:sz w:val="20"/>
          <w:lang w:val="en-US" w:eastAsia="en-US" w:bidi="ar-SA"/>
        </w:rPr>
        <w:t xml:space="preserve"> at p. 287 C.C.C., p. 408 D.L.R. - suggests that caution should be exercised in determining what factors are relevant to the issues involved in the first stage of the test - infringement. Consideration of factors which go to the issue of justification would minimize the importance of aboriginal rights established by s. 35(1).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purpose of the three questions posed in the first stage of the test (is the limitation unreasonable; does the regulation impose undue hardship; and does the regulation deny to the holders of the right their preferred means of exercising that right) is, in our view, to ensure that only meritorious claims are considered. The onus on the applicant is not heavy. The establishment of an infringement on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basis is sufficient. To include consideration of such factors as priority and consultation - factors which are relevant to the second stage of the test - would adversely affect the onus of proof resting upon the applicant. It would diminish the safeguard for aboriginal rights established by s. 35(1) as interpreted by the Supreme Court in </w:t>
      </w:r>
      <w:r>
        <w:rPr>
          <w:rFonts w:ascii="arial" w:eastAsia="arial" w:hAnsi="arial" w:cs="arial"/>
          <w:i/>
          <w:color w:val="000000"/>
          <w:sz w:val="20"/>
          <w:lang w:val="en-US" w:eastAsia="en-US" w:bidi="ar-SA"/>
        </w:rPr>
        <w:t>Sparrow</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1063</w:t>
      </w:r>
      <w:r>
        <w:rPr>
          <w:rFonts w:ascii="arial" w:eastAsia="arial" w:hAnsi="arial" w:cs="arial"/>
          <w:color w:val="000000"/>
          <w:sz w:val="20"/>
          <w:lang w:val="en-US" w:eastAsia="en-US" w:bidi="ar-SA"/>
        </w:rPr>
        <w:t>  The foregoing cases all dealt with an Aboriginal right, not Aboriginal title. A decision relating to infringement of Aboriginal title by government legislation or regulation has yet to be decided.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1064</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Delgamuukw</w:t>
      </w:r>
      <w:r>
        <w:rPr>
          <w:rFonts w:ascii="arial" w:eastAsia="arial" w:hAnsi="arial" w:cs="arial"/>
          <w:color w:val="000000"/>
          <w:sz w:val="20"/>
          <w:lang w:val="en-US" w:eastAsia="en-US" w:bidi="ar-SA"/>
        </w:rPr>
        <w:t xml:space="preserve"> at para. 166, Lamer C.J.C. explained that Aboriginal title encompasses three features: the right to exclusive use and occupation of land; the right to choose to what uses land can be put; and that lands held pursuant to Aboriginal title have an inescapable economic component.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1065</w:t>
      </w:r>
      <w:r>
        <w:rPr>
          <w:rFonts w:ascii="arial" w:eastAsia="arial" w:hAnsi="arial" w:cs="arial"/>
          <w:color w:val="000000"/>
          <w:sz w:val="20"/>
          <w:lang w:val="en-US" w:eastAsia="en-US" w:bidi="ar-SA"/>
        </w:rPr>
        <w:t>  There is potential for substantial interference with Aboriginal title at every stage of government land-use planning with respect to Aboriginal title lands. For example, the granting of conditional harvesting rights to third parties in an area encompassing land held subject to Aboriginal title stands in conflict with the right to exclusive use and occupation of the land, and the right to choose to what uses land can be put. Similarly, the economic impact of such grants may arise long before cutting occurs on the ground. Once it is known that the timber on Aboriginal title land is subject to conditional harvesting rights granted by the Crown, the economic value of that timber to the title holder is undermined.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1066</w:t>
      </w:r>
      <w:r>
        <w:rPr>
          <w:rFonts w:ascii="arial" w:eastAsia="arial" w:hAnsi="arial" w:cs="arial"/>
          <w:color w:val="000000"/>
          <w:sz w:val="20"/>
          <w:lang w:val="en-US" w:eastAsia="en-US" w:bidi="ar-SA"/>
        </w:rPr>
        <w:t xml:space="preserve">  To have any significance for Aboriginal people, Aboriginal title must bring with it the collective right to plan for the use and enjoyment of that land for generations to come. Prior to European colonization, the lands and forests of Tsilhqot'in traditional territory supplied Tsilhqot'in people with sustenance and protection from the elements, as well as a moderate livelihood. Tsilhqot'in people were able to make all land use decisions with respect to that territory. The imposition of the provincial forestry management scheme removes the ability of Tsilhqot'in people to control the uses to which the land is put. Such a scheme also creates uncertainty concerning the protection of the land and forests for future generations of Aboriginal rights holders. In addition, it deprives Tsilhqot'in people of the ability to realize certain economic gains associated with harvesting rights. In my view, this constitutes an unreasonable limitation on Aboriginal title, denying Tsilhqot'in people their preferred means of enjoying the benefits of such title. The cumulative effects of these government decisions with respect to timber harvesting on Aboriginal title lands constitute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infringement and requires justification.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1067</w:t>
      </w:r>
      <w:r>
        <w:rPr>
          <w:rFonts w:ascii="arial" w:eastAsia="arial" w:hAnsi="arial" w:cs="arial"/>
          <w:color w:val="000000"/>
          <w:sz w:val="20"/>
          <w:lang w:val="en-US" w:eastAsia="en-US" w:bidi="ar-SA"/>
        </w:rPr>
        <w:t>  The application of the provincial forestry scheme to Aboriginal title lands amounts to a clear denial of Aboriginal title. Planning to use the land and resources of an Aboriginal group without acknowledging the constitutionally entrenched interests of the Aboriginal group requires justification. Infringement or denial of title can occur at each stage of any land use process and so, at each stage, the Crown must justify its proposed actions with respect to Aboriginal title 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1068</w:t>
      </w:r>
      <w:r>
        <w:rPr>
          <w:rFonts w:ascii="arial" w:eastAsia="arial" w:hAnsi="arial" w:cs="arial"/>
          <w:color w:val="000000"/>
          <w:sz w:val="20"/>
          <w:lang w:val="en-US" w:eastAsia="en-US" w:bidi="ar-SA"/>
        </w:rPr>
        <w:t xml:space="preserve">  In the context of an Aboriginal right to fish, the directions in </w:t>
      </w:r>
      <w:r>
        <w:rPr>
          <w:rFonts w:ascii="arial" w:eastAsia="arial" w:hAnsi="arial" w:cs="arial"/>
          <w:b/>
          <w:i/>
          <w:color w:val="000000"/>
          <w:sz w:val="20"/>
          <w:lang w:val="en-US" w:eastAsia="en-US" w:bidi="ar-SA"/>
        </w:rPr>
        <w:t>Sparrow</w:t>
      </w:r>
      <w:r>
        <w:rPr>
          <w:rFonts w:ascii="arial" w:eastAsia="arial" w:hAnsi="arial" w:cs="arial"/>
          <w:color w:val="000000"/>
          <w:sz w:val="20"/>
          <w:lang w:val="en-US" w:eastAsia="en-US" w:bidi="ar-SA"/>
        </w:rPr>
        <w:t xml:space="preserve"> are clear. The court must determine the following: is the limitation unreasonable; does the regulation impose undue hardship; and does the regulation deny to the holders of the right their preferred means of exercising that right? An application of this test to Aboriginal title land is possible. By failing to acknowledge Aboriginal title, the Crown's plans for Aboriginal title land are unreasonable and impose undue hardship on the title holders. Land use planning that contemplates the removal of an asset attached to the land, without recognition of the true owner of that asset, denies to the holders of Aboriginal title the means of exercising and enjoying the benefits of such title.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1069</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Haida Nation</w:t>
      </w:r>
      <w:r>
        <w:rPr>
          <w:rFonts w:ascii="arial" w:eastAsia="arial" w:hAnsi="arial" w:cs="arial"/>
          <w:color w:val="000000"/>
          <w:sz w:val="20"/>
          <w:lang w:val="en-US" w:eastAsia="en-US" w:bidi="ar-SA"/>
        </w:rPr>
        <w:t xml:space="preserve"> (B.C.C.A.), at para. 81, Lambert J.A.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consider that the only real question at this stage is whether the aboriginal people have been constrained in the use of the land subject to the aboriginal title, or, in the case of an aboriginal right, whether the holders of the right have been prevented from exercising it by their preferred means.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1070</w:t>
      </w:r>
      <w:r>
        <w:rPr>
          <w:rFonts w:ascii="arial" w:eastAsia="arial" w:hAnsi="arial" w:cs="arial"/>
          <w:color w:val="000000"/>
          <w:sz w:val="20"/>
          <w:lang w:val="en-US" w:eastAsia="en-US" w:bidi="ar-SA"/>
        </w:rPr>
        <w:t>  British Columbia argues there is no evidence to suggest that Tsilhqot'in use of the land has been affected by provincial land use planning, by the inclusion of the land in the Williams Lake Timber Supply Area (TSA), or by the granting of timber licences. It seems to me that this argument misses an important point: Aboriginal title land does not vest in the Province such that they have the authority to engage in such activities. By so doing, the Province constrains the Aboriginal title holder's use of the land and deprives the Aboriginal group of the right to make decisions with regard to land use and resource extraction.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1071</w:t>
      </w:r>
      <w:r>
        <w:rPr>
          <w:rFonts w:ascii="arial" w:eastAsia="arial" w:hAnsi="arial" w:cs="arial"/>
          <w:color w:val="000000"/>
          <w:sz w:val="20"/>
          <w:lang w:val="en-US" w:eastAsia="en-US" w:bidi="ar-SA"/>
        </w:rPr>
        <w:t>  In addition, the argument advanced by British Columbia fails to acknowledge the denial of Aboriginal title implicit at every stage of the planning process. That denial also constitutes an infringement.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1072</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Haida Nation</w:t>
      </w:r>
      <w:r>
        <w:rPr>
          <w:rFonts w:ascii="arial" w:eastAsia="arial" w:hAnsi="arial" w:cs="arial"/>
          <w:color w:val="000000"/>
          <w:sz w:val="20"/>
          <w:lang w:val="en-US" w:eastAsia="en-US" w:bidi="ar-SA"/>
        </w:rPr>
        <w:t>, at para. 84, Lambert J.A.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 case of the provincial Crown, the infringing actions may be expected to lie in passing the </w:t>
      </w:r>
      <w:r>
        <w:rPr>
          <w:rFonts w:ascii="arial" w:eastAsia="arial" w:hAnsi="arial" w:cs="arial"/>
          <w:i/>
          <w:color w:val="000000"/>
          <w:sz w:val="20"/>
          <w:lang w:val="en-US" w:eastAsia="en-US" w:bidi="ar-SA"/>
        </w:rPr>
        <w:t>Forest Act</w:t>
      </w:r>
      <w:r>
        <w:rPr>
          <w:rFonts w:ascii="arial" w:eastAsia="arial" w:hAnsi="arial" w:cs="arial"/>
          <w:color w:val="000000"/>
          <w:sz w:val="20"/>
          <w:lang w:val="en-US" w:eastAsia="en-US" w:bidi="ar-SA"/>
        </w:rPr>
        <w:t>, issuing the Tree Farm Licence, approving the Management Plans, granting the Cutting Permits, and overseeing Weyerhaeuser's compliance with the scheme embodied in those legislative and exclusive licence provisions. I am only giving an outline of potential infringements.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1073</w:t>
      </w:r>
      <w:r>
        <w:rPr>
          <w:rFonts w:ascii="arial" w:eastAsia="arial" w:hAnsi="arial" w:cs="arial"/>
          <w:color w:val="000000"/>
          <w:sz w:val="20"/>
          <w:lang w:val="en-US" w:eastAsia="en-US" w:bidi="ar-SA"/>
        </w:rPr>
        <w:t xml:space="preserve">  The foregoing comments were </w:t>
      </w:r>
      <w:r>
        <w:rPr>
          <w:rFonts w:ascii="arial" w:eastAsia="arial" w:hAnsi="arial" w:cs="arial"/>
          <w:i/>
          <w:color w:val="000000"/>
          <w:sz w:val="20"/>
          <w:lang w:val="en-US" w:eastAsia="en-US" w:bidi="ar-SA"/>
        </w:rPr>
        <w:t>obiter dicta.</w:t>
      </w:r>
      <w:r>
        <w:rPr>
          <w:rFonts w:ascii="arial" w:eastAsia="arial" w:hAnsi="arial" w:cs="arial"/>
          <w:color w:val="000000"/>
          <w:sz w:val="20"/>
          <w:lang w:val="en-US" w:eastAsia="en-US" w:bidi="ar-SA"/>
        </w:rPr>
        <w:t xml:space="preserve"> Although Finch C.J.B.C. agreed with Lambert J.A., in the result, he did not endorse his reasons for judgment. Thus, the comments of Lambert J.A. stand alone. His remarks did not attract comment in the Supreme Court of Canada on appeal. As the Supreme Court of Canada did not look at the issue of infringement, their silence on the foregoing passage cannot be viewed as an endorsement of those comments.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1074</w:t>
      </w:r>
      <w:r>
        <w:rPr>
          <w:rFonts w:ascii="arial" w:eastAsia="arial" w:hAnsi="arial" w:cs="arial"/>
          <w:color w:val="000000"/>
          <w:sz w:val="20"/>
          <w:lang w:val="en-US" w:eastAsia="en-US" w:bidi="ar-SA"/>
        </w:rPr>
        <w:t xml:space="preserve">  I am not prepared to say that the mere passing of legislation by a provincial Legislative Assembly, even if it has the potential to infringe Aboriginal title land, is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infringement. For that reason, I do not consider the passing of any forestry legislation to be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infringement on Tsilhqot'in Aboriginal title land. It is not legislation directed at Aboriginal title land but general legislation concerning a Crown asset. It is only when public officials seek to engage the provisions of such legislation in relation to Aboriginal title land that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infringement occurs.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1075</w:t>
      </w:r>
      <w:r>
        <w:rPr>
          <w:rFonts w:ascii="arial" w:eastAsia="arial" w:hAnsi="arial" w:cs="arial"/>
          <w:color w:val="000000"/>
          <w:sz w:val="20"/>
          <w:lang w:val="en-US" w:eastAsia="en-US" w:bidi="ar-SA"/>
        </w:rPr>
        <w:t xml:space="preserve">  For example, when timber on Aboriginal title land is included in a TSA pursuant to the relevant legislation, there is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infringement of Aboriginal title. Thus, the inclusion of timber on Tsilhqot'in Aboriginal title land in the Williams Lake TSA is an infringement on Tsilhqot'in Aboriginal title. Each administrative step taken thereafter that might ultimately result in timber removal and sale by third parties is also an infringement of Tsilhqot'in Aboriginal title.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1076</w:t>
      </w:r>
      <w:r>
        <w:rPr>
          <w:rFonts w:ascii="arial" w:eastAsia="arial" w:hAnsi="arial" w:cs="arial"/>
          <w:color w:val="000000"/>
          <w:sz w:val="20"/>
          <w:lang w:val="en-US" w:eastAsia="en-US" w:bidi="ar-SA"/>
        </w:rPr>
        <w:t>  It follows that the approval of cut blocks in forest development plans and the allocation of cutting permits are equally an infringement on Tsilhqot'in Aboriginal title.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1077</w:t>
      </w:r>
      <w:r>
        <w:rPr>
          <w:rFonts w:ascii="arial" w:eastAsia="arial" w:hAnsi="arial" w:cs="arial"/>
          <w:color w:val="000000"/>
          <w:sz w:val="20"/>
          <w:lang w:val="en-US" w:eastAsia="en-US" w:bidi="ar-SA"/>
        </w:rPr>
        <w:t>  It bears repeating that the right to use resources, the right to choose land use, and the right to direct and benefit from the economic potential of the land are all aspects of Aboriginal title. If the Crown is engaged in land use planning for its own economic benefit and the economic benefit of third parties, then such activities are a direct infringement on any Aboriginal title. The rights holders do not have to wait for a decision to harvest timber before there has been an infringement. The infringement takes place the moment Crown officials engage in the planning process for the removal of timber from land over which the Crown does not have a present proprietary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1078</w:t>
      </w:r>
      <w:r>
        <w:rPr>
          <w:rFonts w:ascii="arial" w:eastAsia="arial" w:hAnsi="arial" w:cs="arial"/>
          <w:color w:val="000000"/>
          <w:sz w:val="20"/>
          <w:lang w:val="en-US" w:eastAsia="en-US" w:bidi="ar-SA"/>
        </w:rPr>
        <w:t xml:space="preserve">  As the Supreme Court observed at p. 1110 of </w:t>
      </w:r>
      <w:r>
        <w:rPr>
          <w:rFonts w:ascii="arial" w:eastAsia="arial" w:hAnsi="arial" w:cs="arial"/>
          <w:b/>
          <w:i/>
          <w:color w:val="000000"/>
          <w:sz w:val="20"/>
          <w:lang w:val="en-US" w:eastAsia="en-US" w:bidi="ar-SA"/>
        </w:rPr>
        <w:t>Sparrow</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Section 35(1) suggests that while regulation affecting aboriginal rights is not precluded, such regulation must be enacted according to a valid objective. Our history has shown, unfortunately all too well, that Canada's aboriginal peoples are justified in worrying about government objectives that may be superficially neutral but which constitute </w:t>
      </w:r>
      <w:r>
        <w:rPr>
          <w:rFonts w:ascii="arial" w:eastAsia="arial" w:hAnsi="arial" w:cs="arial"/>
          <w:i/>
          <w:color w:val="000000"/>
          <w:sz w:val="20"/>
          <w:lang w:val="en-US" w:eastAsia="en-US" w:bidi="ar-SA"/>
        </w:rPr>
        <w:t>de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facto</w:t>
      </w:r>
      <w:r>
        <w:rPr>
          <w:rFonts w:ascii="arial" w:eastAsia="arial" w:hAnsi="arial" w:cs="arial"/>
          <w:color w:val="000000"/>
          <w:sz w:val="20"/>
          <w:lang w:val="en-US" w:eastAsia="en-US" w:bidi="ar-SA"/>
        </w:rPr>
        <w:t xml:space="preserve"> threats to the existence of aboriginal rights and interests. By giving aboriginal rights constitutional status and priority, Parliament and the provinces have sanctioned challenges to social and economic policy objectives embodied in legislation to the extent that aboriginal rights are affected. Implicit in this constitutional scheme is the obligation of the legislature to satisfy the test of justification. The way in which a legislative objective is to be attained must uphold the honour of the Crown and must be in keeping with the unique contemporary relationship, grounded in history and policy, between the Crown and Canada's aboriginal peoples. The extent of legislative or regulatory impact on an existing aboriginal right may be scrutinized so as to ensure recognition and affirmation.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1079</w:t>
      </w:r>
      <w:r>
        <w:rPr>
          <w:rFonts w:ascii="arial" w:eastAsia="arial" w:hAnsi="arial" w:cs="arial"/>
          <w:color w:val="000000"/>
          <w:sz w:val="20"/>
          <w:lang w:val="en-US" w:eastAsia="en-US" w:bidi="ar-SA"/>
        </w:rPr>
        <w:t xml:space="preserve">  I conclude that if the Province has legislative authority and if there is to be provincial legislation that regulates land use planning and the sale and removal of timber from Aboriginal title lands, then the clear directions set out in </w:t>
      </w:r>
      <w:r>
        <w:rPr>
          <w:rFonts w:ascii="arial" w:eastAsia="arial" w:hAnsi="arial" w:cs="arial"/>
          <w:b/>
          <w:i/>
          <w:color w:val="000000"/>
          <w:sz w:val="20"/>
          <w:lang w:val="en-US" w:eastAsia="en-US" w:bidi="ar-SA"/>
        </w:rPr>
        <w:t>Adams</w:t>
      </w:r>
      <w:r>
        <w:rPr>
          <w:rFonts w:ascii="arial" w:eastAsia="arial" w:hAnsi="arial" w:cs="arial"/>
          <w:color w:val="000000"/>
          <w:sz w:val="20"/>
          <w:lang w:val="en-US" w:eastAsia="en-US" w:bidi="ar-SA"/>
        </w:rPr>
        <w:t xml:space="preserve"> must be adhered to. While these passages refer to Parliament, they apply with equal force to the enactments of the Provincial Legislative Assembly. The Court in </w:t>
      </w:r>
      <w:r>
        <w:rPr>
          <w:rFonts w:ascii="arial" w:eastAsia="arial" w:hAnsi="arial" w:cs="arial"/>
          <w:b/>
          <w:i/>
          <w:color w:val="000000"/>
          <w:sz w:val="20"/>
          <w:lang w:val="en-US" w:eastAsia="en-US" w:bidi="ar-SA"/>
        </w:rPr>
        <w:t>Adams</w:t>
      </w:r>
      <w:r>
        <w:rPr>
          <w:rFonts w:ascii="arial" w:eastAsia="arial" w:hAnsi="arial" w:cs="arial"/>
          <w:color w:val="000000"/>
          <w:sz w:val="20"/>
          <w:lang w:val="en-US" w:eastAsia="en-US" w:bidi="ar-SA"/>
        </w:rPr>
        <w:t xml:space="preserve"> stated at paras. 53-54: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a normal setting under the </w:t>
      </w:r>
      <w:r>
        <w:rPr>
          <w:rFonts w:ascii="arial" w:eastAsia="arial" w:hAnsi="arial" w:cs="arial"/>
          <w:i/>
          <w:color w:val="000000"/>
          <w:sz w:val="20"/>
          <w:lang w:val="en-US" w:eastAsia="en-US" w:bidi="ar-SA"/>
        </w:rPr>
        <w:t>Canadian Charter of Rights and Freedoms</w:t>
      </w:r>
      <w:r>
        <w:rPr>
          <w:rFonts w:ascii="arial" w:eastAsia="arial" w:hAnsi="arial" w:cs="arial"/>
          <w:color w:val="000000"/>
          <w:sz w:val="20"/>
          <w:lang w:val="en-US" w:eastAsia="en-US" w:bidi="ar-SA"/>
        </w:rPr>
        <w:t xml:space="preserve">, where a statute confers a broad, unstructured administrative discretion which may be exercised in a manner which encroaches upon a constitutional right, the court should not find that the delegated discretion infringes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and then proceed to a consideration of the potential justifications of the infringement under s. 1. Rather, the proper judicial course is to find that the discretion </w:t>
      </w:r>
      <w:r>
        <w:rPr>
          <w:rFonts w:ascii="arial" w:eastAsia="arial" w:hAnsi="arial" w:cs="arial"/>
          <w:color w:val="000000"/>
          <w:sz w:val="20"/>
          <w:u w:val="single"/>
          <w:lang w:val="en-US" w:eastAsia="en-US" w:bidi="ar-SA"/>
        </w:rPr>
        <w:t>must</w:t>
      </w:r>
      <w:r>
        <w:rPr>
          <w:rFonts w:ascii="arial" w:eastAsia="arial" w:hAnsi="arial" w:cs="arial"/>
          <w:color w:val="000000"/>
          <w:sz w:val="20"/>
          <w:lang w:val="en-US" w:eastAsia="en-US" w:bidi="ar-SA"/>
        </w:rPr>
        <w:t xml:space="preserve"> subsequently be exercised in a manner which accommodates the guarantees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See </w:t>
      </w:r>
      <w:r>
        <w:rPr>
          <w:rFonts w:ascii="arial" w:eastAsia="arial" w:hAnsi="arial" w:cs="arial"/>
          <w:i/>
          <w:color w:val="000000"/>
          <w:sz w:val="20"/>
          <w:lang w:val="en-US" w:eastAsia="en-US" w:bidi="ar-SA"/>
        </w:rPr>
        <w:t>Slaight Communications Inc. v</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Davidson</w:t>
      </w:r>
      <w:r>
        <w:rPr>
          <w:rFonts w:ascii="arial" w:eastAsia="arial" w:hAnsi="arial" w:cs="arial"/>
          <w:color w:val="000000"/>
          <w:sz w:val="20"/>
          <w:lang w:val="en-US" w:eastAsia="en-US" w:bidi="ar-SA"/>
        </w:rPr>
        <w:t xml:space="preserve">, </w:t>
      </w:r>
      <w:hyperlink r:id="rId436" w:history="1">
        <w:r>
          <w:rPr>
            <w:rFonts w:ascii="arial" w:eastAsia="arial" w:hAnsi="arial" w:cs="arial"/>
            <w:i/>
            <w:color w:val="0077CC"/>
            <w:sz w:val="20"/>
            <w:u w:val="single"/>
            <w:shd w:val="clear" w:color="auto" w:fill="FFFFFF"/>
            <w:lang w:val="en-US" w:eastAsia="en-US" w:bidi="ar-SA"/>
          </w:rPr>
          <w:t>[1989] 1 S.C.R. 1038</w:t>
        </w:r>
      </w:hyperlink>
      <w:r>
        <w:rPr>
          <w:rFonts w:ascii="arial" w:eastAsia="arial" w:hAnsi="arial" w:cs="arial"/>
          <w:color w:val="000000"/>
          <w:sz w:val="20"/>
          <w:lang w:val="en-US" w:eastAsia="en-US" w:bidi="ar-SA"/>
        </w:rPr>
        <w:t xml:space="preserve">, at pp. 1078-79; </w:t>
      </w:r>
      <w:r>
        <w:rPr>
          <w:rFonts w:ascii="arial" w:eastAsia="arial" w:hAnsi="arial" w:cs="arial"/>
          <w:i/>
          <w:color w:val="000000"/>
          <w:sz w:val="20"/>
          <w:lang w:val="en-US" w:eastAsia="en-US" w:bidi="ar-SA"/>
        </w:rPr>
        <w:t>R. v</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Swain</w:t>
      </w:r>
      <w:r>
        <w:rPr>
          <w:rFonts w:ascii="arial" w:eastAsia="arial" w:hAnsi="arial" w:cs="arial"/>
          <w:color w:val="000000"/>
          <w:sz w:val="20"/>
          <w:lang w:val="en-US" w:eastAsia="en-US" w:bidi="ar-SA"/>
        </w:rPr>
        <w:t xml:space="preserve">, </w:t>
      </w:r>
      <w:hyperlink r:id="rId718" w:history="1">
        <w:r>
          <w:rPr>
            <w:rFonts w:ascii="arial" w:eastAsia="arial" w:hAnsi="arial" w:cs="arial"/>
            <w:i/>
            <w:color w:val="0077CC"/>
            <w:sz w:val="20"/>
            <w:u w:val="single"/>
            <w:shd w:val="clear" w:color="auto" w:fill="FFFFFF"/>
            <w:lang w:val="en-US" w:eastAsia="en-US" w:bidi="ar-SA"/>
          </w:rPr>
          <w:t>[1991] 1 S.C.R. 933</w:t>
        </w:r>
      </w:hyperlink>
      <w:r>
        <w:rPr>
          <w:rFonts w:ascii="arial" w:eastAsia="arial" w:hAnsi="arial" w:cs="arial"/>
          <w:color w:val="000000"/>
          <w:sz w:val="20"/>
          <w:lang w:val="en-US" w:eastAsia="en-US" w:bidi="ar-SA"/>
        </w:rPr>
        <w:t xml:space="preserve">, at pp. 1010-11; and </w:t>
      </w:r>
      <w:r>
        <w:rPr>
          <w:rFonts w:ascii="arial" w:eastAsia="arial" w:hAnsi="arial" w:cs="arial"/>
          <w:i/>
          <w:color w:val="000000"/>
          <w:sz w:val="20"/>
          <w:lang w:val="en-US" w:eastAsia="en-US" w:bidi="ar-SA"/>
        </w:rPr>
        <w:t>Schachter v</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Canada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[1992] 2 S.C.R. 679</w:t>
      </w:r>
      <w:r>
        <w:rPr>
          <w:rFonts w:ascii="arial" w:eastAsia="arial" w:hAnsi="arial" w:cs="arial"/>
          <w:color w:val="000000"/>
          <w:sz w:val="20"/>
          <w:lang w:val="en-US" w:eastAsia="en-US" w:bidi="ar-SA"/>
        </w:rPr>
        <w:t>, at p. 720.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am of the view that the same approach should not be adopted in identifying infringements under s. 35(1) of the </w:t>
      </w:r>
      <w:r>
        <w:rPr>
          <w:rFonts w:ascii="arial" w:eastAsia="arial" w:hAnsi="arial" w:cs="arial"/>
          <w:i/>
          <w:color w:val="000000"/>
          <w:sz w:val="20"/>
          <w:lang w:val="en-US" w:eastAsia="en-US" w:bidi="ar-SA"/>
        </w:rPr>
        <w:t>Constitution Act, 1982.</w:t>
      </w:r>
      <w:r>
        <w:rPr>
          <w:rFonts w:ascii="arial" w:eastAsia="arial" w:hAnsi="arial" w:cs="arial"/>
          <w:color w:val="000000"/>
          <w:sz w:val="20"/>
          <w:lang w:val="en-US" w:eastAsia="en-US" w:bidi="ar-SA"/>
        </w:rPr>
        <w:t xml:space="preserve"> In light of the Crown's unique fiduciary obligations towards aboriginal peoples, Parliament may not simply adopt an unstructured discretionary administrative regime which risks infringing aboriginal rights in a substantial number of applications in the absence of some explicit guidance. If a statute confers an administrative discretion which may carry significant consequences for the exercise of an aboriginal right, the statute or its delegate regulations must outline specific criteria for the granting or refusal of that discretion which seek to accommodate the existence of aboriginal rights. In the absence of such specific guidance, the statute will fail to provide representatives of the Crown with sufficient directives to fulfill their fiduciary duties, and the statute will be found to represent an infringement of aboriginal rights under the </w:t>
      </w:r>
      <w:r>
        <w:rPr>
          <w:rFonts w:ascii="arial" w:eastAsia="arial" w:hAnsi="arial" w:cs="arial"/>
          <w:i/>
          <w:color w:val="000000"/>
          <w:sz w:val="20"/>
          <w:lang w:val="en-US" w:eastAsia="en-US" w:bidi="ar-SA"/>
        </w:rPr>
        <w:t>Sparrow</w:t>
      </w:r>
      <w:r>
        <w:rPr>
          <w:rFonts w:ascii="arial" w:eastAsia="arial" w:hAnsi="arial" w:cs="arial"/>
          <w:color w:val="000000"/>
          <w:sz w:val="20"/>
          <w:lang w:val="en-US" w:eastAsia="en-US" w:bidi="ar-SA"/>
        </w:rPr>
        <w:t xml:space="preserve">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1080</w:t>
      </w:r>
      <w:r>
        <w:rPr>
          <w:rFonts w:ascii="arial" w:eastAsia="arial" w:hAnsi="arial" w:cs="arial"/>
          <w:color w:val="000000"/>
          <w:sz w:val="20"/>
          <w:lang w:val="en-US" w:eastAsia="en-US" w:bidi="ar-SA"/>
        </w:rPr>
        <w:t xml:space="preserve">  In its final submission, British Columbia argued that the Supreme Court of Canada in </w:t>
      </w:r>
      <w:r>
        <w:rPr>
          <w:rFonts w:ascii="arial" w:eastAsia="arial" w:hAnsi="arial" w:cs="arial"/>
          <w:b/>
          <w:i/>
          <w:color w:val="000000"/>
          <w:sz w:val="20"/>
          <w:lang w:val="en-US" w:eastAsia="en-US" w:bidi="ar-SA"/>
        </w:rPr>
        <w:t>Haida Nation</w:t>
      </w:r>
      <w:r>
        <w:rPr>
          <w:rFonts w:ascii="arial" w:eastAsia="arial" w:hAnsi="arial" w:cs="arial"/>
          <w:color w:val="000000"/>
          <w:sz w:val="20"/>
          <w:lang w:val="en-US" w:eastAsia="en-US" w:bidi="ar-SA"/>
        </w:rPr>
        <w:t xml:space="preserve"> did not suggest that the </w:t>
      </w:r>
      <w:r>
        <w:rPr>
          <w:rFonts w:ascii="arial" w:eastAsia="arial" w:hAnsi="arial" w:cs="arial"/>
          <w:b/>
          <w:i/>
          <w:color w:val="000000"/>
          <w:sz w:val="20"/>
          <w:lang w:val="en-US" w:eastAsia="en-US" w:bidi="ar-SA"/>
        </w:rPr>
        <w:t>Forest Act</w:t>
      </w:r>
      <w:r>
        <w:rPr>
          <w:rFonts w:ascii="arial" w:eastAsia="arial" w:hAnsi="arial" w:cs="arial"/>
          <w:color w:val="000000"/>
          <w:sz w:val="20"/>
          <w:lang w:val="en-US" w:eastAsia="en-US" w:bidi="ar-SA"/>
        </w:rPr>
        <w:t xml:space="preserve"> was invalid for failure to satisfy the </w:t>
      </w:r>
      <w:r>
        <w:rPr>
          <w:rFonts w:ascii="arial" w:eastAsia="arial" w:hAnsi="arial" w:cs="arial"/>
          <w:b/>
          <w:i/>
          <w:color w:val="000000"/>
          <w:sz w:val="20"/>
          <w:lang w:val="en-US" w:eastAsia="en-US" w:bidi="ar-SA"/>
        </w:rPr>
        <w:t>Adams</w:t>
      </w:r>
      <w:r>
        <w:rPr>
          <w:rFonts w:ascii="arial" w:eastAsia="arial" w:hAnsi="arial" w:cs="arial"/>
          <w:color w:val="000000"/>
          <w:sz w:val="20"/>
          <w:lang w:val="en-US" w:eastAsia="en-US" w:bidi="ar-SA"/>
        </w:rPr>
        <w:t xml:space="preserve"> requirements. That is correct. The Court in </w:t>
      </w:r>
      <w:r>
        <w:rPr>
          <w:rFonts w:ascii="arial" w:eastAsia="arial" w:hAnsi="arial" w:cs="arial"/>
          <w:b/>
          <w:i/>
          <w:color w:val="000000"/>
          <w:sz w:val="20"/>
          <w:lang w:val="en-US" w:eastAsia="en-US" w:bidi="ar-SA"/>
        </w:rPr>
        <w:t>Haida Nation</w:t>
      </w:r>
      <w:r>
        <w:rPr>
          <w:rFonts w:ascii="arial" w:eastAsia="arial" w:hAnsi="arial" w:cs="arial"/>
          <w:color w:val="000000"/>
          <w:sz w:val="20"/>
          <w:lang w:val="en-US" w:eastAsia="en-US" w:bidi="ar-SA"/>
        </w:rPr>
        <w:t xml:space="preserve"> found, at para. 51: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open to governments to set up regulatory schemes to address the procedural requirements appropriate to different problems at different stages, thereby strengthening the reconciliation process and reducing recourse to the courts. As noted in </w:t>
      </w:r>
      <w:r>
        <w:rPr>
          <w:rFonts w:ascii="arial" w:eastAsia="arial" w:hAnsi="arial" w:cs="arial"/>
          <w:i/>
          <w:color w:val="000000"/>
          <w:sz w:val="20"/>
          <w:lang w:val="en-US" w:eastAsia="en-US" w:bidi="ar-SA"/>
        </w:rPr>
        <w:t>R. v. Adams</w:t>
      </w:r>
      <w:r>
        <w:rPr>
          <w:rFonts w:ascii="arial" w:eastAsia="arial" w:hAnsi="arial" w:cs="arial"/>
          <w:color w:val="000000"/>
          <w:sz w:val="20"/>
          <w:lang w:val="en-US" w:eastAsia="en-US" w:bidi="ar-SA"/>
        </w:rPr>
        <w:t xml:space="preserve">, </w:t>
      </w:r>
      <w:hyperlink r:id="rId683" w:history="1">
        <w:r>
          <w:rPr>
            <w:rFonts w:ascii="arial" w:eastAsia="arial" w:hAnsi="arial" w:cs="arial"/>
            <w:i/>
            <w:color w:val="0077CC"/>
            <w:sz w:val="20"/>
            <w:u w:val="single"/>
            <w:shd w:val="clear" w:color="auto" w:fill="FFFFFF"/>
            <w:lang w:val="en-US" w:eastAsia="en-US" w:bidi="ar-SA"/>
          </w:rPr>
          <w:t>[1996] 3 S.C.R. 101</w:t>
        </w:r>
      </w:hyperlink>
      <w:r>
        <w:rPr>
          <w:rFonts w:ascii="arial" w:eastAsia="arial" w:hAnsi="arial" w:cs="arial"/>
          <w:color w:val="000000"/>
          <w:sz w:val="20"/>
          <w:lang w:val="en-US" w:eastAsia="en-US" w:bidi="ar-SA"/>
        </w:rPr>
        <w:t>, at para. 54, the government "may not simply adopt an unstructured discretionary administrative regime which risks infringing aboriginal rights in a substantial number of applications in the absence of some explicit guidance". It should be observed that, since October 2002, British Columbia has had a Provincial Policy for Consultation with First Nations to direct the terms of provincial ministries' and agencies' operational guidelines. Such a policy, while falling short of a regulatory scheme, may guard against unstructured discretion and provide a guide for decision-makers.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1081</w:t>
      </w:r>
      <w:r>
        <w:rPr>
          <w:rFonts w:ascii="arial" w:eastAsia="arial" w:hAnsi="arial" w:cs="arial"/>
          <w:color w:val="000000"/>
          <w:sz w:val="20"/>
          <w:lang w:val="en-US" w:eastAsia="en-US" w:bidi="ar-SA"/>
        </w:rPr>
        <w:t xml:space="preserve">  In this case the provincial forestry guidelines failed to prevent an infringement. I conclude that if the current provincial forestry scheme applies to Aboriginal title land, then its application to Tsilhqot'in Aboriginal title land constitutes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infringement or denial of Tsilhqot'in Aboriginal title triggering the need for justification.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 JUSTIFICATION OF INFRINGEMENT OF ABORIGINAL TITLE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 General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1082</w:t>
      </w:r>
      <w:r>
        <w:rPr>
          <w:rFonts w:ascii="arial" w:eastAsia="arial" w:hAnsi="arial" w:cs="arial"/>
          <w:color w:val="000000"/>
          <w:sz w:val="20"/>
          <w:lang w:val="en-US" w:eastAsia="en-US" w:bidi="ar-SA"/>
        </w:rPr>
        <w:t xml:space="preserve">  Government power must be reconciled with government duty, "and the best way to achieve that reconciliation is to demand the justification of any government regulation that infringes upon or denies Aboriginal rights": </w:t>
      </w:r>
      <w:r>
        <w:rPr>
          <w:rFonts w:ascii="arial" w:eastAsia="arial" w:hAnsi="arial" w:cs="arial"/>
          <w:b/>
          <w:i/>
          <w:color w:val="000000"/>
          <w:sz w:val="20"/>
          <w:lang w:val="en-US" w:eastAsia="en-US" w:bidi="ar-SA"/>
        </w:rPr>
        <w:t>Sparrow</w:t>
      </w:r>
      <w:r>
        <w:rPr>
          <w:rFonts w:ascii="arial" w:eastAsia="arial" w:hAnsi="arial" w:cs="arial"/>
          <w:color w:val="000000"/>
          <w:sz w:val="20"/>
          <w:lang w:val="en-US" w:eastAsia="en-US" w:bidi="ar-SA"/>
        </w:rPr>
        <w:t xml:space="preserve"> at p. 1109.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1083</w:t>
      </w:r>
      <w:r>
        <w:rPr>
          <w:rFonts w:ascii="arial" w:eastAsia="arial" w:hAnsi="arial" w:cs="arial"/>
          <w:color w:val="000000"/>
          <w:sz w:val="20"/>
          <w:lang w:val="en-US" w:eastAsia="en-US" w:bidi="ar-SA"/>
        </w:rPr>
        <w:t xml:space="preserve">  The test for the justification of infringement of Aboriginal title has two parts. The infringement must be in furtherance of a compelling and substantial legislative objective: </w:t>
      </w:r>
      <w:r>
        <w:rPr>
          <w:rFonts w:ascii="arial" w:eastAsia="arial" w:hAnsi="arial" w:cs="arial"/>
          <w:b/>
          <w:i/>
          <w:color w:val="000000"/>
          <w:sz w:val="20"/>
          <w:lang w:val="en-US" w:eastAsia="en-US" w:bidi="ar-SA"/>
        </w:rPr>
        <w:t>Delgamuukw</w:t>
      </w:r>
      <w:r>
        <w:rPr>
          <w:rFonts w:ascii="arial" w:eastAsia="arial" w:hAnsi="arial" w:cs="arial"/>
          <w:color w:val="000000"/>
          <w:sz w:val="20"/>
          <w:lang w:val="en-US" w:eastAsia="en-US" w:bidi="ar-SA"/>
        </w:rPr>
        <w:t xml:space="preserve"> (S.C.C.), at para. 161. The infringement must also be consistent with the fiduciary relationship that exists between the Crown and Aboriginal peoples: </w:t>
      </w:r>
      <w:r>
        <w:rPr>
          <w:rFonts w:ascii="arial" w:eastAsia="arial" w:hAnsi="arial" w:cs="arial"/>
          <w:b/>
          <w:i/>
          <w:color w:val="000000"/>
          <w:sz w:val="20"/>
          <w:lang w:val="en-US" w:eastAsia="en-US" w:bidi="ar-SA"/>
        </w:rPr>
        <w:t>Delgamuukw</w:t>
      </w:r>
      <w:r>
        <w:rPr>
          <w:rFonts w:ascii="arial" w:eastAsia="arial" w:hAnsi="arial" w:cs="arial"/>
          <w:color w:val="000000"/>
          <w:sz w:val="20"/>
          <w:lang w:val="en-US" w:eastAsia="en-US" w:bidi="ar-SA"/>
        </w:rPr>
        <w:t xml:space="preserve"> (S.C.C.), at para. 162.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1084</w:t>
      </w:r>
      <w:r>
        <w:rPr>
          <w:rFonts w:ascii="arial" w:eastAsia="arial" w:hAnsi="arial" w:cs="arial"/>
          <w:color w:val="000000"/>
          <w:sz w:val="20"/>
          <w:lang w:val="en-US" w:eastAsia="en-US" w:bidi="ar-SA"/>
        </w:rPr>
        <w:t>  In this case, British Columbia bears the burden of justifying infringements caused by provincially authorized forestry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 Compelling and Substantial Legislative Objective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1085</w:t>
      </w:r>
      <w:r>
        <w:rPr>
          <w:rFonts w:ascii="arial" w:eastAsia="arial" w:hAnsi="arial" w:cs="arial"/>
          <w:color w:val="000000"/>
          <w:sz w:val="20"/>
          <w:lang w:val="en-US" w:eastAsia="en-US" w:bidi="ar-SA"/>
        </w:rPr>
        <w:t xml:space="preserve">  There is a range of legislative objectives that may justify infringement of Aboriginal title. These objectives arise from the need to reconcile the fact that Aboriginal societies exist within and are part of a broader social, political and economic community: </w:t>
      </w:r>
      <w:r>
        <w:rPr>
          <w:rFonts w:ascii="arial" w:eastAsia="arial" w:hAnsi="arial" w:cs="arial"/>
          <w:b/>
          <w:i/>
          <w:color w:val="000000"/>
          <w:sz w:val="20"/>
          <w:lang w:val="en-US" w:eastAsia="en-US" w:bidi="ar-SA"/>
        </w:rPr>
        <w:t>Delgamuukw</w:t>
      </w:r>
      <w:r>
        <w:rPr>
          <w:rFonts w:ascii="arial" w:eastAsia="arial" w:hAnsi="arial" w:cs="arial"/>
          <w:color w:val="000000"/>
          <w:sz w:val="20"/>
          <w:lang w:val="en-US" w:eastAsia="en-US" w:bidi="ar-SA"/>
        </w:rPr>
        <w:t xml:space="preserve"> (S.C.C.), at para. 161; </w:t>
      </w:r>
      <w:r>
        <w:rPr>
          <w:rFonts w:ascii="arial" w:eastAsia="arial" w:hAnsi="arial" w:cs="arial"/>
          <w:b/>
          <w:i/>
          <w:color w:val="000000"/>
          <w:sz w:val="20"/>
          <w:lang w:val="en-US" w:eastAsia="en-US" w:bidi="ar-SA"/>
        </w:rPr>
        <w:t>Gladstone</w:t>
      </w:r>
      <w:r>
        <w:rPr>
          <w:rFonts w:ascii="arial" w:eastAsia="arial" w:hAnsi="arial" w:cs="arial"/>
          <w:color w:val="000000"/>
          <w:sz w:val="20"/>
          <w:lang w:val="en-US" w:eastAsia="en-US" w:bidi="ar-SA"/>
        </w:rPr>
        <w:t xml:space="preserve">, at para. 73. The development of agriculture, forestry, mining and hydro-electric power, the general economic development of the interior of British Columbia, protection of the environment or endangered species, the building of infrastructure and the settlement of foreign populations to support these aims, are the kinds of objectives that may justify the infringement of Aboriginal title. Whether a particular measure or government act can be explained by reference to one of those objectives is ultimately a question of fact that must be examined on a case-by-case basis: </w:t>
      </w:r>
      <w:r>
        <w:rPr>
          <w:rFonts w:ascii="arial" w:eastAsia="arial" w:hAnsi="arial" w:cs="arial"/>
          <w:b/>
          <w:i/>
          <w:color w:val="000000"/>
          <w:sz w:val="20"/>
          <w:lang w:val="en-US" w:eastAsia="en-US" w:bidi="ar-SA"/>
        </w:rPr>
        <w:t>Delgamuukw</w:t>
      </w:r>
      <w:r>
        <w:rPr>
          <w:rFonts w:ascii="arial" w:eastAsia="arial" w:hAnsi="arial" w:cs="arial"/>
          <w:color w:val="000000"/>
          <w:sz w:val="20"/>
          <w:lang w:val="en-US" w:eastAsia="en-US" w:bidi="ar-SA"/>
        </w:rPr>
        <w:t xml:space="preserve"> (S.C.C.), at para. 165.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1086</w:t>
      </w:r>
      <w:r>
        <w:rPr>
          <w:rFonts w:ascii="arial" w:eastAsia="arial" w:hAnsi="arial" w:cs="arial"/>
          <w:color w:val="000000"/>
          <w:sz w:val="20"/>
          <w:lang w:val="en-US" w:eastAsia="en-US" w:bidi="ar-SA"/>
        </w:rPr>
        <w:t xml:space="preserve">  The foregoing view was initially developed by Lamer C.J.C. in the </w:t>
      </w:r>
      <w:r>
        <w:rPr>
          <w:rFonts w:ascii="arial" w:eastAsia="arial" w:hAnsi="arial" w:cs="arial"/>
          <w:b/>
          <w:i/>
          <w:color w:val="000000"/>
          <w:sz w:val="20"/>
          <w:lang w:val="en-US" w:eastAsia="en-US" w:bidi="ar-SA"/>
        </w:rPr>
        <w:t>Van der Peet</w:t>
      </w:r>
      <w:r>
        <w:rPr>
          <w:rFonts w:ascii="arial" w:eastAsia="arial" w:hAnsi="arial" w:cs="arial"/>
          <w:color w:val="000000"/>
          <w:sz w:val="20"/>
          <w:lang w:val="en-US" w:eastAsia="en-US" w:bidi="ar-SA"/>
        </w:rPr>
        <w:t xml:space="preserve"> trilogy (</w:t>
      </w:r>
      <w:r>
        <w:rPr>
          <w:rFonts w:ascii="arial" w:eastAsia="arial" w:hAnsi="arial" w:cs="arial"/>
          <w:b/>
          <w:i/>
          <w:color w:val="000000"/>
          <w:sz w:val="20"/>
          <w:lang w:val="en-US" w:eastAsia="en-US" w:bidi="ar-SA"/>
        </w:rPr>
        <w:t>Van der Peet</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Gladstone</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R. v. N.T.C. Smokehouse Ltd.</w:t>
      </w:r>
      <w:r>
        <w:rPr>
          <w:rFonts w:ascii="arial" w:eastAsia="arial" w:hAnsi="arial" w:cs="arial"/>
          <w:color w:val="000000"/>
          <w:sz w:val="20"/>
          <w:lang w:val="en-US" w:eastAsia="en-US" w:bidi="ar-SA"/>
        </w:rPr>
        <w:t xml:space="preserve">, </w:t>
      </w:r>
      <w:hyperlink r:id="rId719" w:history="1">
        <w:r>
          <w:rPr>
            <w:rFonts w:ascii="arial" w:eastAsia="arial" w:hAnsi="arial" w:cs="arial"/>
            <w:i/>
            <w:color w:val="0077CC"/>
            <w:sz w:val="20"/>
            <w:u w:val="single"/>
            <w:shd w:val="clear" w:color="auto" w:fill="FFFFFF"/>
            <w:lang w:val="en-US" w:eastAsia="en-US" w:bidi="ar-SA"/>
          </w:rPr>
          <w:t>[1996] 2 S.C.R. 672</w:t>
        </w:r>
      </w:hyperlink>
      <w:r>
        <w:rPr>
          <w:rFonts w:ascii="arial" w:eastAsia="arial" w:hAnsi="arial" w:cs="arial"/>
          <w:color w:val="000000"/>
          <w:sz w:val="20"/>
          <w:lang w:val="en-US" w:eastAsia="en-US" w:bidi="ar-SA"/>
        </w:rPr>
        <w:t xml:space="preserve">). In these cases, Lamer C.J.C. expressed the opinion that government limits on the exercise of Aboriginal rights are a necessary part of that reconciliation, provided such "limits are of sufficient importance to the broader community as a whole": </w:t>
      </w:r>
      <w:r>
        <w:rPr>
          <w:rFonts w:ascii="arial" w:eastAsia="arial" w:hAnsi="arial" w:cs="arial"/>
          <w:b/>
          <w:i/>
          <w:color w:val="000000"/>
          <w:sz w:val="20"/>
          <w:lang w:val="en-US" w:eastAsia="en-US" w:bidi="ar-SA"/>
        </w:rPr>
        <w:t>Gladstone</w:t>
      </w:r>
      <w:r>
        <w:rPr>
          <w:rFonts w:ascii="arial" w:eastAsia="arial" w:hAnsi="arial" w:cs="arial"/>
          <w:color w:val="000000"/>
          <w:sz w:val="20"/>
          <w:lang w:val="en-US" w:eastAsia="en-US" w:bidi="ar-SA"/>
        </w:rPr>
        <w:t xml:space="preserve">, at para. 73. A discussion of the minority opinions of McLachlin J. (as she then was) in </w:t>
      </w:r>
      <w:r>
        <w:rPr>
          <w:rFonts w:ascii="arial" w:eastAsia="arial" w:hAnsi="arial" w:cs="arial"/>
          <w:b/>
          <w:i/>
          <w:color w:val="000000"/>
          <w:sz w:val="20"/>
          <w:lang w:val="en-US" w:eastAsia="en-US" w:bidi="ar-SA"/>
        </w:rPr>
        <w:t>Van der Peet</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Gladstone</w:t>
      </w:r>
      <w:r>
        <w:rPr>
          <w:rFonts w:ascii="arial" w:eastAsia="arial" w:hAnsi="arial" w:cs="arial"/>
          <w:color w:val="000000"/>
          <w:sz w:val="20"/>
          <w:lang w:val="en-US" w:eastAsia="en-US" w:bidi="ar-SA"/>
        </w:rPr>
        <w:t xml:space="preserve"> are set out later in this judgment under the heading "Reconciliation".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1087</w:t>
      </w:r>
      <w:r>
        <w:rPr>
          <w:rFonts w:ascii="arial" w:eastAsia="arial" w:hAnsi="arial" w:cs="arial"/>
          <w:color w:val="000000"/>
          <w:sz w:val="20"/>
          <w:lang w:val="en-US" w:eastAsia="en-US" w:bidi="ar-SA"/>
        </w:rPr>
        <w:t>  In the context of the disposition of Crown resources, the focus is on the particular measure or government activity and not on the overall legislative regime. Normally, such cases proceed on the premise that the Crown's infringing activity is constitutionally valid. It is this validity that raises potential for it to be an infringement. If the activity was unconstitutional the act itself is invalid and there is no need to consider infringement.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1088</w:t>
      </w:r>
      <w:r>
        <w:rPr>
          <w:rFonts w:ascii="arial" w:eastAsia="arial" w:hAnsi="arial" w:cs="arial"/>
          <w:color w:val="000000"/>
          <w:sz w:val="20"/>
          <w:lang w:val="en-US" w:eastAsia="en-US" w:bidi="ar-SA"/>
        </w:rPr>
        <w:t>  I have already decided that provincial forestry legislation is inapplicable to Aboriginal title land. The discussion that follows is upon the basis that this conclusion is incorrect and that British Columbia's forestry legislation does apply to Aboriginal title land. What follows also takes into account the fact that there has been a finding of an infringement of title such as I have made in the preceding 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1089</w:t>
      </w:r>
      <w:r>
        <w:rPr>
          <w:rFonts w:ascii="arial" w:eastAsia="arial" w:hAnsi="arial" w:cs="arial"/>
          <w:color w:val="000000"/>
          <w:sz w:val="20"/>
          <w:lang w:val="en-US" w:eastAsia="en-US" w:bidi="ar-SA"/>
        </w:rPr>
        <w:t>  There can be no doubt that forestry falls within the range of government activities that might justify infringement of Aboriginal title. Generally speaking, the development of forest resources, and the protection of the environment and wildlife are all valid government objectives that may justify infringement of Aboriginal title and other Aboriginal rights.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1090</w:t>
      </w:r>
      <w:r>
        <w:rPr>
          <w:rFonts w:ascii="arial" w:eastAsia="arial" w:hAnsi="arial" w:cs="arial"/>
          <w:color w:val="000000"/>
          <w:sz w:val="20"/>
          <w:lang w:val="en-US" w:eastAsia="en-US" w:bidi="ar-SA"/>
        </w:rPr>
        <w:t>  However, the analysis cannot end there. In this case I am concerned not with the general, but the specific. Can the Province justify its forestry activities in the Claim Area where such activities infringe Tsilhqot'in Aboriginal title? British Columbia must prove that it has a compelling and substantial legislative objective for the forestry practices, not just generally in British Columbia, but in the Claim Area in particular.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1091</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Delgamuukw</w:t>
      </w:r>
      <w:r>
        <w:rPr>
          <w:rFonts w:ascii="arial" w:eastAsia="arial" w:hAnsi="arial" w:cs="arial"/>
          <w:color w:val="000000"/>
          <w:sz w:val="20"/>
          <w:lang w:val="en-US" w:eastAsia="en-US" w:bidi="ar-SA"/>
        </w:rPr>
        <w:t>, Lamer C.J.C. reiterated at para. 161 that legitimate government objectives include "the pursuit of economic and regional fairness". Lamer C.J.C. went on to state that: "By contrast, measures enacted for relatively unimportant reasons such as sports fishing without a significant economic component ("</w:t>
      </w:r>
      <w:r>
        <w:rPr>
          <w:rFonts w:ascii="arial" w:eastAsia="arial" w:hAnsi="arial" w:cs="arial"/>
          <w:i/>
          <w:color w:val="000000"/>
          <w:sz w:val="20"/>
          <w:lang w:val="en-US" w:eastAsia="en-US" w:bidi="ar-SA"/>
        </w:rPr>
        <w:t>Adams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would fail this aspect of the test of justification."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1092</w:t>
      </w:r>
      <w:r>
        <w:rPr>
          <w:rFonts w:ascii="arial" w:eastAsia="arial" w:hAnsi="arial" w:cs="arial"/>
          <w:color w:val="000000"/>
          <w:sz w:val="20"/>
          <w:lang w:val="en-US" w:eastAsia="en-US" w:bidi="ar-SA"/>
        </w:rPr>
        <w:t xml:space="preserve">  This conclusion flows from </w:t>
      </w:r>
      <w:r>
        <w:rPr>
          <w:rFonts w:ascii="arial" w:eastAsia="arial" w:hAnsi="arial" w:cs="arial"/>
          <w:b/>
          <w:i/>
          <w:color w:val="000000"/>
          <w:sz w:val="20"/>
          <w:lang w:val="en-US" w:eastAsia="en-US" w:bidi="ar-SA"/>
        </w:rPr>
        <w:t>Adams</w:t>
      </w:r>
      <w:r>
        <w:rPr>
          <w:rFonts w:ascii="arial" w:eastAsia="arial" w:hAnsi="arial" w:cs="arial"/>
          <w:color w:val="000000"/>
          <w:sz w:val="20"/>
          <w:lang w:val="en-US" w:eastAsia="en-US" w:bidi="ar-SA"/>
        </w:rPr>
        <w:t xml:space="preserve"> where the Court said at para. 58: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have some difficulty in accepting, in the circumstances of this case, that the enhancement of sports fishing </w:t>
      </w:r>
      <w:r>
        <w:rPr>
          <w:rFonts w:ascii="arial" w:eastAsia="arial" w:hAnsi="arial" w:cs="arial"/>
          <w:i/>
          <w:color w:val="000000"/>
          <w:sz w:val="20"/>
          <w:lang w:val="en-US" w:eastAsia="en-US" w:bidi="ar-SA"/>
        </w:rPr>
        <w:t>per se</w:t>
      </w:r>
      <w:r>
        <w:rPr>
          <w:rFonts w:ascii="arial" w:eastAsia="arial" w:hAnsi="arial" w:cs="arial"/>
          <w:color w:val="000000"/>
          <w:sz w:val="20"/>
          <w:lang w:val="en-US" w:eastAsia="en-US" w:bidi="ar-SA"/>
        </w:rPr>
        <w:t xml:space="preserve"> is a compelling and substantial objective for the purposes of s. 35(1). While sports fishing is an important economic activity in some parts of the country, in this instance, there is no evidence that the sports fishing that this scheme sought to promote had a meaningful economic dimension to it. On its own, without this sort of evidence, the enhancement of sports fishing accords with neither of the purposes underlying the protection of aboriginal rights, and cannot justify the infringement of those rights. It is not aimed at the recognition of distinct aboriginal cultures. Nor is it aimed at the reconciliation of aboriginal societies with the rest of Canadian society, since sports fishing, without evidence of a meaningful economic dimension, is not "of such overwhelming importance to Canadian society as a whole" (</w:t>
      </w:r>
      <w:r>
        <w:rPr>
          <w:rFonts w:ascii="arial" w:eastAsia="arial" w:hAnsi="arial" w:cs="arial"/>
          <w:i/>
          <w:color w:val="000000"/>
          <w:sz w:val="20"/>
          <w:lang w:val="en-US" w:eastAsia="en-US" w:bidi="ar-SA"/>
        </w:rPr>
        <w:t>Gladstone</w:t>
      </w:r>
      <w:r>
        <w:rPr>
          <w:rFonts w:ascii="arial" w:eastAsia="arial" w:hAnsi="arial" w:cs="arial"/>
          <w:color w:val="000000"/>
          <w:sz w:val="20"/>
          <w:lang w:val="en-US" w:eastAsia="en-US" w:bidi="ar-SA"/>
        </w:rPr>
        <w:t>, at para. 74) to warrant the limitation of aboriginal rights.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1093</w:t>
      </w:r>
      <w:r>
        <w:rPr>
          <w:rFonts w:ascii="arial" w:eastAsia="arial" w:hAnsi="arial" w:cs="arial"/>
          <w:color w:val="000000"/>
          <w:sz w:val="20"/>
          <w:lang w:val="en-US" w:eastAsia="en-US" w:bidi="ar-SA"/>
        </w:rPr>
        <w:t>  There is no doubt that the compelling and substantial nature of the legislative objective will vary from one region to the next. Given the economic importance of forestry activities in British Columbia and in Tsilhqot'in territory, the focus must be on the rationale behind these activities in the Claim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1094</w:t>
      </w:r>
      <w:r>
        <w:rPr>
          <w:rFonts w:ascii="arial" w:eastAsia="arial" w:hAnsi="arial" w:cs="arial"/>
          <w:color w:val="000000"/>
          <w:sz w:val="20"/>
          <w:lang w:val="en-US" w:eastAsia="en-US" w:bidi="ar-SA"/>
        </w:rPr>
        <w:t xml:space="preserve">  Because Aboriginal title confers the right to the land itself: </w:t>
      </w:r>
      <w:r>
        <w:rPr>
          <w:rFonts w:ascii="arial" w:eastAsia="arial" w:hAnsi="arial" w:cs="arial"/>
          <w:b/>
          <w:i/>
          <w:color w:val="000000"/>
          <w:sz w:val="20"/>
          <w:lang w:val="en-US" w:eastAsia="en-US" w:bidi="ar-SA"/>
        </w:rPr>
        <w:t>Delgamuukw</w:t>
      </w:r>
      <w:r>
        <w:rPr>
          <w:rFonts w:ascii="arial" w:eastAsia="arial" w:hAnsi="arial" w:cs="arial"/>
          <w:color w:val="000000"/>
          <w:sz w:val="20"/>
          <w:lang w:val="en-US" w:eastAsia="en-US" w:bidi="ar-SA"/>
        </w:rPr>
        <w:t xml:space="preserve"> (S.C.C.), at para. 138, British Columbia's forestry activities infringe Tsilhqot'in Aboriginal title as I have described in the preceding 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1095</w:t>
      </w:r>
      <w:r>
        <w:rPr>
          <w:rFonts w:ascii="arial" w:eastAsia="arial" w:hAnsi="arial" w:cs="arial"/>
          <w:color w:val="000000"/>
          <w:sz w:val="20"/>
          <w:lang w:val="en-US" w:eastAsia="en-US" w:bidi="ar-SA"/>
        </w:rPr>
        <w:t>  British Columbia argues, largely from a policy perspective, that there are good reasons for land use and forestry rules in the Claim Area. I believe this oversimplifies the test I must consider and apply.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1096</w:t>
      </w:r>
      <w:r>
        <w:rPr>
          <w:rFonts w:ascii="arial" w:eastAsia="arial" w:hAnsi="arial" w:cs="arial"/>
          <w:color w:val="000000"/>
          <w:sz w:val="20"/>
          <w:lang w:val="en-US" w:eastAsia="en-US" w:bidi="ar-SA"/>
        </w:rPr>
        <w:t>  The question is not whether there is any merit in a provincial regulatory and administrative regime relating to forestry activities on Aboriginal title lands. There may well be merit in the existence of such a scheme. The inquiry here must focus on the application of that scheme to the circumstances of this case. Is there a compelling and substantial objective that justifies the infringements caused by British Columbia's land use planning and forestry activities on Tsilhqot'in title lands?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1097</w:t>
      </w:r>
      <w:r>
        <w:rPr>
          <w:rFonts w:ascii="arial" w:eastAsia="arial" w:hAnsi="arial" w:cs="arial"/>
          <w:color w:val="000000"/>
          <w:sz w:val="20"/>
          <w:lang w:val="en-US" w:eastAsia="en-US" w:bidi="ar-SA"/>
        </w:rPr>
        <w:t>  Dr. Hamish Kimmins, a professional forester and expert in forest ecology, was called as a witness for British Columbia. The opinions he expressed were candid and of considerable assistance to the court. Dr. Kimmins testified that forests can be managed to address a wide range of options. They can be managed to protect a particular species of wildlife or to maximize the production of wood fibre. He confirmed that if one was aware of the cultural and economic objectives of a particular First Nation, a forest could be managed so as to afford that First Nation the opportunity to carry on trapping in a culturally and economically sustainable manner.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1098</w:t>
      </w:r>
      <w:r>
        <w:rPr>
          <w:rFonts w:ascii="arial" w:eastAsia="arial" w:hAnsi="arial" w:cs="arial"/>
          <w:color w:val="000000"/>
          <w:sz w:val="20"/>
          <w:lang w:val="en-US" w:eastAsia="en-US" w:bidi="ar-SA"/>
        </w:rPr>
        <w:t>  As Dr. Kimmins explained, taken individually, each approach to forestry management constitutes single value management. He expressed the following opinions:</w:t>
      </w:r>
      <w:r>
        <w:rPr>
          <w:rFonts w:ascii="arial" w:eastAsia="arial" w:hAnsi="arial" w:cs="arial"/>
          <w:sz w:val="20"/>
          <w:lang w:val="en-US" w:eastAsia="en-US" w:bidi="ar-SA"/>
        </w:rPr>
        <w:cr/>
      </w:r>
    </w:p>
    <w:p>
      <w:pPr>
        <w:numPr>
          <w:numId w:val="2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current legislative system in British Columbia does not allow for ecosystem management. This is because under the tenure system forest companies and professional foresters are licenced only to manage for timber, with all other values as a constraint on that objective.</w:t>
      </w:r>
    </w:p>
    <w:p>
      <w:pPr>
        <w:numPr>
          <w:numId w:val="2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major shortcoming in forestry in the past, and sometimes today, is that allowable annual timber harvests (AAC) have been based on timber supply models that are spatial and are driven by stand level growth and yield models that are insensitive to changes in key ecosystem processes that result from human and natural disturbance.</w:t>
      </w:r>
    </w:p>
    <w:p>
      <w:pPr>
        <w:numPr>
          <w:numId w:val="2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current time and timber supply models used by the Ministry of Forests do not adequately account for climate, ecosystem and management change, although the recalculation of the AAC every 5 years is a way of addressing the shortcoming of the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1099</w:t>
      </w:r>
      <w:r>
        <w:rPr>
          <w:rFonts w:ascii="arial" w:eastAsia="arial" w:hAnsi="arial" w:cs="arial"/>
          <w:color w:val="000000"/>
          <w:sz w:val="20"/>
          <w:lang w:val="en-US" w:eastAsia="en-US" w:bidi="ar-SA"/>
        </w:rPr>
        <w:t>  A legislative scheme that manages solely for timber, with all other values as a constraint on that objective, faces a formidable challenge when called upon to balance Aboriginal rights with the economic interests of the larger society.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1100</w:t>
      </w:r>
      <w:r>
        <w:rPr>
          <w:rFonts w:ascii="arial" w:eastAsia="arial" w:hAnsi="arial" w:cs="arial"/>
          <w:color w:val="000000"/>
          <w:sz w:val="20"/>
          <w:lang w:val="en-US" w:eastAsia="en-US" w:bidi="ar-SA"/>
        </w:rPr>
        <w:t>  For many years now, Tsilhqot'in people have opposed clear cutting in the Claim Area. They have argued for a form of ecosystem management that can sustain the region for generations to come. Their proposals have not been accepted because, as Dr. Kimmins observed, the current legislative system in British Columbia does not allow for ecosystem management.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1101</w:t>
      </w:r>
      <w:r>
        <w:rPr>
          <w:rFonts w:ascii="arial" w:eastAsia="arial" w:hAnsi="arial" w:cs="arial"/>
          <w:color w:val="000000"/>
          <w:sz w:val="20"/>
          <w:lang w:val="en-US" w:eastAsia="en-US" w:bidi="ar-SA"/>
        </w:rPr>
        <w:t>  British Columbia appears to argue that the compelling and substantial objectives behind the alleged infringements include the economic benefits that can be realized from logging in the Claim Area, and a need to salvage forests affected by mountain pine beetle for sound silviculture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1102</w:t>
      </w:r>
      <w:r>
        <w:rPr>
          <w:rFonts w:ascii="arial" w:eastAsia="arial" w:hAnsi="arial" w:cs="arial"/>
          <w:color w:val="000000"/>
          <w:sz w:val="20"/>
          <w:lang w:val="en-US" w:eastAsia="en-US" w:bidi="ar-SA"/>
        </w:rPr>
        <w:t>  Mountain pine beetle is currently destroying the pine forests of British Columbia, including those pine forests located in the Claim Area. Fire suppression activities are one reason offered for the advance of this forest infestation. Another reason is climate change. The absence of a sustained cold period during the winter means the beetle is able to survive into another year. However, it must be acknowledged that trees affected by mountain pine beetle play an important ecosystem function, providing valuable wildlife habitat that is consistent with the plaintiff's interests.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1103</w:t>
      </w:r>
      <w:r>
        <w:rPr>
          <w:rFonts w:ascii="arial" w:eastAsia="arial" w:hAnsi="arial" w:cs="arial"/>
          <w:color w:val="000000"/>
          <w:sz w:val="20"/>
          <w:lang w:val="en-US" w:eastAsia="en-US" w:bidi="ar-SA"/>
        </w:rPr>
        <w:t>  What is clear from the evidence of Dr. Kimmins is that "sustainability is multi-faceted, involving a complex of physical, biological, social, economic, institutional and cultural dimensions: Kimmins report at p. 41. Given the findings of Tsilhqot'in Aboriginal rights resulting from these proceedings, there will be a need for British Columbia to develop a new model of sustainability in the Claim Area. The burden is on British Columbia to prove that any future harvesting of timber will not infringe Tsilhqot'in Aboriginal rights. That burden will require close consultation with Tsilhqot'in people, taking into account all of the factors that bear on their Aboriginal rights, as well as the interests of the broader British Columbia community.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1104</w:t>
      </w:r>
      <w:r>
        <w:rPr>
          <w:rFonts w:ascii="arial" w:eastAsia="arial" w:hAnsi="arial" w:cs="arial"/>
          <w:color w:val="000000"/>
          <w:sz w:val="20"/>
          <w:lang w:val="en-US" w:eastAsia="en-US" w:bidi="ar-SA"/>
        </w:rPr>
        <w:t>  In an appendix to his report, Dr. Kimmins answered specific questions related to the mountain pine beetle infestation. He expressed the view that from the perspective of forest health, harvesting of lodgepole pine in the Claim Area was not necessary given the unprecedented nature of the mountain pine beetle epidemic and the climatic conditions of the past decade. If there was to be a harvesting of such timber, then, in the view of Dr. Kimmins, clear-cut harvesting would be appropriate so long as there were patches of dead trees of various sizes retained that would be consistent with the habitat need of the animal species of concern. I take it that in such an approach there would be specific consideration given to the well-being and continuity of the animals that are of particular concern to Tsilhqot'in people.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1105</w:t>
      </w:r>
      <w:r>
        <w:rPr>
          <w:rFonts w:ascii="arial" w:eastAsia="arial" w:hAnsi="arial" w:cs="arial"/>
          <w:color w:val="000000"/>
          <w:sz w:val="20"/>
          <w:lang w:val="en-US" w:eastAsia="en-US" w:bidi="ar-SA"/>
        </w:rPr>
        <w:t>  Dr. Kimmins advised that conventional harvesting techniques could be carried out in a sustainable manner. However, this is dependant "on the values one is considering, and the time and spatial scale over which one is considering it": Kimmins report, p. 40.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1106</w:t>
      </w:r>
      <w:r>
        <w:rPr>
          <w:rFonts w:ascii="arial" w:eastAsia="arial" w:hAnsi="arial" w:cs="arial"/>
          <w:color w:val="000000"/>
          <w:sz w:val="20"/>
          <w:lang w:val="en-US" w:eastAsia="en-US" w:bidi="ar-SA"/>
        </w:rPr>
        <w:t>  It is not possible to predict the future in this changing environment. The need to protect Tsilhqot'in Aboriginal rights throughout the Claim Area brings with it the need for a fresh approach to sustainability. This challenge can be met through the development of cooperative joint planning mechanisms taking into account the needs that must be addressed on behalf of the Tsilhqot'in community and the broader British Columbia and Canadian communities.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1107</w:t>
      </w:r>
      <w:r>
        <w:rPr>
          <w:rFonts w:ascii="arial" w:eastAsia="arial" w:hAnsi="arial" w:cs="arial"/>
          <w:color w:val="000000"/>
          <w:sz w:val="20"/>
          <w:lang w:val="en-US" w:eastAsia="en-US" w:bidi="ar-SA"/>
        </w:rPr>
        <w:t xml:space="preserve">  I conclude that British Columbia has failed to establish that it has a compelling and substantial legislative objective for forestry activities in the Claim Area for two reasons. First, as was the case with sports fishing in </w:t>
      </w:r>
      <w:r>
        <w:rPr>
          <w:rFonts w:ascii="arial" w:eastAsia="arial" w:hAnsi="arial" w:cs="arial"/>
          <w:b/>
          <w:i/>
          <w:color w:val="000000"/>
          <w:sz w:val="20"/>
          <w:lang w:val="en-US" w:eastAsia="en-US" w:bidi="ar-SA"/>
        </w:rPr>
        <w:t>Adams</w:t>
      </w:r>
      <w:r>
        <w:rPr>
          <w:rFonts w:ascii="arial" w:eastAsia="arial" w:hAnsi="arial" w:cs="arial"/>
          <w:color w:val="000000"/>
          <w:sz w:val="20"/>
          <w:lang w:val="en-US" w:eastAsia="en-US" w:bidi="ar-SA"/>
        </w:rPr>
        <w:t>, there is no evidence that logging in the Claim Area is economically viable. The Claim Area has been excluded from the timber harvesting land base for an extended period of time. Even the Chief Forester acknowledged its more recent inclusion was questionable. The impact of forestry activities on the plaintiff's Aboriginal title is disproportionate to the economic benefits that would accrue to British Columbia or Canadian society generally.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1108</w:t>
      </w:r>
      <w:r>
        <w:rPr>
          <w:rFonts w:ascii="arial" w:eastAsia="arial" w:hAnsi="arial" w:cs="arial"/>
          <w:color w:val="000000"/>
          <w:sz w:val="20"/>
          <w:lang w:val="en-US" w:eastAsia="en-US" w:bidi="ar-SA"/>
        </w:rPr>
        <w:t>  Second, I conclude there is no compelling evidence that it is or was necessary to log the Claim Area to deter the spread of the 1980's mountain pine beetle infestation. Rather, the evidence shows that none of the proposed harvesting is directed at stopping or limiting the mountain pine beetle outbreak.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 Honour of the Crown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1109</w:t>
      </w:r>
      <w:r>
        <w:rPr>
          <w:rFonts w:ascii="arial" w:eastAsia="arial" w:hAnsi="arial" w:cs="arial"/>
          <w:color w:val="000000"/>
          <w:sz w:val="20"/>
          <w:lang w:val="en-US" w:eastAsia="en-US" w:bidi="ar-SA"/>
        </w:rPr>
        <w:t xml:space="preserve">  Whether a particular infringement is consistent with the fiduciary relationship between the Tsilhqot'in people and the Crown will be a function of the "legal and factual context" of each case: </w:t>
      </w:r>
      <w:r>
        <w:rPr>
          <w:rFonts w:ascii="arial" w:eastAsia="arial" w:hAnsi="arial" w:cs="arial"/>
          <w:b/>
          <w:i/>
          <w:color w:val="000000"/>
          <w:sz w:val="20"/>
          <w:lang w:val="en-US" w:eastAsia="en-US" w:bidi="ar-SA"/>
        </w:rPr>
        <w:t>Gladstone</w:t>
      </w:r>
      <w:r>
        <w:rPr>
          <w:rFonts w:ascii="arial" w:eastAsia="arial" w:hAnsi="arial" w:cs="arial"/>
          <w:color w:val="000000"/>
          <w:sz w:val="20"/>
          <w:lang w:val="en-US" w:eastAsia="en-US" w:bidi="ar-SA"/>
        </w:rPr>
        <w:t xml:space="preserve">, at para. 56, cited in </w:t>
      </w:r>
      <w:r>
        <w:rPr>
          <w:rFonts w:ascii="arial" w:eastAsia="arial" w:hAnsi="arial" w:cs="arial"/>
          <w:b/>
          <w:i/>
          <w:color w:val="000000"/>
          <w:sz w:val="20"/>
          <w:lang w:val="en-US" w:eastAsia="en-US" w:bidi="ar-SA"/>
        </w:rPr>
        <w:t>Delgamuukw</w:t>
      </w:r>
      <w:r>
        <w:rPr>
          <w:rFonts w:ascii="arial" w:eastAsia="arial" w:hAnsi="arial" w:cs="arial"/>
          <w:color w:val="000000"/>
          <w:sz w:val="20"/>
          <w:lang w:val="en-US" w:eastAsia="en-US" w:bidi="ar-SA"/>
        </w:rPr>
        <w:t xml:space="preserve"> (S.C.C) at para. 162. Three aspects of Aboriginal title are relevant when assessing whether or not the Crown's duty has been discharged in any given instance: the right to exclusive use and occupation of land; the right to choose to what uses the land will be put; and, the inescapable economic component": </w:t>
      </w:r>
      <w:r>
        <w:rPr>
          <w:rFonts w:ascii="arial" w:eastAsia="arial" w:hAnsi="arial" w:cs="arial"/>
          <w:b/>
          <w:i/>
          <w:color w:val="000000"/>
          <w:sz w:val="20"/>
          <w:lang w:val="en-US" w:eastAsia="en-US" w:bidi="ar-SA"/>
        </w:rPr>
        <w:t>Delgamuukw</w:t>
      </w:r>
      <w:r>
        <w:rPr>
          <w:rFonts w:ascii="arial" w:eastAsia="arial" w:hAnsi="arial" w:cs="arial"/>
          <w:color w:val="000000"/>
          <w:sz w:val="20"/>
          <w:lang w:val="en-US" w:eastAsia="en-US" w:bidi="ar-SA"/>
        </w:rPr>
        <w:t xml:space="preserve"> (S.C.C.), para. 166.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1110</w:t>
      </w:r>
      <w:r>
        <w:rPr>
          <w:rFonts w:ascii="arial" w:eastAsia="arial" w:hAnsi="arial" w:cs="arial"/>
          <w:color w:val="000000"/>
          <w:sz w:val="20"/>
          <w:lang w:val="en-US" w:eastAsia="en-US" w:bidi="ar-SA"/>
        </w:rPr>
        <w:t xml:space="preserve">  Government is required to demonstrate "'both that the process by which it allocated the resource and the actual allocation of the resource which results from that process reflect the prior interest' of the holders of aboriginal title in the land": </w:t>
      </w:r>
      <w:r>
        <w:rPr>
          <w:rFonts w:ascii="arial" w:eastAsia="arial" w:hAnsi="arial" w:cs="arial"/>
          <w:b/>
          <w:i/>
          <w:color w:val="000000"/>
          <w:sz w:val="20"/>
          <w:lang w:val="en-US" w:eastAsia="en-US" w:bidi="ar-SA"/>
        </w:rPr>
        <w:t>Delgamuukw</w:t>
      </w:r>
      <w:r>
        <w:rPr>
          <w:rFonts w:ascii="arial" w:eastAsia="arial" w:hAnsi="arial" w:cs="arial"/>
          <w:color w:val="000000"/>
          <w:sz w:val="20"/>
          <w:lang w:val="en-US" w:eastAsia="en-US" w:bidi="ar-SA"/>
        </w:rPr>
        <w:t xml:space="preserve"> (S.C.C.) at para. 167, citing </w:t>
      </w:r>
      <w:r>
        <w:rPr>
          <w:rFonts w:ascii="arial" w:eastAsia="arial" w:hAnsi="arial" w:cs="arial"/>
          <w:b/>
          <w:i/>
          <w:color w:val="000000"/>
          <w:sz w:val="20"/>
          <w:lang w:val="en-US" w:eastAsia="en-US" w:bidi="ar-SA"/>
        </w:rPr>
        <w:t>Gladstone</w:t>
      </w:r>
      <w:r>
        <w:rPr>
          <w:rFonts w:ascii="arial" w:eastAsia="arial" w:hAnsi="arial" w:cs="arial"/>
          <w:color w:val="000000"/>
          <w:sz w:val="20"/>
          <w:lang w:val="en-US" w:eastAsia="en-US" w:bidi="ar-SA"/>
        </w:rPr>
        <w:t>, at para. 62. British Columbia must demonstrate that it gave adequate priority to Tsilhqot'in Aboriginal title and rights.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1111</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Sparrow</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Gladstone</w:t>
      </w:r>
      <w:r>
        <w:rPr>
          <w:rFonts w:ascii="arial" w:eastAsia="arial" w:hAnsi="arial" w:cs="arial"/>
          <w:color w:val="000000"/>
          <w:sz w:val="20"/>
          <w:lang w:val="en-US" w:eastAsia="en-US" w:bidi="ar-SA"/>
        </w:rPr>
        <w:t>, the application of this branch of the justification test meant that Aboriginal people received priority in the exploitation of the fishery resource. The Court indicated that the demands of the fiduciary relationship can manifest themselves in many other guises, including the duty of consultation, and ordinarily including a duty of fair compensation in all cases where title is being infringed.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1112</w:t>
      </w:r>
      <w:r>
        <w:rPr>
          <w:rFonts w:ascii="arial" w:eastAsia="arial" w:hAnsi="arial" w:cs="arial"/>
          <w:color w:val="000000"/>
          <w:sz w:val="20"/>
          <w:lang w:val="en-US" w:eastAsia="en-US" w:bidi="ar-SA"/>
        </w:rPr>
        <w:t xml:space="preserve">  As suggested in </w:t>
      </w:r>
      <w:r>
        <w:rPr>
          <w:rFonts w:ascii="arial" w:eastAsia="arial" w:hAnsi="arial" w:cs="arial"/>
          <w:b/>
          <w:i/>
          <w:color w:val="000000"/>
          <w:sz w:val="20"/>
          <w:lang w:val="en-US" w:eastAsia="en-US" w:bidi="ar-SA"/>
        </w:rPr>
        <w:t>Delgamuukw</w:t>
      </w:r>
      <w:r>
        <w:rPr>
          <w:rFonts w:ascii="arial" w:eastAsia="arial" w:hAnsi="arial" w:cs="arial"/>
          <w:color w:val="000000"/>
          <w:sz w:val="20"/>
          <w:lang w:val="en-US" w:eastAsia="en-US" w:bidi="ar-SA"/>
        </w:rPr>
        <w:t>, (S.C.C.) at para. 167, the Crown has a duty to accommodate the participation of Tsilhqot'in people in developing the resources on their title lands. The conferral of fee simple lands for agriculture, and of leases and licences for forestry and mining must reflect the prior occupation of Aboriginal title lands. Economic barriers to Aboriginal uses of their lands, such as licensing fees, may be reduced. The Court explained that this is not an exhaustive list. There must also be an assessment of the various interests at stake in the resources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1113</w:t>
      </w:r>
      <w:r>
        <w:rPr>
          <w:rFonts w:ascii="arial" w:eastAsia="arial" w:hAnsi="arial" w:cs="arial"/>
          <w:color w:val="000000"/>
          <w:sz w:val="20"/>
          <w:lang w:val="en-US" w:eastAsia="en-US" w:bidi="ar-SA"/>
        </w:rPr>
        <w:t xml:space="preserve">  British Columbia must also demonstrate that "there has been as little infringement as possible in order to effect the desired result": </w:t>
      </w:r>
      <w:r>
        <w:rPr>
          <w:rFonts w:ascii="arial" w:eastAsia="arial" w:hAnsi="arial" w:cs="arial"/>
          <w:b/>
          <w:i/>
          <w:color w:val="000000"/>
          <w:sz w:val="20"/>
          <w:lang w:val="en-US" w:eastAsia="en-US" w:bidi="ar-SA"/>
        </w:rPr>
        <w:t>Sparrow</w:t>
      </w:r>
      <w:r>
        <w:rPr>
          <w:rFonts w:ascii="arial" w:eastAsia="arial" w:hAnsi="arial" w:cs="arial"/>
          <w:color w:val="000000"/>
          <w:sz w:val="20"/>
          <w:lang w:val="en-US" w:eastAsia="en-US" w:bidi="ar-SA"/>
        </w:rPr>
        <w:t>, p. 1119. Rather than observing this minimal requirement obligation, British Columbia does not appear to have considered in advance how its land use planning activities and proposed forestry activities might result in an infringement on Tsilhqot'in Aboriginal title and rights. Examples of these planning activities include:</w:t>
      </w:r>
      <w:r>
        <w:rPr>
          <w:rFonts w:ascii="arial" w:eastAsia="arial" w:hAnsi="arial" w:cs="arial"/>
          <w:sz w:val="20"/>
          <w:lang w:val="en-US" w:eastAsia="en-US" w:bidi="ar-SA"/>
        </w:rPr>
        <w:cr/>
      </w:r>
    </w:p>
    <w:p>
      <w:pPr>
        <w:numPr>
          <w:numId w:val="2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process by which British Columbia developed timber targets and other resource targets and priorities for the Claim Area in the Cariboo Chilcotin Land Use Plan, (CCLUP) and the decision-making process followed by British Columbia to establish those targets as a legally binding higher level plan governing resource use including timber extraction for the Claim Area;</w:t>
      </w:r>
    </w:p>
    <w:p>
      <w:pPr>
        <w:numPr>
          <w:numId w:val="2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determination of the Annual Allowable Cuts for the Williams Lake Timber Supply Area, which affects the rate of logging in the TSA and hence the Claim Area;</w:t>
      </w:r>
    </w:p>
    <w:p>
      <w:pPr>
        <w:numPr>
          <w:numId w:val="2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process by which British Columbia awarded and subsequently replaced forest tenures relevant to the Claim Area; and</w:t>
      </w:r>
    </w:p>
    <w:p>
      <w:pPr>
        <w:numPr>
          <w:numId w:val="2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approval of forest development plans and cutting authorities under those licences relevant to the Claim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 Duty to Consult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1114</w:t>
      </w:r>
      <w:r>
        <w:rPr>
          <w:rFonts w:ascii="arial" w:eastAsia="arial" w:hAnsi="arial" w:cs="arial"/>
          <w:color w:val="000000"/>
          <w:sz w:val="20"/>
          <w:lang w:val="en-US" w:eastAsia="en-US" w:bidi="ar-SA"/>
        </w:rPr>
        <w:t xml:space="preserve">  Where Aboriginal title exists or is alleged to exist, there is always a duty of consultation. As explained in </w:t>
      </w:r>
      <w:r>
        <w:rPr>
          <w:rFonts w:ascii="arial" w:eastAsia="arial" w:hAnsi="arial" w:cs="arial"/>
          <w:b/>
          <w:i/>
          <w:color w:val="000000"/>
          <w:sz w:val="20"/>
          <w:lang w:val="en-US" w:eastAsia="en-US" w:bidi="ar-SA"/>
        </w:rPr>
        <w:t>Delgamuukw</w:t>
      </w:r>
      <w:r>
        <w:rPr>
          <w:rFonts w:ascii="arial" w:eastAsia="arial" w:hAnsi="arial" w:cs="arial"/>
          <w:color w:val="000000"/>
          <w:sz w:val="20"/>
          <w:lang w:val="en-US" w:eastAsia="en-US" w:bidi="ar-SA"/>
        </w:rPr>
        <w:t>, (S.C.C.) at para. 168, the nature and scope of the duty of consultation will vary with the circumstances: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occasional cases, when the breach is less serious or relatively minor, it will be no more than a duty to discuss important decisions that will be taken with respect to lands held pursuant to aboriginal title. Of course, even in these rare cases when the minimum acceptable standard is consultation, this consultation must be in good faith, and with the intention of substantially addressing the concerns of the aboriginal peoples whose lands are at issue. In most cases, it will be significantly deeper than mere consultation. Some cases may even require the full consent of an aboriginal nation, particularly when provinces enact hunting and fishing regulations in relation to aboriginal lands.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1115</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Haida Nation</w:t>
      </w:r>
      <w:r>
        <w:rPr>
          <w:rFonts w:ascii="arial" w:eastAsia="arial" w:hAnsi="arial" w:cs="arial"/>
          <w:color w:val="000000"/>
          <w:sz w:val="20"/>
          <w:lang w:val="en-US" w:eastAsia="en-US" w:bidi="ar-SA"/>
        </w:rPr>
        <w:t xml:space="preserve"> the Court established a framework for the duty to consult and accommodate. The government's duty to consult and accommodate is "grounded in the honour of the Crown" and this is a "core precept": </w:t>
      </w:r>
      <w:r>
        <w:rPr>
          <w:rFonts w:ascii="arial" w:eastAsia="arial" w:hAnsi="arial" w:cs="arial"/>
          <w:b/>
          <w:i/>
          <w:color w:val="000000"/>
          <w:sz w:val="20"/>
          <w:lang w:val="en-US" w:eastAsia="en-US" w:bidi="ar-SA"/>
        </w:rPr>
        <w:t>Haida Nation</w:t>
      </w:r>
      <w:r>
        <w:rPr>
          <w:rFonts w:ascii="arial" w:eastAsia="arial" w:hAnsi="arial" w:cs="arial"/>
          <w:color w:val="000000"/>
          <w:sz w:val="20"/>
          <w:lang w:val="en-US" w:eastAsia="en-US" w:bidi="ar-SA"/>
        </w:rPr>
        <w:t>, at para. 16. McLachlin C.J.C. went on to say at para. 17: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historical roots of the principle of the honour of the Crown suggest that it must be understood generously in order to reflect the underlying realities from which it stems. In all its dealings with Aboriginal peoples, from the assertion of sovereignty to the resolution of claims and the implementation of treaties, the Crown must act honourably. Nothing less is required if we are to achieve "the reconciliation of the pre-existence of aboriginal societies with the sovereignty of the Crown": </w:t>
      </w:r>
      <w:r>
        <w:rPr>
          <w:rFonts w:ascii="arial" w:eastAsia="arial" w:hAnsi="arial" w:cs="arial"/>
          <w:i/>
          <w:color w:val="000000"/>
          <w:sz w:val="20"/>
          <w:lang w:val="en-US" w:eastAsia="en-US" w:bidi="ar-SA"/>
        </w:rPr>
        <w:t>Delgamuukw, supra</w:t>
      </w:r>
      <w:r>
        <w:rPr>
          <w:rFonts w:ascii="arial" w:eastAsia="arial" w:hAnsi="arial" w:cs="arial"/>
          <w:color w:val="000000"/>
          <w:sz w:val="20"/>
          <w:lang w:val="en-US" w:eastAsia="en-US" w:bidi="ar-SA"/>
        </w:rPr>
        <w:t xml:space="preserve">, at para. 186, quoting </w:t>
      </w:r>
      <w:r>
        <w:rPr>
          <w:rFonts w:ascii="arial" w:eastAsia="arial" w:hAnsi="arial" w:cs="arial"/>
          <w:i/>
          <w:color w:val="000000"/>
          <w:sz w:val="20"/>
          <w:lang w:val="en-US" w:eastAsia="en-US" w:bidi="ar-SA"/>
        </w:rPr>
        <w:t>Van der Peet, supra</w:t>
      </w:r>
      <w:r>
        <w:rPr>
          <w:rFonts w:ascii="arial" w:eastAsia="arial" w:hAnsi="arial" w:cs="arial"/>
          <w:color w:val="000000"/>
          <w:sz w:val="20"/>
          <w:lang w:val="en-US" w:eastAsia="en-US" w:bidi="ar-SA"/>
        </w:rPr>
        <w:t>, at para. 31.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1116</w:t>
      </w:r>
      <w:r>
        <w:rPr>
          <w:rFonts w:ascii="arial" w:eastAsia="arial" w:hAnsi="arial" w:cs="arial"/>
          <w:color w:val="000000"/>
          <w:sz w:val="20"/>
          <w:lang w:val="en-US" w:eastAsia="en-US" w:bidi="ar-SA"/>
        </w:rPr>
        <w:t xml:space="preserve">  Canadians need to understand that it is not a distant monarch whose honour is at issue. "Honour of the Crown" in our country, in this age, translates to a matter of national honour, an obligation all Canadians are bound to uphold and respect. At para. 18, the Court in </w:t>
      </w:r>
      <w:r>
        <w:rPr>
          <w:rFonts w:ascii="arial" w:eastAsia="arial" w:hAnsi="arial" w:cs="arial"/>
          <w:b/>
          <w:i/>
          <w:color w:val="000000"/>
          <w:sz w:val="20"/>
          <w:lang w:val="en-US" w:eastAsia="en-US" w:bidi="ar-SA"/>
        </w:rPr>
        <w:t>Haida Nation</w:t>
      </w:r>
      <w:r>
        <w:rPr>
          <w:rFonts w:ascii="arial" w:eastAsia="arial" w:hAnsi="arial" w:cs="arial"/>
          <w:color w:val="000000"/>
          <w:sz w:val="20"/>
          <w:lang w:val="en-US" w:eastAsia="en-US" w:bidi="ar-SA"/>
        </w:rPr>
        <w:t xml:space="preserv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honour of the Crown gives rise to different duties in different circumstances. Where the Crown has assumed discretionary control over specific Aboriginal interests, the honour of the Crown gives rise to a fiduciary duty: </w:t>
      </w:r>
      <w:r>
        <w:rPr>
          <w:rFonts w:ascii="arial" w:eastAsia="arial" w:hAnsi="arial" w:cs="arial"/>
          <w:i/>
          <w:color w:val="000000"/>
          <w:sz w:val="20"/>
          <w:lang w:val="en-US" w:eastAsia="en-US" w:bidi="ar-SA"/>
        </w:rPr>
        <w:t>Wewaykum Indian Band v. Canada</w:t>
      </w:r>
      <w:r>
        <w:rPr>
          <w:rFonts w:ascii="arial" w:eastAsia="arial" w:hAnsi="arial" w:cs="arial"/>
          <w:color w:val="000000"/>
          <w:sz w:val="20"/>
          <w:lang w:val="en-US" w:eastAsia="en-US" w:bidi="ar-SA"/>
        </w:rPr>
        <w:t xml:space="preserve">, </w:t>
      </w:r>
      <w:hyperlink r:id="rId720" w:history="1">
        <w:r>
          <w:rPr>
            <w:rFonts w:ascii="arial" w:eastAsia="arial" w:hAnsi="arial" w:cs="arial"/>
            <w:i/>
            <w:color w:val="0077CC"/>
            <w:sz w:val="20"/>
            <w:u w:val="single"/>
            <w:shd w:val="clear" w:color="auto" w:fill="FFFFFF"/>
            <w:lang w:val="en-US" w:eastAsia="en-US" w:bidi="ar-SA"/>
          </w:rPr>
          <w:t>[2002] 4 S.C.R. 245</w:t>
        </w:r>
      </w:hyperlink>
      <w:r>
        <w:rPr>
          <w:rFonts w:ascii="arial" w:eastAsia="arial" w:hAnsi="arial" w:cs="arial"/>
          <w:color w:val="000000"/>
          <w:sz w:val="20"/>
          <w:lang w:val="en-US" w:eastAsia="en-US" w:bidi="ar-SA"/>
        </w:rPr>
        <w:t xml:space="preserve">, </w:t>
      </w:r>
      <w:hyperlink r:id="rId720" w:history="1">
        <w:r>
          <w:rPr>
            <w:rFonts w:ascii="arial" w:eastAsia="arial" w:hAnsi="arial" w:cs="arial"/>
            <w:i/>
            <w:color w:val="0077CC"/>
            <w:sz w:val="20"/>
            <w:u w:val="single"/>
            <w:shd w:val="clear" w:color="auto" w:fill="FFFFFF"/>
            <w:lang w:val="en-US" w:eastAsia="en-US" w:bidi="ar-SA"/>
          </w:rPr>
          <w:t>2002 SCC 79</w:t>
        </w:r>
      </w:hyperlink>
      <w:r>
        <w:rPr>
          <w:rFonts w:ascii="arial" w:eastAsia="arial" w:hAnsi="arial" w:cs="arial"/>
          <w:color w:val="000000"/>
          <w:sz w:val="20"/>
          <w:lang w:val="en-US" w:eastAsia="en-US" w:bidi="ar-SA"/>
        </w:rPr>
        <w:t xml:space="preserve">, at para. 79. The content of the fiduciary duty may vary to take into account the Crown's other, broader obligations. However, the duty's fulfilment requires that the Crown act with reference to the Aboriginal group's best interest in exercising discretionary control over the specific Aboriginal interest at stake. As explained in </w:t>
      </w:r>
      <w:r>
        <w:rPr>
          <w:rFonts w:ascii="arial" w:eastAsia="arial" w:hAnsi="arial" w:cs="arial"/>
          <w:i/>
          <w:color w:val="000000"/>
          <w:sz w:val="20"/>
          <w:lang w:val="en-US" w:eastAsia="en-US" w:bidi="ar-SA"/>
        </w:rPr>
        <w:t>Wewaykum</w:t>
      </w:r>
      <w:r>
        <w:rPr>
          <w:rFonts w:ascii="arial" w:eastAsia="arial" w:hAnsi="arial" w:cs="arial"/>
          <w:color w:val="000000"/>
          <w:sz w:val="20"/>
          <w:lang w:val="en-US" w:eastAsia="en-US" w:bidi="ar-SA"/>
        </w:rPr>
        <w:t>, at para. 81, the term "fiduciary duty" does not connote a universal trust relationship encompassing all aspects of the relationship between the Crown and Aboriginal peoples: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"fiduciary duty" as a source of plenary Crown liability covering all aspects of the Crown-Indian band relationship ... overshoots the mark. The fiduciary duty imposed on the Crown does not exist at large but in relation to specific Indian interests.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1117</w:t>
      </w:r>
      <w:r>
        <w:rPr>
          <w:rFonts w:ascii="arial" w:eastAsia="arial" w:hAnsi="arial" w:cs="arial"/>
          <w:color w:val="000000"/>
          <w:sz w:val="20"/>
          <w:lang w:val="en-US" w:eastAsia="en-US" w:bidi="ar-SA"/>
        </w:rPr>
        <w:t xml:space="preserve">  After a review of earlier decisions of the Court on the subject of the duty to consult, McLachlin C.J.C. in </w:t>
      </w:r>
      <w:r>
        <w:rPr>
          <w:rFonts w:ascii="arial" w:eastAsia="arial" w:hAnsi="arial" w:cs="arial"/>
          <w:b/>
          <w:i/>
          <w:color w:val="000000"/>
          <w:sz w:val="20"/>
          <w:lang w:val="en-US" w:eastAsia="en-US" w:bidi="ar-SA"/>
        </w:rPr>
        <w:t>Haida Nation</w:t>
      </w:r>
      <w:r>
        <w:rPr>
          <w:rFonts w:ascii="arial" w:eastAsia="arial" w:hAnsi="arial" w:cs="arial"/>
          <w:color w:val="000000"/>
          <w:sz w:val="20"/>
          <w:lang w:val="en-US" w:eastAsia="en-US" w:bidi="ar-SA"/>
        </w:rPr>
        <w:t xml:space="preserve"> said at para. 25: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Put simply, Canada's Aboriginal peoples were here when Europeans came, and were never conquered. Many bands reconciled their claims with the sovereignty of the Crown through negotiated treaties. Others, notably in British Columbia, have yet to do so. The potential rights embedded in these claims are protected by s. 35 of the </w:t>
      </w:r>
      <w:r>
        <w:rPr>
          <w:rFonts w:ascii="arial" w:eastAsia="arial" w:hAnsi="arial" w:cs="arial"/>
          <w:i/>
          <w:color w:val="000000"/>
          <w:sz w:val="20"/>
          <w:lang w:val="en-US" w:eastAsia="en-US" w:bidi="ar-SA"/>
        </w:rPr>
        <w:t>Constitution Act, 1982</w:t>
      </w:r>
      <w:r>
        <w:rPr>
          <w:rFonts w:ascii="arial" w:eastAsia="arial" w:hAnsi="arial" w:cs="arial"/>
          <w:color w:val="000000"/>
          <w:sz w:val="20"/>
          <w:lang w:val="en-US" w:eastAsia="en-US" w:bidi="ar-SA"/>
        </w:rPr>
        <w:t>. The honour of the Crown requires that these rights be determined, recognized and respected. This, in turn, requires the Crown, acting honourably, to participate in processes of negotiation. While this process continues, the honour of the Crown may require it to consult and, where indicated, accommodate Aboriginal interests.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1118</w:t>
      </w:r>
      <w:r>
        <w:rPr>
          <w:rFonts w:ascii="arial" w:eastAsia="arial" w:hAnsi="arial" w:cs="arial"/>
          <w:color w:val="000000"/>
          <w:sz w:val="20"/>
          <w:lang w:val="en-US" w:eastAsia="en-US" w:bidi="ar-SA"/>
        </w:rPr>
        <w:t>  Noting that the proof of an Aboriginal right may take considerable time (as this case and the current treaty process demonstrate), the Court points out the underlying "need to reconcile prior Aboriginal occupation of the land with the reality of Crown sovereignty" and continues at para. 26 to pose the central questions: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Is the Crown, under the aegis of its asserted sovereignty, entitled to use the resources at issue as it chooses, pending proof and resolution of the Aboriginal claim? Or must it adjust its conduct to reflect the as yet unresolved rights claimed by the Aboriginal claimants?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1119</w:t>
      </w:r>
      <w:r>
        <w:rPr>
          <w:rFonts w:ascii="arial" w:eastAsia="arial" w:hAnsi="arial" w:cs="arial"/>
          <w:color w:val="000000"/>
          <w:sz w:val="20"/>
          <w:lang w:val="en-US" w:eastAsia="en-US" w:bidi="ar-SA"/>
        </w:rPr>
        <w:t>  The answer to these questions is provided in para. 27: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answer, once again, lies in the honour of the Crown. The Crown, acting honourably, cannot cavalierly run roughshod over Aboriginal interests where claims affecting these interests are being seriously pursued in the process of treaty negotiation and proof. It must respect these potential, but yet unproven, interests. The Crown is not rendered impotent. It may continue to manage the resource in question pending claims resolution. But, depending on the circumstances, discussed more fully below, the honour of the Crown may require it to consult with and reasonably accommodate Aboriginal interests pending resolution of the claim. To unilaterally exploit a claimed resource during the process of proving and resolving the Aboriginal claim to that resource, may be to deprive the Aboriginal claimants of some or all of the benefit of the resource. That is not honourable.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1120</w:t>
      </w:r>
      <w:r>
        <w:rPr>
          <w:rFonts w:ascii="arial" w:eastAsia="arial" w:hAnsi="arial" w:cs="arial"/>
          <w:color w:val="000000"/>
          <w:sz w:val="20"/>
          <w:lang w:val="en-US" w:eastAsia="en-US" w:bidi="ar-SA"/>
        </w:rPr>
        <w:t xml:space="preserve">  The Court in </w:t>
      </w:r>
      <w:r>
        <w:rPr>
          <w:rFonts w:ascii="arial" w:eastAsia="arial" w:hAnsi="arial" w:cs="arial"/>
          <w:b/>
          <w:i/>
          <w:color w:val="000000"/>
          <w:sz w:val="20"/>
          <w:lang w:val="en-US" w:eastAsia="en-US" w:bidi="ar-SA"/>
        </w:rPr>
        <w:t>Haida Nation</w:t>
      </w:r>
      <w:r>
        <w:rPr>
          <w:rFonts w:ascii="arial" w:eastAsia="arial" w:hAnsi="arial" w:cs="arial"/>
          <w:color w:val="000000"/>
          <w:sz w:val="20"/>
          <w:lang w:val="en-US" w:eastAsia="en-US" w:bidi="ar-SA"/>
        </w:rPr>
        <w:t xml:space="preserve"> rejected the Province's argument that there is no duty to consult and accommodate prior to final determination of the scope and content of any right, saying at para. 33: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 limit reconciliation to the post-proof sphere risks treating reconciliation as a distant legalistic goal, devoid of the "meaningful content" mandated by the "solemn commitment" made by the Crown in recognizing and affirming Aboriginal rights and title: </w:t>
      </w:r>
      <w:r>
        <w:rPr>
          <w:rFonts w:ascii="arial" w:eastAsia="arial" w:hAnsi="arial" w:cs="arial"/>
          <w:i/>
          <w:color w:val="000000"/>
          <w:sz w:val="20"/>
          <w:lang w:val="en-US" w:eastAsia="en-US" w:bidi="ar-SA"/>
        </w:rPr>
        <w:t>Sparrow, supra</w:t>
      </w:r>
      <w:r>
        <w:rPr>
          <w:rFonts w:ascii="arial" w:eastAsia="arial" w:hAnsi="arial" w:cs="arial"/>
          <w:color w:val="000000"/>
          <w:sz w:val="20"/>
          <w:lang w:val="en-US" w:eastAsia="en-US" w:bidi="ar-SA"/>
        </w:rPr>
        <w:t>, at p. 1108. It also risks unfortunate consequences. When the distant goal of proof is finally reached, the Aboriginal peoples may find their land and resources changed and denuded. This is not reconciliation. Nor is it honourable.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1121</w:t>
      </w:r>
      <w:r>
        <w:rPr>
          <w:rFonts w:ascii="arial" w:eastAsia="arial" w:hAnsi="arial" w:cs="arial"/>
          <w:color w:val="000000"/>
          <w:sz w:val="20"/>
          <w:lang w:val="en-US" w:eastAsia="en-US" w:bidi="ar-SA"/>
        </w:rPr>
        <w:t xml:space="preserve">  At para. 35, the Court explains that the "duty arises when the Crown has knowledge, real or constructive, of the potential existence of the Aboriginal right or title and contemplates conduct that might adversely affect it: see </w:t>
      </w:r>
      <w:r>
        <w:rPr>
          <w:rFonts w:ascii="arial" w:eastAsia="arial" w:hAnsi="arial" w:cs="arial"/>
          <w:b/>
          <w:i/>
          <w:color w:val="000000"/>
          <w:sz w:val="20"/>
          <w:lang w:val="en-US" w:eastAsia="en-US" w:bidi="ar-SA"/>
        </w:rPr>
        <w:t>Halfway River First Nation v. British Columbia (Ministry of Forests)</w:t>
      </w:r>
      <w:r>
        <w:rPr>
          <w:rFonts w:ascii="arial" w:eastAsia="arial" w:hAnsi="arial" w:cs="arial"/>
          <w:color w:val="000000"/>
          <w:sz w:val="20"/>
          <w:lang w:val="en-US" w:eastAsia="en-US" w:bidi="ar-SA"/>
        </w:rPr>
        <w:t xml:space="preserve">, </w:t>
      </w:r>
      <w:hyperlink r:id="rId721" w:history="1">
        <w:r>
          <w:rPr>
            <w:rFonts w:ascii="arial" w:eastAsia="arial" w:hAnsi="arial" w:cs="arial"/>
            <w:i/>
            <w:color w:val="0077CC"/>
            <w:sz w:val="20"/>
            <w:u w:val="single"/>
            <w:shd w:val="clear" w:color="auto" w:fill="FFFFFF"/>
            <w:lang w:val="en-US" w:eastAsia="en-US" w:bidi="ar-SA"/>
          </w:rPr>
          <w:t>[1997] 4 C.N.L.R. 45</w:t>
        </w:r>
      </w:hyperlink>
      <w:r>
        <w:rPr>
          <w:rFonts w:ascii="arial" w:eastAsia="arial" w:hAnsi="arial" w:cs="arial"/>
          <w:color w:val="000000"/>
          <w:sz w:val="20"/>
          <w:lang w:val="en-US" w:eastAsia="en-US" w:bidi="ar-SA"/>
        </w:rPr>
        <w:t xml:space="preserve"> (B.C.S.C.), at p. 71,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Dorgan J.". At para. 37, the Court in </w:t>
      </w:r>
      <w:r>
        <w:rPr>
          <w:rFonts w:ascii="arial" w:eastAsia="arial" w:hAnsi="arial" w:cs="arial"/>
          <w:b/>
          <w:i/>
          <w:color w:val="000000"/>
          <w:sz w:val="20"/>
          <w:lang w:val="en-US" w:eastAsia="en-US" w:bidi="ar-SA"/>
        </w:rPr>
        <w:t>Haida Nation</w:t>
      </w:r>
      <w:r>
        <w:rPr>
          <w:rFonts w:ascii="arial" w:eastAsia="arial" w:hAnsi="arial" w:cs="arial"/>
          <w:color w:val="000000"/>
          <w:sz w:val="20"/>
          <w:lang w:val="en-US" w:eastAsia="en-US" w:bidi="ar-SA"/>
        </w:rPr>
        <w:t xml:space="preserve"> explains that "[k]nowledge of a credible but unproven claim suffices to trigger a duty to consult and accommodate".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1122</w:t>
      </w:r>
      <w:r>
        <w:rPr>
          <w:rFonts w:ascii="arial" w:eastAsia="arial" w:hAnsi="arial" w:cs="arial"/>
          <w:color w:val="000000"/>
          <w:sz w:val="20"/>
          <w:lang w:val="en-US" w:eastAsia="en-US" w:bidi="ar-SA"/>
        </w:rPr>
        <w:t>  The Court then considered the scope and content of the duty to consult, noting in para. 41 that "it is not useful to classify situations into watertight compartments, different situations requiring different responses can be identified." The Court presented "the concept of a spectrum", stating at paras. 43-45: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At one end of the spectrum lie cases where the claim to title is weak, the Aboriginal right limited, or the potential for infringement minor. In such cases, the only duty on the Crown may be to give notice, disclose information, and discuss any issues raised in response to the notice. "'[C]onsultation' in its least technical definition is talking together for mutual understanding": T. Isaac and A. Knox, "The Crown's Duty to Consult Aboriginal People" </w:t>
      </w:r>
      <w:hyperlink r:id="rId722" w:history="1">
        <w:r>
          <w:rPr>
            <w:rFonts w:ascii="arial" w:eastAsia="arial" w:hAnsi="arial" w:cs="arial"/>
            <w:i/>
            <w:color w:val="0077CC"/>
            <w:sz w:val="20"/>
            <w:u w:val="single"/>
            <w:shd w:val="clear" w:color="auto" w:fill="FFFFFF"/>
            <w:lang w:val="en-US" w:eastAsia="en-US" w:bidi="ar-SA"/>
          </w:rPr>
          <w:t>(2003), 41 Alta. L. Rev. 49</w:t>
        </w:r>
      </w:hyperlink>
      <w:r>
        <w:rPr>
          <w:rFonts w:ascii="arial" w:eastAsia="arial" w:hAnsi="arial" w:cs="arial"/>
          <w:color w:val="000000"/>
          <w:sz w:val="20"/>
          <w:lang w:val="en-US" w:eastAsia="en-US" w:bidi="ar-SA"/>
        </w:rPr>
        <w:t>, at p. 61.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At the other end of the spectrum lies cases where a strong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for the claim is established, the right and potential infringement is of high significance to the Aboriginal peoples, and the risk of non-compensable damage is high. In such cases deep consultation, aimed at finding a satisfactory interim solution, may be required. While precise requirements will vary with the circumstances, the consultation required at this stage may entail the opportunity to make submissions for consideration, formal participation in the decision-making process, and provision of written reasons to show that Aboriginal concerns were considered and to reveal the impact they had on the decision. This list is neither exhaustive, nor mandatory for every case. The government may wish to adopt dispute resolution procedures like mediation or administrative regimes with impartial decision-makers in complex or difficult cases.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Between these two extremes of the spectrum just described, will lie other situations. Every case must be approached individually. Each must also be approached flexibly, since the level of consultation required may change as the process goes on and new information comes to light. The controlling question in all situations is what is required to maintain the honour of the Crown and to effect reconciliation between the Crown and the Aboriginal peoples with respect to the interests at stake. Pending settlement, the Crown is bound by its honour to balance societal and Aboriginal interests in making decisions that may affect Aboriginal claims. The Crown may be required to make decisions in the face of disagreement as to the adequacy of its response to Aboriginal concerns. Balance and compromise will then be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1123</w:t>
      </w:r>
      <w:r>
        <w:rPr>
          <w:rFonts w:ascii="arial" w:eastAsia="arial" w:hAnsi="arial" w:cs="arial"/>
          <w:color w:val="000000"/>
          <w:sz w:val="20"/>
          <w:lang w:val="en-US" w:eastAsia="en-US" w:bidi="ar-SA"/>
        </w:rPr>
        <w:t>  To assist the Court in the consideration of the evidence, British Columbia summarized the evidence in a booklet entitled, "Chronologies, including consultation chronologies, dating from February 10, 1982 up to December 5, 2005". The consultation chronology consists of 193 pages. There is no doubt that considerable effort has been made to engage Tsilhqot'in people in the forestry proposals and the land use planning in the Claim Area. The central question is whether all of this effort amounts to genuine consultation.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1124</w:t>
      </w:r>
      <w:r>
        <w:rPr>
          <w:rFonts w:ascii="arial" w:eastAsia="arial" w:hAnsi="arial" w:cs="arial"/>
          <w:color w:val="000000"/>
          <w:sz w:val="20"/>
          <w:lang w:val="en-US" w:eastAsia="en-US" w:bidi="ar-SA"/>
        </w:rPr>
        <w:t>  British Columbia argues that it has met its consultation duties respecting the CCLUP and other land use planning processes, but that the plaintiff has not responded in good faith. The plaintiff disagrees and argues that in the CCLUP and other land use planning processes, British Columbia has failed to reconcile its sovereignty with the Tsilhqot'in people's claims of Aboriginal title and rights.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1125</w:t>
      </w:r>
      <w:r>
        <w:rPr>
          <w:rFonts w:ascii="arial" w:eastAsia="arial" w:hAnsi="arial" w:cs="arial"/>
          <w:color w:val="000000"/>
          <w:sz w:val="20"/>
          <w:lang w:val="en-US" w:eastAsia="en-US" w:bidi="ar-SA"/>
        </w:rPr>
        <w:t xml:space="preserve">  It is informative to consider the setting of the AAC under the provisions of the </w:t>
      </w:r>
      <w:r>
        <w:rPr>
          <w:rFonts w:ascii="arial" w:eastAsia="arial" w:hAnsi="arial" w:cs="arial"/>
          <w:b/>
          <w:i/>
          <w:color w:val="000000"/>
          <w:sz w:val="20"/>
          <w:lang w:val="en-US" w:eastAsia="en-US" w:bidi="ar-SA"/>
        </w:rPr>
        <w:t>Forest Act</w:t>
      </w:r>
      <w:r>
        <w:rPr>
          <w:rFonts w:ascii="arial" w:eastAsia="arial" w:hAnsi="arial" w:cs="arial"/>
          <w:color w:val="000000"/>
          <w:sz w:val="20"/>
          <w:lang w:val="en-US" w:eastAsia="en-US" w:bidi="ar-SA"/>
        </w:rPr>
        <w:t>. This task is assigned to the Chief Forester. The legislation is silent with respect to Aboriginal title and rights. The Chief Forester interpreted this silence as a direction to him to ignore any actual or claimed Aboriginal title or rights when determining the AAC. The AAC is based on the assumption that all areas contribute to the timber supply within the TSA until the issue of Aboriginal title is finally resolved.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1126</w:t>
      </w:r>
      <w:r>
        <w:rPr>
          <w:rFonts w:ascii="arial" w:eastAsia="arial" w:hAnsi="arial" w:cs="arial"/>
          <w:color w:val="000000"/>
          <w:sz w:val="20"/>
          <w:lang w:val="en-US" w:eastAsia="en-US" w:bidi="ar-SA"/>
        </w:rPr>
        <w:t>  In 1992 the Premier of British Columbia, Premier Michael Harcourt, gave his undertaking to the Tsilhqot'in chiefs that no harvesting would occur in the Brittany Triangle without the consent of the Xeni Gwet'in.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1127</w:t>
      </w:r>
      <w:r>
        <w:rPr>
          <w:rFonts w:ascii="arial" w:eastAsia="arial" w:hAnsi="arial" w:cs="arial"/>
          <w:color w:val="000000"/>
          <w:sz w:val="20"/>
          <w:lang w:val="en-US" w:eastAsia="en-US" w:bidi="ar-SA"/>
        </w:rPr>
        <w:t>  The Chief Forester was aware of this commitment when he made the 1996 AAC determination. Despite this knowledge, the Chief Forester considered it to be his statutory duty to fully incorporate the Claim Area into the timber harvesting land base and to ignore the potential for Tsilhqot'in Aboriginal title. The 1996 AAC was dependant on timber from that area. Notwithstanding that this decision clearly and specifically related to the future use and exploitation of lands in the Claim Area, Tsilhqot'in Aboriginal title is not mentioned as a relevant factor in the 1996 AAC rationale.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1128</w:t>
      </w:r>
      <w:r>
        <w:rPr>
          <w:rFonts w:ascii="arial" w:eastAsia="arial" w:hAnsi="arial" w:cs="arial"/>
          <w:color w:val="000000"/>
          <w:sz w:val="20"/>
          <w:lang w:val="en-US" w:eastAsia="en-US" w:bidi="ar-SA"/>
        </w:rPr>
        <w:t>  The former Chief Forester testified that he did not (and believed he could not) adjust his AAC determination on the basis of a claim to Aboriginal rights and title. But the claims of the Tsilhqot'in people to Aboriginal rights and title imposed upon him a duty to consult. His failure to consult is not an infringement of Tsilhqot'in Aboriginal rights, including title. But what it means is that the Province is unable to justify their actual infringements of Aboriginal title and rights that might flow from the decision. This failure to consult might result in a later claim for damages dependant on the consequences of the decision that was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1129</w:t>
      </w:r>
      <w:r>
        <w:rPr>
          <w:rFonts w:ascii="arial" w:eastAsia="arial" w:hAnsi="arial" w:cs="arial"/>
          <w:color w:val="000000"/>
          <w:sz w:val="20"/>
          <w:lang w:val="en-US" w:eastAsia="en-US" w:bidi="ar-SA"/>
        </w:rPr>
        <w:t>  British Columbia says that while strategic planning decisions may have serious impacts on Aboriginal title, all that such decisions trigger is a duty to consult. There can be no infringement until there is an authorization by the Crown for the removal of timber. Until that occurs, there is no direct infringement, only the potential for infringement.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1130</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Haida Nation v. British Columbia (Minister of Forests)</w:t>
      </w:r>
      <w:r>
        <w:rPr>
          <w:rFonts w:ascii="arial" w:eastAsia="arial" w:hAnsi="arial" w:cs="arial"/>
          <w:color w:val="000000"/>
          <w:sz w:val="20"/>
          <w:lang w:val="en-US" w:eastAsia="en-US" w:bidi="ar-SA"/>
        </w:rPr>
        <w:t xml:space="preserve">, </w:t>
      </w:r>
      <w:hyperlink r:id="rId692" w:history="1">
        <w:r>
          <w:rPr>
            <w:rFonts w:ascii="arial" w:eastAsia="arial" w:hAnsi="arial" w:cs="arial"/>
            <w:i/>
            <w:color w:val="0077CC"/>
            <w:sz w:val="20"/>
            <w:u w:val="single"/>
            <w:shd w:val="clear" w:color="auto" w:fill="FFFFFF"/>
            <w:lang w:val="en-US" w:eastAsia="en-US" w:bidi="ar-SA"/>
          </w:rPr>
          <w:t>[2004] 3 S.C.R. 511</w:t>
        </w:r>
      </w:hyperlink>
      <w:r>
        <w:rPr>
          <w:rFonts w:ascii="arial" w:eastAsia="arial" w:hAnsi="arial" w:cs="arial"/>
          <w:color w:val="000000"/>
          <w:sz w:val="20"/>
          <w:lang w:val="en-US" w:eastAsia="en-US" w:bidi="ar-SA"/>
        </w:rPr>
        <w:t xml:space="preserve">, </w:t>
      </w:r>
      <w:hyperlink r:id="rId692" w:history="1">
        <w:r>
          <w:rPr>
            <w:rFonts w:ascii="arial" w:eastAsia="arial" w:hAnsi="arial" w:cs="arial"/>
            <w:i/>
            <w:color w:val="0077CC"/>
            <w:sz w:val="20"/>
            <w:u w:val="single"/>
            <w:shd w:val="clear" w:color="auto" w:fill="FFFFFF"/>
            <w:lang w:val="en-US" w:eastAsia="en-US" w:bidi="ar-SA"/>
          </w:rPr>
          <w:t>2004 SCC 73</w:t>
        </w:r>
      </w:hyperlink>
      <w:r>
        <w:rPr>
          <w:rFonts w:ascii="arial" w:eastAsia="arial" w:hAnsi="arial" w:cs="arial"/>
          <w:color w:val="000000"/>
          <w:sz w:val="20"/>
          <w:lang w:val="en-US" w:eastAsia="en-US" w:bidi="ar-SA"/>
        </w:rPr>
        <w:t xml:space="preserve"> when discussing the duty to consult, the Court said at paras. 75-76: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next question is when does the duty to consult arise? Does it arise at the stage of granting a Tree Farm Licence, or only at the stage of granting cutting permits? The T.F.L. replacement does not itself authorize timber harvesting, which occurs only pursuant to cutting permits. T.F.L. replacements occur periodically, and a particular T.F.L. replacement decision may not result in the substance of the asserted right being destroyed. The Province argues that, although it did not consult the Haida prior to replacing the T.F.L., it "has consulted, and continues to consult with the Haida prior to authorizing any cutting permits or other operational plans" (Crown's factum, at para. 64).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conclude that the Province has a duty to consult and perhaps accommodate on T.F.L. decisions. The T.F.L. decision reflects the strategic planning for utilization of the resource. </w:t>
      </w:r>
      <w:r>
        <w:rPr>
          <w:rFonts w:ascii="arial" w:eastAsia="arial" w:hAnsi="arial" w:cs="arial"/>
          <w:i/>
          <w:color w:val="000000"/>
          <w:sz w:val="20"/>
          <w:lang w:val="en-US" w:eastAsia="en-US" w:bidi="ar-SA"/>
        </w:rPr>
        <w:t>Decisions made during strategic planning may have potentially serious impacts on Aboriginal right and title.</w:t>
      </w:r>
      <w:r>
        <w:rPr>
          <w:rFonts w:ascii="arial" w:eastAsia="arial" w:hAnsi="arial" w:cs="arial"/>
          <w:color w:val="000000"/>
          <w:sz w:val="20"/>
          <w:lang w:val="en-US" w:eastAsia="en-US" w:bidi="ar-SA"/>
        </w:rPr>
        <w:t xml:space="preserve"> The holder of T.F.L. 39 must submit a management plan to the Chief Forester every five years, to include inventories of the licence area's resources, a timber supply analysis, and a "20-Year Plan" setting out a hypothetical sequence of cutblocks. The inventories and the timber supply analysis form the basis of the determination of the allowable annual cut ("A.A.C.") for the licence. The licensee thus develops the technical information based upon which the A.A.C. is calculated. Consultation at the operational level thus has little effect on the quantity of the annual allowable cut, which in turn determines cutting permit terms. If consultation is to be meaningful, it must take place at the stage of granting or renewing Tree Farm Licences.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1131</w:t>
      </w:r>
      <w:r>
        <w:rPr>
          <w:rFonts w:ascii="arial" w:eastAsia="arial" w:hAnsi="arial" w:cs="arial"/>
          <w:color w:val="000000"/>
          <w:sz w:val="20"/>
          <w:lang w:val="en-US" w:eastAsia="en-US" w:bidi="ar-SA"/>
        </w:rPr>
        <w:t>  In my view, all of the events that lead up to the granting of a cutting permit signal the Province's intention to manage and dispose of an Aboriginal asset. These events demand consultation and, where necessary, appropriate accommodations where Aboriginal rights are claimed. The nature of accommodations, if any, would be entirely case specific.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1132</w:t>
      </w:r>
      <w:r>
        <w:rPr>
          <w:rFonts w:ascii="arial" w:eastAsia="arial" w:hAnsi="arial" w:cs="arial"/>
          <w:color w:val="000000"/>
          <w:sz w:val="20"/>
          <w:lang w:val="en-US" w:eastAsia="en-US" w:bidi="ar-SA"/>
        </w:rPr>
        <w:t>  The 1992 Tsuniah Lake Local Resource Use Plan and the 1993 draft Brittany Lake Forest Management Plan demonstrate the Province's determination to open up the Claim Area for logging. This objective was confirmed by the terms of the Cariboo-Chilcotin Land Use Plan established in 1994, and the related planning processes. The CCLUP is an expression of the highest level of provincial land use planning. The portions enacted by Cabinet as a higher level plan have the force of law and establish a process for all lower level decisions. These include timber targets for harvesting that direct a substantial level of commercial harvesting in the Claim Area in order to meet the targets mandated by the Plan.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1133</w:t>
      </w:r>
      <w:r>
        <w:rPr>
          <w:rFonts w:ascii="arial" w:eastAsia="arial" w:hAnsi="arial" w:cs="arial"/>
          <w:color w:val="000000"/>
          <w:sz w:val="20"/>
          <w:lang w:val="en-US" w:eastAsia="en-US" w:bidi="ar-SA"/>
        </w:rPr>
        <w:t>  I do not propose to review these land use plans in detail. It is sufficient to note that none of the three plans took into account any Aboriginal title or Aboriginal rights that might exist in the Claim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1134</w:t>
      </w:r>
      <w:r>
        <w:rPr>
          <w:rFonts w:ascii="arial" w:eastAsia="arial" w:hAnsi="arial" w:cs="arial"/>
          <w:color w:val="000000"/>
          <w:sz w:val="20"/>
          <w:lang w:val="en-US" w:eastAsia="en-US" w:bidi="ar-SA"/>
        </w:rPr>
        <w:t>  The Province's express purpose in establishing the CCLUP was "resolving uncertainty" and dedicating "resource lands for industry and jobs". In its October 1994 explanation of the CCLUP, the Province said,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provincial government recognizes the need to ensure that all Cariboo residents and business interests have certainty of access to the natural resources they depend on to make a living, while ensuring recognition of special values. Secure access to these resources will provide economic and social stability, plus increase opportunities for sustainable growth and investment throughout the region.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1135</w:t>
      </w:r>
      <w:r>
        <w:rPr>
          <w:rFonts w:ascii="arial" w:eastAsia="arial" w:hAnsi="arial" w:cs="arial"/>
          <w:color w:val="000000"/>
          <w:sz w:val="20"/>
          <w:lang w:val="en-US" w:eastAsia="en-US" w:bidi="ar-SA"/>
        </w:rPr>
        <w:t>  Pursuant to the CCLUP, the Province determined how the Claim Area lands were to be used. Despite the statement that the Province's decision was being made "without prejudice" to Aboriginal rights, the CCLUP makes many detailed commitments to third party interests, and does indeed prejudice and infringe upon Tsilhqot'in Aboriginal title. Title encompasses the right to determine how land will be used and how forests will be managed in the Claim Area. In effect, the Province has taken unto itself the right to decide the range of uses to which lands in the Claim Area will be put, and has imposed this decision on the Tsilhqot'in people without any attempt to acknowledge or address Aboriginal title or rights in the Claim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1136</w:t>
      </w:r>
      <w:r>
        <w:rPr>
          <w:rFonts w:ascii="arial" w:eastAsia="arial" w:hAnsi="arial" w:cs="arial"/>
          <w:color w:val="000000"/>
          <w:sz w:val="20"/>
          <w:lang w:val="en-US" w:eastAsia="en-US" w:bidi="ar-SA"/>
        </w:rPr>
        <w:t>  Over the years, British Columbia has either denied the existence of Aboriginal title and rights or established policy that Aboriginal title and rights could only be addressed or considered at treaty negotiations. At all material times, British Columbia has refused to acknowledge title and rights during the process of consultation. Consequently, the pleas of the Tsilhqot'in people have been ignored.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1137</w:t>
      </w:r>
      <w:r>
        <w:rPr>
          <w:rFonts w:ascii="arial" w:eastAsia="arial" w:hAnsi="arial" w:cs="arial"/>
          <w:color w:val="000000"/>
          <w:sz w:val="20"/>
          <w:lang w:val="en-US" w:eastAsia="en-US" w:bidi="ar-SA"/>
        </w:rPr>
        <w:t>  Consultation involves communication. It has often been said that communication is the art of sending and receiving. Provincial policies either deny Tsilhqot'in title and rights or steer the resolution of such title into a treaty process that is unacceptable to the plaintiff. This has meant that at every stage of land use planning, there were no attempts made to address or accommodate Aboriginal title claims of the Tsilhqot'in people, even though some of the provincial officials considered those claims to be well founded. A statement to the effect that a decision is made "without prejudice" to Aboriginal title and rights does not demonstrate that title and rights have been taken into account, acknowledged or accommodated.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1138</w:t>
      </w:r>
      <w:r>
        <w:rPr>
          <w:rFonts w:ascii="arial" w:eastAsia="arial" w:hAnsi="arial" w:cs="arial"/>
          <w:color w:val="000000"/>
          <w:sz w:val="20"/>
          <w:lang w:val="en-US" w:eastAsia="en-US" w:bidi="ar-SA"/>
        </w:rPr>
        <w:t>  Tsilhqot'in people also appeared from time to time to have a fixed agenda, namely the promotion of an acknowledgment of their rights and title. It must be borne in mind that it is a significant challenge for Aboriginal groups called upon in the consultation process to provide their perspectives to government representatives. There is a constant need for adequate resources to complete the research required to respond to requests for consultation. Even with adequate resources, there are times when the number and frequency of requests simply cannot be answered in a timely or adequate fashion.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1139</w:t>
      </w:r>
      <w:r>
        <w:rPr>
          <w:rFonts w:ascii="arial" w:eastAsia="arial" w:hAnsi="arial" w:cs="arial"/>
          <w:color w:val="000000"/>
          <w:sz w:val="20"/>
          <w:lang w:val="en-US" w:eastAsia="en-US" w:bidi="ar-SA"/>
        </w:rPr>
        <w:t>  Consultations with officials from the Ministry of Forests ultimately failed to reach any compromise. This was due largely to the fact that there was no accommodation for the forest management proposals made by Xeni Gwet'in people on behalf of Tsilhqot'in people. Forestry proposals that concerned timber assets in the Claim Area were usually addressed by representatives of Xeni Gwet'in people. But, from the perspective of forestry officials, there was simply no room to take into account the claims of Tsilhqot'in title and rights.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1140</w:t>
      </w:r>
      <w:r>
        <w:rPr>
          <w:rFonts w:ascii="arial" w:eastAsia="arial" w:hAnsi="arial" w:cs="arial"/>
          <w:color w:val="000000"/>
          <w:sz w:val="20"/>
          <w:lang w:val="en-US" w:eastAsia="en-US" w:bidi="ar-SA"/>
        </w:rPr>
        <w:t>  Conversely, there was good communication between Tsilhqot'in people with officials in the Ministry of Lands, Parks and Housing. Here the two groups were able to reach a consensus on the establishment and management of Ts'il?os Provincial Park, without prejudice to the rights and title claims of Xeni Gwet'in and Tsilhqot'in people in the park area. The joint management model of this Provincial Park has been such a success that it has been extended to the management of Nuntzi Provincial Park in the northeastern portion of Tachelach'ed.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1141</w:t>
      </w:r>
      <w:r>
        <w:rPr>
          <w:rFonts w:ascii="arial" w:eastAsia="arial" w:hAnsi="arial" w:cs="arial"/>
          <w:color w:val="000000"/>
          <w:sz w:val="20"/>
          <w:lang w:val="en-US" w:eastAsia="en-US" w:bidi="ar-SA"/>
        </w:rPr>
        <w:t xml:space="preserve">  Utilizing the concept of a spectrum proposed in </w:t>
      </w:r>
      <w:r>
        <w:rPr>
          <w:rFonts w:ascii="arial" w:eastAsia="arial" w:hAnsi="arial" w:cs="arial"/>
          <w:b/>
          <w:i/>
          <w:color w:val="000000"/>
          <w:sz w:val="20"/>
          <w:lang w:val="en-US" w:eastAsia="en-US" w:bidi="ar-SA"/>
        </w:rPr>
        <w:t>Haida Nation</w:t>
      </w:r>
      <w:r>
        <w:rPr>
          <w:rFonts w:ascii="arial" w:eastAsia="arial" w:hAnsi="arial" w:cs="arial"/>
          <w:color w:val="000000"/>
          <w:sz w:val="20"/>
          <w:lang w:val="en-US" w:eastAsia="en-US" w:bidi="ar-SA"/>
        </w:rPr>
        <w:t xml:space="preserve"> (S.C.C.), I place the rights and title claimed here at the high end of the scale, requiring deep consultation and accommodation. I have already noted there are areas of title inside and outside of the Claim Area. Aboriginal rights in the Claim Area have been acknowledged by the defendants in these proceedings. I have found the plaintiff is entitled to a finding of specific Aboriginal rights on behalf of all Tsilhqot'in people. On the whole of the evidence, and in particular with respect to forestry and land use planning throughout the Claim Area, the failure of the Province to recognize and accommodate the claims being advanced for Aboriginal title and rights leads me to conclude that the Province has failed in its obligation to consult with the Tsilhqot'in people. For these reasons, and for the reasons earlier expressed, the Province has failed to justify its infringement of Tsilhqot'in Aboriginal title.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 ABORIGINAL RIGHTS (Excluding Title)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1142</w:t>
      </w:r>
      <w:r>
        <w:rPr>
          <w:rFonts w:ascii="arial" w:eastAsia="arial" w:hAnsi="arial" w:cs="arial"/>
          <w:color w:val="000000"/>
          <w:sz w:val="20"/>
          <w:lang w:val="en-US" w:eastAsia="en-US" w:bidi="ar-SA"/>
        </w:rPr>
        <w:t>  Earlier in these reasons I discussed the development of the modern concept of Aboriginal rights, focusing on one of those rights, Aboriginal title. It is helpful at this point to review and expand on that discussion as it relates to the additional Aboriginal rights that are claimed in this litigation: the right to hunt and trap and the right to trade skins and pelts obtained by hunting and trapping.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1143</w:t>
      </w:r>
      <w:r>
        <w:rPr>
          <w:rFonts w:ascii="arial" w:eastAsia="arial" w:hAnsi="arial" w:cs="arial"/>
          <w:color w:val="000000"/>
          <w:sz w:val="20"/>
          <w:lang w:val="en-US" w:eastAsia="en-US" w:bidi="ar-SA"/>
        </w:rPr>
        <w:t xml:space="preserve">  Section 35(1) of the </w:t>
      </w:r>
      <w:r>
        <w:rPr>
          <w:rFonts w:ascii="arial" w:eastAsia="arial" w:hAnsi="arial" w:cs="arial"/>
          <w:b/>
          <w:i/>
          <w:color w:val="000000"/>
          <w:sz w:val="20"/>
          <w:lang w:val="en-US" w:eastAsia="en-US" w:bidi="ar-SA"/>
        </w:rPr>
        <w:t>Constitution Act, 1982</w:t>
      </w:r>
      <w:r>
        <w:rPr>
          <w:rFonts w:ascii="arial" w:eastAsia="arial" w:hAnsi="arial" w:cs="arial"/>
          <w:color w:val="000000"/>
          <w:sz w:val="20"/>
          <w:lang w:val="en-US" w:eastAsia="en-US" w:bidi="ar-SA"/>
        </w:rPr>
        <w:t xml:space="preserve"> contains a promise that Aboriginal rights are recognized and affirmed. The method through which that promise is to be fulfilled was left to governments and Aboriginal people to resolve, and if necessary, adjudicate.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 Test for Aboriginal Rights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1144</w:t>
      </w:r>
      <w:r>
        <w:rPr>
          <w:rFonts w:ascii="arial" w:eastAsia="arial" w:hAnsi="arial" w:cs="arial"/>
          <w:color w:val="000000"/>
          <w:sz w:val="20"/>
          <w:lang w:val="en-US" w:eastAsia="en-US" w:bidi="ar-SA"/>
        </w:rPr>
        <w:t xml:space="preserve">  The first case to outline the framework for analyzing s. 35(1) claims was </w:t>
      </w:r>
      <w:r>
        <w:rPr>
          <w:rFonts w:ascii="arial" w:eastAsia="arial" w:hAnsi="arial" w:cs="arial"/>
          <w:b/>
          <w:i/>
          <w:color w:val="000000"/>
          <w:sz w:val="20"/>
          <w:lang w:val="en-US" w:eastAsia="en-US" w:bidi="ar-SA"/>
        </w:rPr>
        <w:t>Sparrow</w:t>
      </w:r>
      <w:r>
        <w:rPr>
          <w:rFonts w:ascii="arial" w:eastAsia="arial" w:hAnsi="arial" w:cs="arial"/>
          <w:color w:val="000000"/>
          <w:sz w:val="20"/>
          <w:lang w:val="en-US" w:eastAsia="en-US" w:bidi="ar-SA"/>
        </w:rPr>
        <w:t xml:space="preserve">. Mr. Sparrow, a member of the Musqueam Band, was charged under the Federal </w:t>
      </w:r>
      <w:r>
        <w:rPr>
          <w:rFonts w:ascii="arial" w:eastAsia="arial" w:hAnsi="arial" w:cs="arial"/>
          <w:b/>
          <w:i/>
          <w:color w:val="000000"/>
          <w:sz w:val="20"/>
          <w:lang w:val="en-US" w:eastAsia="en-US" w:bidi="ar-SA"/>
        </w:rPr>
        <w:t>Fisheries Act</w:t>
      </w:r>
      <w:r>
        <w:rPr>
          <w:rFonts w:ascii="arial" w:eastAsia="arial" w:hAnsi="arial" w:cs="arial"/>
          <w:color w:val="000000"/>
          <w:sz w:val="20"/>
          <w:lang w:val="en-US" w:eastAsia="en-US" w:bidi="ar-SA"/>
        </w:rPr>
        <w:t xml:space="preserve">, </w:t>
      </w:r>
      <w:hyperlink r:id="rId723" w:history="1">
        <w:r>
          <w:rPr>
            <w:rFonts w:ascii="arial" w:eastAsia="arial" w:hAnsi="arial" w:cs="arial"/>
            <w:i/>
            <w:color w:val="0077CC"/>
            <w:sz w:val="20"/>
            <w:u w:val="single"/>
            <w:shd w:val="clear" w:color="auto" w:fill="FFFFFF"/>
            <w:lang w:val="en-US" w:eastAsia="en-US" w:bidi="ar-SA"/>
          </w:rPr>
          <w:t>R.S.C. 1985, c. F-14</w:t>
        </w:r>
      </w:hyperlink>
      <w:r>
        <w:rPr>
          <w:rFonts w:ascii="arial" w:eastAsia="arial" w:hAnsi="arial" w:cs="arial"/>
          <w:color w:val="000000"/>
          <w:sz w:val="20"/>
          <w:lang w:val="en-US" w:eastAsia="en-US" w:bidi="ar-SA"/>
        </w:rPr>
        <w:t>, for fishing with a drift net longer than permitted by the terms of his band's food fishing licence. He admitted the facts alleged to constitute the offence but defended himself on the ground that he was exercising an existing s. 35 Aboriginal right to fish.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1145</w:t>
      </w:r>
      <w:r>
        <w:rPr>
          <w:rFonts w:ascii="arial" w:eastAsia="arial" w:hAnsi="arial" w:cs="arial"/>
          <w:color w:val="000000"/>
          <w:sz w:val="20"/>
          <w:lang w:val="en-US" w:eastAsia="en-US" w:bidi="ar-SA"/>
        </w:rPr>
        <w:t xml:space="preserve">  Both the trial judge and the county court judge in </w:t>
      </w:r>
      <w:r>
        <w:rPr>
          <w:rFonts w:ascii="arial" w:eastAsia="arial" w:hAnsi="arial" w:cs="arial"/>
          <w:b/>
          <w:i/>
          <w:color w:val="000000"/>
          <w:sz w:val="20"/>
          <w:lang w:val="en-US" w:eastAsia="en-US" w:bidi="ar-SA"/>
        </w:rPr>
        <w:t>Sparrow</w:t>
      </w:r>
      <w:r>
        <w:rPr>
          <w:rFonts w:ascii="arial" w:eastAsia="arial" w:hAnsi="arial" w:cs="arial"/>
          <w:color w:val="000000"/>
          <w:sz w:val="20"/>
          <w:lang w:val="en-US" w:eastAsia="en-US" w:bidi="ar-SA"/>
        </w:rPr>
        <w:t xml:space="preserve"> followed the B.C. Court of Appeal's decision in </w:t>
      </w:r>
      <w:r>
        <w:rPr>
          <w:rFonts w:ascii="arial" w:eastAsia="arial" w:hAnsi="arial" w:cs="arial"/>
          <w:b/>
          <w:i/>
          <w:color w:val="000000"/>
          <w:sz w:val="20"/>
          <w:lang w:val="en-US" w:eastAsia="en-US" w:bidi="ar-SA"/>
        </w:rPr>
        <w:t>Calder</w:t>
      </w:r>
      <w:r>
        <w:rPr>
          <w:rFonts w:ascii="arial" w:eastAsia="arial" w:hAnsi="arial" w:cs="arial"/>
          <w:color w:val="000000"/>
          <w:sz w:val="20"/>
          <w:lang w:val="en-US" w:eastAsia="en-US" w:bidi="ar-SA"/>
        </w:rPr>
        <w:t xml:space="preserve"> and held that Aboriginal rights no longer exist in this Province. The Court of Appeal disagreed and recognized an Aboriginal right to fish for food. The Supreme Court of Canada agreed with the Court of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1146</w:t>
      </w:r>
      <w:r>
        <w:rPr>
          <w:rFonts w:ascii="arial" w:eastAsia="arial" w:hAnsi="arial" w:cs="arial"/>
          <w:color w:val="000000"/>
          <w:sz w:val="20"/>
          <w:lang w:val="en-US" w:eastAsia="en-US" w:bidi="ar-SA"/>
        </w:rPr>
        <w:t>  The Supreme Court of Canada examined the history of Aboriginal claims prior to 1982 and emphasized the significance of the adoption of s. 35(1), quoting with approval from the article by Professor Noel Lyon, "An Essay on Constitutional Interpretation" (1988), 26 Osgoode Hall L.J. 95 at 100, para. 54. It was clear that the Supreme Court of Canada was renouncing the old rules and opening the way for the development of the modern jurisprudence on Aboriginal rights.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1147</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Van der Peet</w:t>
      </w:r>
      <w:r>
        <w:rPr>
          <w:rFonts w:ascii="arial" w:eastAsia="arial" w:hAnsi="arial" w:cs="arial"/>
          <w:color w:val="000000"/>
          <w:sz w:val="20"/>
          <w:lang w:val="en-US" w:eastAsia="en-US" w:bidi="ar-SA"/>
        </w:rPr>
        <w:t xml:space="preserve"> at para. 2, the Supreme Court of Canada summarized the four step analysis of a claim under s. 35(1) of the </w:t>
      </w:r>
      <w:r>
        <w:rPr>
          <w:rFonts w:ascii="arial" w:eastAsia="arial" w:hAnsi="arial" w:cs="arial"/>
          <w:b/>
          <w:i/>
          <w:color w:val="000000"/>
          <w:sz w:val="20"/>
          <w:lang w:val="en-US" w:eastAsia="en-US" w:bidi="ar-SA"/>
        </w:rPr>
        <w:t>Constitution Act, 1982</w:t>
      </w:r>
      <w:r>
        <w:rPr>
          <w:rFonts w:ascii="arial" w:eastAsia="arial" w:hAnsi="arial" w:cs="arial"/>
          <w:color w:val="000000"/>
          <w:sz w:val="20"/>
          <w:lang w:val="en-US" w:eastAsia="en-US" w:bidi="ar-SA"/>
        </w:rPr>
        <w:t xml:space="preserve">, first presented in </w:t>
      </w:r>
      <w:r>
        <w:rPr>
          <w:rFonts w:ascii="arial" w:eastAsia="arial" w:hAnsi="arial" w:cs="arial"/>
          <w:b/>
          <w:i/>
          <w:color w:val="000000"/>
          <w:sz w:val="20"/>
          <w:lang w:val="en-US" w:eastAsia="en-US" w:bidi="ar-SA"/>
        </w:rPr>
        <w:t>Sparrow</w:t>
      </w:r>
      <w:r>
        <w:rPr>
          <w:rFonts w:ascii="arial" w:eastAsia="arial" w:hAnsi="arial" w:cs="arial"/>
          <w:color w:val="000000"/>
          <w:sz w:val="20"/>
          <w:lang w:val="en-US" w:eastAsia="en-US" w:bidi="ar-SA"/>
        </w:rPr>
        <w:t>: The analysis is as follows:</w:t>
      </w:r>
      <w:r>
        <w:rPr>
          <w:rFonts w:ascii="arial" w:eastAsia="arial" w:hAnsi="arial" w:cs="arial"/>
          <w:sz w:val="20"/>
          <w:lang w:val="en-US" w:eastAsia="en-US" w:bidi="ar-SA"/>
        </w:rPr>
        <w:cr/>
      </w:r>
    </w:p>
    <w:p>
      <w:pPr>
        <w:numPr>
          <w:numId w:val="2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determine whether an applicant has demonstrated that he or she was acting pursuant to an Aboriginal right;</w:t>
      </w:r>
    </w:p>
    <w:p>
      <w:pPr>
        <w:numPr>
          <w:numId w:val="2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determine whether that right was extinguished prior to the enactment of section 35(1);</w:t>
      </w:r>
    </w:p>
    <w:p>
      <w:pPr>
        <w:numPr>
          <w:numId w:val="2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determine whether that right has been infringed; and finally,</w:t>
      </w:r>
    </w:p>
    <w:p>
      <w:pPr>
        <w:numPr>
          <w:numId w:val="2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determine whether that infringement was justified, considering the specific factual context of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1148</w:t>
      </w:r>
      <w:r>
        <w:rPr>
          <w:rFonts w:ascii="arial" w:eastAsia="arial" w:hAnsi="arial" w:cs="arial"/>
          <w:color w:val="000000"/>
          <w:sz w:val="20"/>
          <w:lang w:val="en-US" w:eastAsia="en-US" w:bidi="ar-SA"/>
        </w:rPr>
        <w:t xml:space="preserve">  On the evidence in </w:t>
      </w:r>
      <w:r>
        <w:rPr>
          <w:rFonts w:ascii="arial" w:eastAsia="arial" w:hAnsi="arial" w:cs="arial"/>
          <w:b/>
          <w:i/>
          <w:color w:val="000000"/>
          <w:sz w:val="20"/>
          <w:lang w:val="en-US" w:eastAsia="en-US" w:bidi="ar-SA"/>
        </w:rPr>
        <w:t>Sparrow</w:t>
      </w:r>
      <w:r>
        <w:rPr>
          <w:rFonts w:ascii="arial" w:eastAsia="arial" w:hAnsi="arial" w:cs="arial"/>
          <w:color w:val="000000"/>
          <w:sz w:val="20"/>
          <w:lang w:val="en-US" w:eastAsia="en-US" w:bidi="ar-SA"/>
        </w:rPr>
        <w:t>, the Supreme Court of Canada recognized the appellant had an existing Aboriginal right to fish for food, or for ceremonial and social purposes. This right had not been extinguished by previous regulations and should have been given priority over non-Aboriginal rights to fish. A new trial was ordered to allow the judge to apply an infringement and justification analysis to the net length restriction.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1149</w:t>
      </w:r>
      <w:r>
        <w:rPr>
          <w:rFonts w:ascii="arial" w:eastAsia="arial" w:hAnsi="arial" w:cs="arial"/>
          <w:color w:val="000000"/>
          <w:sz w:val="20"/>
          <w:lang w:val="en-US" w:eastAsia="en-US" w:bidi="ar-SA"/>
        </w:rPr>
        <w:t xml:space="preserve">  Due to the nature of the claims made in </w:t>
      </w:r>
      <w:r>
        <w:rPr>
          <w:rFonts w:ascii="arial" w:eastAsia="arial" w:hAnsi="arial" w:cs="arial"/>
          <w:b/>
          <w:i/>
          <w:color w:val="000000"/>
          <w:sz w:val="20"/>
          <w:lang w:val="en-US" w:eastAsia="en-US" w:bidi="ar-SA"/>
        </w:rPr>
        <w:t>Sparrow</w:t>
      </w:r>
      <w:r>
        <w:rPr>
          <w:rFonts w:ascii="arial" w:eastAsia="arial" w:hAnsi="arial" w:cs="arial"/>
          <w:color w:val="000000"/>
          <w:sz w:val="20"/>
          <w:lang w:val="en-US" w:eastAsia="en-US" w:bidi="ar-SA"/>
        </w:rPr>
        <w:t xml:space="preserve">, the Supreme Court did not set out how a court is to define a s. 35(1) right. That issue was considered in </w:t>
      </w:r>
      <w:r>
        <w:rPr>
          <w:rFonts w:ascii="arial" w:eastAsia="arial" w:hAnsi="arial" w:cs="arial"/>
          <w:b/>
          <w:i/>
          <w:color w:val="000000"/>
          <w:sz w:val="20"/>
          <w:lang w:val="en-US" w:eastAsia="en-US" w:bidi="ar-SA"/>
        </w:rPr>
        <w:t>Van der Peet</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Van der Peet</w:t>
      </w:r>
      <w:r>
        <w:rPr>
          <w:rFonts w:ascii="arial" w:eastAsia="arial" w:hAnsi="arial" w:cs="arial"/>
          <w:color w:val="000000"/>
          <w:sz w:val="20"/>
          <w:lang w:val="en-US" w:eastAsia="en-US" w:bidi="ar-SA"/>
        </w:rPr>
        <w:t>, the Supreme Court of Canada succinctly explained the doctrine of Aboriginal rights at paras. 30-31: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my view, the doctrine of aboriginal rights exists, and is recognized and affirmed by s. 35(1), because of one simple fact: when Europeans arrived in North America, aboriginal peoples </w:t>
      </w:r>
      <w:r>
        <w:rPr>
          <w:rFonts w:ascii="arial" w:eastAsia="arial" w:hAnsi="arial" w:cs="arial"/>
          <w:color w:val="000000"/>
          <w:sz w:val="20"/>
          <w:u w:val="single"/>
          <w:lang w:val="en-US" w:eastAsia="en-US" w:bidi="ar-SA"/>
        </w:rPr>
        <w:t>were already here</w:t>
      </w:r>
      <w:r>
        <w:rPr>
          <w:rFonts w:ascii="arial" w:eastAsia="arial" w:hAnsi="arial" w:cs="arial"/>
          <w:color w:val="000000"/>
          <w:sz w:val="20"/>
          <w:lang w:val="en-US" w:eastAsia="en-US" w:bidi="ar-SA"/>
        </w:rPr>
        <w:t>, living in communities on the land, and participating in distinctive cultures, as they had done for centuries. It is this fact, and this fact above all others, which separates aboriginal peoples from all other minority groups in Canadian society and which mandates their special legal, and now constitutional, status.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More specifically, what s. 35(1) does is provide the constitutional framework through which the fact that aboriginals lived on the land in distinctive societies, with their own practices, traditions and cultures, is acknowledged and reconciled with the sovereignty of the Crown. The substantive rights which fall within the provision must be defined in light of this purpose: the aboriginal rights recognized and affirmed by s. 35(1) must be directed towards the reconciliation of the pre-existence of aboriginal societies with the sovereignty of the Crown.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1150</w:t>
      </w:r>
      <w:r>
        <w:rPr>
          <w:rFonts w:ascii="arial" w:eastAsia="arial" w:hAnsi="arial" w:cs="arial"/>
          <w:color w:val="000000"/>
          <w:sz w:val="20"/>
          <w:lang w:val="en-US" w:eastAsia="en-US" w:bidi="ar-SA"/>
        </w:rPr>
        <w:t xml:space="preserve">  The Court clearly indicated in </w:t>
      </w:r>
      <w:r>
        <w:rPr>
          <w:rFonts w:ascii="arial" w:eastAsia="arial" w:hAnsi="arial" w:cs="arial"/>
          <w:b/>
          <w:color w:val="000000"/>
          <w:sz w:val="20"/>
          <w:lang w:val="en-US" w:eastAsia="en-US" w:bidi="ar-SA"/>
        </w:rPr>
        <w:t>V</w:t>
      </w:r>
      <w:r>
        <w:rPr>
          <w:rFonts w:ascii="arial" w:eastAsia="arial" w:hAnsi="arial" w:cs="arial"/>
          <w:b/>
          <w:i/>
          <w:color w:val="000000"/>
          <w:sz w:val="20"/>
          <w:lang w:val="en-US" w:eastAsia="en-US" w:bidi="ar-SA"/>
        </w:rPr>
        <w:t>an der Peet</w:t>
      </w:r>
      <w:r>
        <w:rPr>
          <w:rFonts w:ascii="arial" w:eastAsia="arial" w:hAnsi="arial" w:cs="arial"/>
          <w:color w:val="000000"/>
          <w:sz w:val="20"/>
          <w:lang w:val="en-US" w:eastAsia="en-US" w:bidi="ar-SA"/>
        </w:rPr>
        <w:t xml:space="preserve"> at para. 74, that Aboriginal rights encompass but are not limited to Aboriginal title, and that Aboriginal rights arise out of both the prior occupation of land and the prior social organization of Aboriginal peoples: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was noted in the discussion of the purposes of s. 35(1), aboriginal rights and aboriginal title are related concepts; aboriginal title is a sub-category of aboriginal rights which deals solely with claims of rights to land. The relationship between aboriginal title and aboriginal rights must not, however, confuse the analysis of what constitutes an aboriginal right. Aboriginal rights arise from the prior occupation of land, but they also arise from the prior social organization and distinctive cultures of aboriginal peoples on that land. In considering whether a claim to an aboriginal right has been made out, courts must look at both the relationship of an aboriginal claimant to the land </w:t>
      </w:r>
      <w:r>
        <w:rPr>
          <w:rFonts w:ascii="arial" w:eastAsia="arial" w:hAnsi="arial" w:cs="arial"/>
          <w:color w:val="000000"/>
          <w:sz w:val="20"/>
          <w:u w:val="single"/>
          <w:lang w:val="en-US" w:eastAsia="en-US" w:bidi="ar-SA"/>
        </w:rPr>
        <w:t>and</w:t>
      </w:r>
      <w:r>
        <w:rPr>
          <w:rFonts w:ascii="arial" w:eastAsia="arial" w:hAnsi="arial" w:cs="arial"/>
          <w:color w:val="000000"/>
          <w:sz w:val="20"/>
          <w:lang w:val="en-US" w:eastAsia="en-US" w:bidi="ar-SA"/>
        </w:rPr>
        <w:t xml:space="preserve"> at the practices, customs and traditions arising from the claimant's distinctive culture and society. Courts must not focus so entirely on the relationship of aboriginal peoples with the land that they lose sight of the other factors relevant to the identification and definition of aboriginal rights.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1151</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Adams</w:t>
      </w:r>
      <w:r>
        <w:rPr>
          <w:rFonts w:ascii="arial" w:eastAsia="arial" w:hAnsi="arial" w:cs="arial"/>
          <w:color w:val="000000"/>
          <w:sz w:val="20"/>
          <w:lang w:val="en-US" w:eastAsia="en-US" w:bidi="ar-SA"/>
        </w:rPr>
        <w:t xml:space="preserve"> the Supreme Court of Canada expanded on the definition of Aboriginal rights and the relationship between Aboriginal rights and title at paras. 26-27: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while claims to aboriginal title fall within the conceptual framework of aboriginal rights, aboriginal rights do not exist solely where a claim to aboriginal title has been made out. Where an aboriginal group has shown that a particular practice, custom or tradition taking place on the land was integral to the distinctive culture of that group then, </w:t>
      </w:r>
      <w:r>
        <w:rPr>
          <w:rFonts w:ascii="arial" w:eastAsia="arial" w:hAnsi="arial" w:cs="arial"/>
          <w:color w:val="000000"/>
          <w:sz w:val="20"/>
          <w:u w:val="single"/>
          <w:lang w:val="en-US" w:eastAsia="en-US" w:bidi="ar-SA"/>
        </w:rPr>
        <w:t>even if they have not shown that their occupation and use of the land was sufficient to support a claim of title to the land</w:t>
      </w:r>
      <w:r>
        <w:rPr>
          <w:rFonts w:ascii="arial" w:eastAsia="arial" w:hAnsi="arial" w:cs="arial"/>
          <w:color w:val="000000"/>
          <w:sz w:val="20"/>
          <w:lang w:val="en-US" w:eastAsia="en-US" w:bidi="ar-SA"/>
        </w:rPr>
        <w:t xml:space="preserve">, they will have demonstrated that they have an aboriginal right to engage in that practice, custom or tradition. The </w:t>
      </w:r>
      <w:r>
        <w:rPr>
          <w:rFonts w:ascii="arial" w:eastAsia="arial" w:hAnsi="arial" w:cs="arial"/>
          <w:i/>
          <w:color w:val="000000"/>
          <w:sz w:val="20"/>
          <w:lang w:val="en-US" w:eastAsia="en-US" w:bidi="ar-SA"/>
        </w:rPr>
        <w:t>Van der Peet</w:t>
      </w:r>
      <w:r>
        <w:rPr>
          <w:rFonts w:ascii="arial" w:eastAsia="arial" w:hAnsi="arial" w:cs="arial"/>
          <w:color w:val="000000"/>
          <w:sz w:val="20"/>
          <w:lang w:val="en-US" w:eastAsia="en-US" w:bidi="ar-SA"/>
        </w:rPr>
        <w:t xml:space="preserve"> test protects activities which were integral to the distinctive culture of the aboriginal group claiming the right; it does not require that that group satisfy the further hurdle of demonstrating that their connection with the piece of land on which the activity was taking place was of a central significance to their distinctive culture sufficient to make out a claim to aboriginal title to the land. </w:t>
      </w:r>
      <w:r>
        <w:rPr>
          <w:rFonts w:ascii="arial" w:eastAsia="arial" w:hAnsi="arial" w:cs="arial"/>
          <w:i/>
          <w:color w:val="000000"/>
          <w:sz w:val="20"/>
          <w:lang w:val="en-US" w:eastAsia="en-US" w:bidi="ar-SA"/>
        </w:rPr>
        <w:t>Van der Peet</w:t>
      </w:r>
      <w:r>
        <w:rPr>
          <w:rFonts w:ascii="arial" w:eastAsia="arial" w:hAnsi="arial" w:cs="arial"/>
          <w:color w:val="000000"/>
          <w:sz w:val="20"/>
          <w:lang w:val="en-US" w:eastAsia="en-US" w:bidi="ar-SA"/>
        </w:rPr>
        <w:t xml:space="preserve"> establishes that s. 35 recognizes and affirms the rights of those peoples who occupied North America prior to the arrival of the Europeans; that recognition and affirmation is not limited to those circumstances where an aboriginal group's relationship with the land is of a kind sufficient to establish title to the land.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understand why aboriginal rights cannot be inexorably linked to aboriginal title it is only necessary to recall that some aboriginal peoples were nomadic, varying the location of their settlements with the season and changing circumstances. That this was the case does not alter the fact that nomadic peoples survived through reliance on the land prior to contact with Europeans and, further, that many of the practices, customs and traditions of nomadic peoples that took place on the land were integral to their distinctive cultures. The aboriginal rights recognized and affirmed by s. 35(1) should not be understood or defined in a manner which excludes some of those the provision was intended to protect.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1152</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Adams</w:t>
      </w:r>
      <w:r>
        <w:rPr>
          <w:rFonts w:ascii="arial" w:eastAsia="arial" w:hAnsi="arial" w:cs="arial"/>
          <w:color w:val="000000"/>
          <w:sz w:val="20"/>
          <w:lang w:val="en-US" w:eastAsia="en-US" w:bidi="ar-SA"/>
        </w:rPr>
        <w:t xml:space="preserve"> the Court established a middle ground between Aboriginal rights </w:t>
      </w:r>
      <w:r>
        <w:rPr>
          <w:rFonts w:ascii="arial" w:eastAsia="arial" w:hAnsi="arial" w:cs="arial"/>
          <w:i/>
          <w:color w:val="000000"/>
          <w:sz w:val="20"/>
          <w:lang w:val="en-US" w:eastAsia="en-US" w:bidi="ar-SA"/>
        </w:rPr>
        <w:t>simpliciter</w:t>
      </w:r>
      <w:r>
        <w:rPr>
          <w:rFonts w:ascii="arial" w:eastAsia="arial" w:hAnsi="arial" w:cs="arial"/>
          <w:color w:val="000000"/>
          <w:sz w:val="20"/>
          <w:lang w:val="en-US" w:eastAsia="en-US" w:bidi="ar-SA"/>
        </w:rPr>
        <w:t xml:space="preserve"> and Aboriginal title: site-specific Aboriginal rights. In </w:t>
      </w:r>
      <w:r>
        <w:rPr>
          <w:rFonts w:ascii="arial" w:eastAsia="arial" w:hAnsi="arial" w:cs="arial"/>
          <w:b/>
          <w:i/>
          <w:color w:val="000000"/>
          <w:sz w:val="20"/>
          <w:lang w:val="en-US" w:eastAsia="en-US" w:bidi="ar-SA"/>
        </w:rPr>
        <w:t>Delgamuukw</w:t>
      </w:r>
      <w:r>
        <w:rPr>
          <w:rFonts w:ascii="arial" w:eastAsia="arial" w:hAnsi="arial" w:cs="arial"/>
          <w:color w:val="000000"/>
          <w:sz w:val="20"/>
          <w:lang w:val="en-US" w:eastAsia="en-US" w:bidi="ar-SA"/>
        </w:rPr>
        <w:t xml:space="preserve"> (S.C.C.) at para. 138, the Court further explained how its judgment in </w:t>
      </w:r>
      <w:r>
        <w:rPr>
          <w:rFonts w:ascii="arial" w:eastAsia="arial" w:hAnsi="arial" w:cs="arial"/>
          <w:b/>
          <w:i/>
          <w:color w:val="000000"/>
          <w:sz w:val="20"/>
          <w:lang w:val="en-US" w:eastAsia="en-US" w:bidi="ar-SA"/>
        </w:rPr>
        <w:t>Adams</w:t>
      </w:r>
      <w:r>
        <w:rPr>
          <w:rFonts w:ascii="arial" w:eastAsia="arial" w:hAnsi="arial" w:cs="arial"/>
          <w:color w:val="000000"/>
          <w:sz w:val="20"/>
          <w:lang w:val="en-US" w:eastAsia="en-US" w:bidi="ar-SA"/>
        </w:rPr>
        <w:t xml:space="preserve"> set out a "spectrum" of Aboriginal rights: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picture which emerges from </w:t>
      </w:r>
      <w:r>
        <w:rPr>
          <w:rFonts w:ascii="arial" w:eastAsia="arial" w:hAnsi="arial" w:cs="arial"/>
          <w:i/>
          <w:color w:val="000000"/>
          <w:sz w:val="20"/>
          <w:lang w:val="en-US" w:eastAsia="en-US" w:bidi="ar-SA"/>
        </w:rPr>
        <w:t>Adams</w:t>
      </w:r>
      <w:r>
        <w:rPr>
          <w:rFonts w:ascii="arial" w:eastAsia="arial" w:hAnsi="arial" w:cs="arial"/>
          <w:color w:val="000000"/>
          <w:sz w:val="20"/>
          <w:lang w:val="en-US" w:eastAsia="en-US" w:bidi="ar-SA"/>
        </w:rPr>
        <w:t xml:space="preserve"> is that the aboriginal rights which are recognized and affirmed by s. 35(1) fall along a spectrum with respect to their degree of connection with the land. At the one end, there are those aboriginal rights which are practices, customs and traditions that are integral to the distinctive aboriginal culture of the group claiming the right. However, the "</w:t>
      </w:r>
      <w:r>
        <w:rPr>
          <w:rFonts w:ascii="arial" w:eastAsia="arial" w:hAnsi="arial" w:cs="arial"/>
          <w:color w:val="000000"/>
          <w:sz w:val="20"/>
          <w:u w:val="single"/>
          <w:lang w:val="en-US" w:eastAsia="en-US" w:bidi="ar-SA"/>
        </w:rPr>
        <w:t>occupation and use of the land</w:t>
      </w:r>
      <w:r>
        <w:rPr>
          <w:rFonts w:ascii="arial" w:eastAsia="arial" w:hAnsi="arial" w:cs="arial"/>
          <w:color w:val="000000"/>
          <w:sz w:val="20"/>
          <w:lang w:val="en-US" w:eastAsia="en-US" w:bidi="ar-SA"/>
        </w:rPr>
        <w:t>" where the activity is taking place is not "</w:t>
      </w:r>
      <w:r>
        <w:rPr>
          <w:rFonts w:ascii="arial" w:eastAsia="arial" w:hAnsi="arial" w:cs="arial"/>
          <w:color w:val="000000"/>
          <w:sz w:val="20"/>
          <w:u w:val="single"/>
          <w:lang w:val="en-US" w:eastAsia="en-US" w:bidi="ar-SA"/>
        </w:rPr>
        <w:t>sufficient to support a claim of title to the land</w:t>
      </w:r>
      <w:r>
        <w:rPr>
          <w:rFonts w:ascii="arial" w:eastAsia="arial" w:hAnsi="arial" w:cs="arial"/>
          <w:color w:val="000000"/>
          <w:sz w:val="20"/>
          <w:lang w:val="en-US" w:eastAsia="en-US" w:bidi="ar-SA"/>
        </w:rPr>
        <w:t xml:space="preserve">" (at para. 26 (emphasis in original)). Nevertheless, those activities receive constitutional protection. In the middle, there are activities which, out of necessity, take place on land and indeed, might be intimately related to a particular piece of land. Although an aboriginal group may not be able to demonstrate title to the land, it may nevertheless have a site-specific right to engage in a particular activity. I put the point this way in </w:t>
      </w:r>
      <w:r>
        <w:rPr>
          <w:rFonts w:ascii="arial" w:eastAsia="arial" w:hAnsi="arial" w:cs="arial"/>
          <w:i/>
          <w:color w:val="000000"/>
          <w:sz w:val="20"/>
          <w:lang w:val="en-US" w:eastAsia="en-US" w:bidi="ar-SA"/>
        </w:rPr>
        <w:t>Adams</w:t>
      </w:r>
      <w:r>
        <w:rPr>
          <w:rFonts w:ascii="arial" w:eastAsia="arial" w:hAnsi="arial" w:cs="arial"/>
          <w:color w:val="000000"/>
          <w:sz w:val="20"/>
          <w:lang w:val="en-US" w:eastAsia="en-US" w:bidi="ar-SA"/>
        </w:rPr>
        <w:t>, at para. 30: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Even where an aboriginal right exists on a tract of land to which the aboriginal people in question do not have title, that right may well be site specific, with the result that it can be exercised only upon that specific tract of land. For example, </w:t>
      </w:r>
      <w:r>
        <w:rPr>
          <w:rFonts w:ascii="arial" w:eastAsia="arial" w:hAnsi="arial" w:cs="arial"/>
          <w:color w:val="000000"/>
          <w:sz w:val="20"/>
          <w:u w:val="single"/>
          <w:lang w:val="en-US" w:eastAsia="en-US" w:bidi="ar-SA"/>
        </w:rPr>
        <w:t>if an aboriginal people demonstrates that hunting on a specific tract of land was an integral part of their distinctive culture then, even if the right exists apart from title to that tract of land, the aboriginal right to hunt is nonetheless defined as, and limited to, the right to hunt on the specific tract of land.</w:t>
      </w:r>
      <w:r>
        <w:rPr>
          <w:rFonts w:ascii="arial" w:eastAsia="arial" w:hAnsi="arial" w:cs="arial"/>
          <w:color w:val="000000"/>
          <w:sz w:val="20"/>
          <w:lang w:val="en-US" w:eastAsia="en-US" w:bidi="ar-SA"/>
        </w:rPr>
        <w:t xml:space="preserve"> [Emphasis added]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At the other end of the spectrum, there is aboriginal title itself. As </w:t>
      </w:r>
      <w:r>
        <w:rPr>
          <w:rFonts w:ascii="arial" w:eastAsia="arial" w:hAnsi="arial" w:cs="arial"/>
          <w:i/>
          <w:color w:val="000000"/>
          <w:sz w:val="20"/>
          <w:lang w:val="en-US" w:eastAsia="en-US" w:bidi="ar-SA"/>
        </w:rPr>
        <w:t>Adams</w:t>
      </w:r>
      <w:r>
        <w:rPr>
          <w:rFonts w:ascii="arial" w:eastAsia="arial" w:hAnsi="arial" w:cs="arial"/>
          <w:color w:val="000000"/>
          <w:sz w:val="20"/>
          <w:lang w:val="en-US" w:eastAsia="en-US" w:bidi="ar-SA"/>
        </w:rPr>
        <w:t xml:space="preserve"> makes clear, aboriginal title confers more than the right to engage in site-specific activities which are aspects of the practices, customs and traditions of distinctive aboriginal cultures. Site-specific rights can be made out even if title cannot. What aboriginal title confers is the right to the land itself.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1153</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Van der Peet</w:t>
      </w:r>
      <w:r>
        <w:rPr>
          <w:rFonts w:ascii="arial" w:eastAsia="arial" w:hAnsi="arial" w:cs="arial"/>
          <w:color w:val="000000"/>
          <w:sz w:val="20"/>
          <w:lang w:val="en-US" w:eastAsia="en-US" w:bidi="ar-SA"/>
        </w:rPr>
        <w:t>, the Court set out the following test for Aboriginal rights at para. 46: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light of the suggestion of </w:t>
      </w:r>
      <w:r>
        <w:rPr>
          <w:rFonts w:ascii="arial" w:eastAsia="arial" w:hAnsi="arial" w:cs="arial"/>
          <w:i/>
          <w:color w:val="000000"/>
          <w:sz w:val="20"/>
          <w:lang w:val="en-US" w:eastAsia="en-US" w:bidi="ar-SA"/>
        </w:rPr>
        <w:t>Sparrow, supra</w:t>
      </w:r>
      <w:r>
        <w:rPr>
          <w:rFonts w:ascii="arial" w:eastAsia="arial" w:hAnsi="arial" w:cs="arial"/>
          <w:color w:val="000000"/>
          <w:sz w:val="20"/>
          <w:lang w:val="en-US" w:eastAsia="en-US" w:bidi="ar-SA"/>
        </w:rPr>
        <w:t>, and the purposes underlying s. 35(1), the following test should be used to identify whether an applicant has established an aboriginal right protected by s. 35(1): in order to be an aboriginal right an activity must be an element of a practice, custom or tradition integral to the distinctive culture of the aboriginal group claiming the 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1154</w:t>
      </w:r>
      <w:r>
        <w:rPr>
          <w:rFonts w:ascii="arial" w:eastAsia="arial" w:hAnsi="arial" w:cs="arial"/>
          <w:color w:val="000000"/>
          <w:sz w:val="20"/>
          <w:lang w:val="en-US" w:eastAsia="en-US" w:bidi="ar-SA"/>
        </w:rPr>
        <w:t xml:space="preserve">  The test for Aboriginal rights set out in </w:t>
      </w:r>
      <w:r>
        <w:rPr>
          <w:rFonts w:ascii="arial" w:eastAsia="arial" w:hAnsi="arial" w:cs="arial"/>
          <w:b/>
          <w:i/>
          <w:color w:val="000000"/>
          <w:sz w:val="20"/>
          <w:lang w:val="en-US" w:eastAsia="en-US" w:bidi="ar-SA"/>
        </w:rPr>
        <w:t>Van der Peet</w:t>
      </w:r>
      <w:r>
        <w:rPr>
          <w:rFonts w:ascii="arial" w:eastAsia="arial" w:hAnsi="arial" w:cs="arial"/>
          <w:color w:val="000000"/>
          <w:sz w:val="20"/>
          <w:lang w:val="en-US" w:eastAsia="en-US" w:bidi="ar-SA"/>
        </w:rPr>
        <w:t xml:space="preserve"> and elaborated on in subsequent jurisprudence involves, in essence, four stages:</w:t>
      </w:r>
      <w:r>
        <w:rPr>
          <w:rFonts w:ascii="arial" w:eastAsia="arial" w:hAnsi="arial" w:cs="arial"/>
          <w:sz w:val="20"/>
          <w:lang w:val="en-US" w:eastAsia="en-US" w:bidi="ar-SA"/>
        </w:rPr>
        <w:cr/>
      </w:r>
    </w:p>
    <w:p>
      <w:pPr>
        <w:numPr>
          <w:numId w:val="2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characterizing the claimed Aboriginal right;</w:t>
      </w:r>
    </w:p>
    <w:p>
      <w:pPr>
        <w:numPr>
          <w:numId w:val="2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establishing that the ancestors of the claimant Aboriginal group engaged in particular practices, customs or traditions prior to European contact that correspond with the claimed right;</w:t>
      </w:r>
    </w:p>
    <w:p>
      <w:pPr>
        <w:numPr>
          <w:numId w:val="2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determining whether the ancestral practices, customs or traditions were integral to the distinctive culture of the Aboriginal group prior to European contact; and</w:t>
      </w:r>
    </w:p>
    <w:p>
      <w:pPr>
        <w:numPr>
          <w:numId w:val="2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determining whether there is continuity between the claimed Aboriginal right and the pre-contact practices, customs and traditions on which the right is based.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1155</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Van der Peet</w:t>
      </w:r>
      <w:r>
        <w:rPr>
          <w:rFonts w:ascii="arial" w:eastAsia="arial" w:hAnsi="arial" w:cs="arial"/>
          <w:color w:val="000000"/>
          <w:sz w:val="20"/>
          <w:lang w:val="en-US" w:eastAsia="en-US" w:bidi="ar-SA"/>
        </w:rPr>
        <w:t xml:space="preserve"> at para. 49, Lamer C.J.C. emphasized that the perspective of the Aboriginal people claiming the right must be taken into account. That perspective "must be framed in terms cognizable to the Canadian legal and constitutional structure". This means that sensitivity to the Aboriginal perspective has to be balanced with the common law perspective: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Courts adjudicating aboriginal rights claims must, therefore, be sensitive to the aboriginal perspective, but they must also be aware that aboriginal rights exist within the general legal system of Canada. To quote again from Walters, at p. 413: "a morally and politically defensible conception of aboriginal rights will incorporate both [aboriginal and non-aboriginal] legal perspectives". The definition of an aboriginal right must, if it is truly to reconcile the prior occupation of Canadian territory by aboriginal peoples with the assertion of Crown sovereignty over that territory, take into account the aboriginal perspective, yet do so in terms which are cognizable to the non-aboriginal legal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1156</w:t>
      </w:r>
      <w:r>
        <w:rPr>
          <w:rFonts w:ascii="arial" w:eastAsia="arial" w:hAnsi="arial" w:cs="arial"/>
          <w:color w:val="000000"/>
          <w:sz w:val="20"/>
          <w:lang w:val="en-US" w:eastAsia="en-US" w:bidi="ar-SA"/>
        </w:rPr>
        <w:t>  The Chief Justice concluded at para. 50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only fair and just reconciliation is ... one which takes into account the aboriginal perspective while at the same time taking into account the perspective of the common law. True reconciliation will, equally, place weight on 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 Characterizing the 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1157</w:t>
      </w:r>
      <w:r>
        <w:rPr>
          <w:rFonts w:ascii="arial" w:eastAsia="arial" w:hAnsi="arial" w:cs="arial"/>
          <w:color w:val="000000"/>
          <w:sz w:val="20"/>
          <w:lang w:val="en-US" w:eastAsia="en-US" w:bidi="ar-SA"/>
        </w:rPr>
        <w:t>  With these underlying considerations in mind, the first step in approaching a claim of Aboriginal rights is to properly characterize the right claimed. The focus is on ascertaining the true nature of the claim, rather than on assessing the merits of the claim or the evidence offered in support.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1158</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Van der Peet</w:t>
      </w:r>
      <w:r>
        <w:rPr>
          <w:rFonts w:ascii="arial" w:eastAsia="arial" w:hAnsi="arial" w:cs="arial"/>
          <w:color w:val="000000"/>
          <w:sz w:val="20"/>
          <w:lang w:val="en-US" w:eastAsia="en-US" w:bidi="ar-SA"/>
        </w:rPr>
        <w:t xml:space="preserve"> the Court set out three factors to guide the characterization of a claim for an Aboriginal right: the nature of the activity undertaken pursuant to an Aboriginal right; the nature of the legislation or government action alleged to infringe the right; and "the ancestral traditions and practices relied upon to establish the right": at para. 53; see also </w:t>
      </w:r>
      <w:r>
        <w:rPr>
          <w:rFonts w:ascii="arial" w:eastAsia="arial" w:hAnsi="arial" w:cs="arial"/>
          <w:b/>
          <w:i/>
          <w:color w:val="000000"/>
          <w:sz w:val="20"/>
          <w:lang w:val="en-US" w:eastAsia="en-US" w:bidi="ar-SA"/>
        </w:rPr>
        <w:t>Mitchell</w:t>
      </w:r>
      <w:r>
        <w:rPr>
          <w:rFonts w:ascii="arial" w:eastAsia="arial" w:hAnsi="arial" w:cs="arial"/>
          <w:color w:val="000000"/>
          <w:sz w:val="20"/>
          <w:lang w:val="en-US" w:eastAsia="en-US" w:bidi="ar-SA"/>
        </w:rPr>
        <w:t xml:space="preserve"> at para. 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1159</w:t>
      </w:r>
      <w:r>
        <w:rPr>
          <w:rFonts w:ascii="arial" w:eastAsia="arial" w:hAnsi="arial" w:cs="arial"/>
          <w:color w:val="000000"/>
          <w:sz w:val="20"/>
          <w:lang w:val="en-US" w:eastAsia="en-US" w:bidi="ar-SA"/>
        </w:rPr>
        <w:t xml:space="preserve">  Claims to Aboriginal rights must be characterized in context, on a specific rather than general basis, and must not be artificially broadened or narrowed. In </w:t>
      </w:r>
      <w:r>
        <w:rPr>
          <w:rFonts w:ascii="arial" w:eastAsia="arial" w:hAnsi="arial" w:cs="arial"/>
          <w:b/>
          <w:i/>
          <w:color w:val="000000"/>
          <w:sz w:val="20"/>
          <w:lang w:val="en-US" w:eastAsia="en-US" w:bidi="ar-SA"/>
        </w:rPr>
        <w:t>Mitchell</w:t>
      </w:r>
      <w:r>
        <w:rPr>
          <w:rFonts w:ascii="arial" w:eastAsia="arial" w:hAnsi="arial" w:cs="arial"/>
          <w:color w:val="000000"/>
          <w:sz w:val="20"/>
          <w:lang w:val="en-US" w:eastAsia="en-US" w:bidi="ar-SA"/>
        </w:rPr>
        <w:t xml:space="preserve"> at para. 20, the Court noted that "narrowing the claim cannot narrow the aboriginal practice relied upon, which is what defines the right." The Court repeated this statement at para. 22 and added "[a]n aboriginal right, once established, generally encompasses other rights necessary to its meaningful exercise."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1160</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Mitchell</w:t>
      </w:r>
      <w:r>
        <w:rPr>
          <w:rFonts w:ascii="arial" w:eastAsia="arial" w:hAnsi="arial" w:cs="arial"/>
          <w:color w:val="000000"/>
          <w:sz w:val="20"/>
          <w:lang w:val="en-US" w:eastAsia="en-US" w:bidi="ar-SA"/>
        </w:rPr>
        <w:t xml:space="preserve"> Chief Mitchell of the Akwesasne Mohawk people claimed the right to bring goods across the Canada - U.S. border without having to pay customs or duties. He also claimed the right to trade these goods with other First Nations. On appeal to the Supreme Court of Canada he sought to limit the scope of his claim by designating specific trading partners, specifically First Nations in Quebec and Ontario. The Court characterized these limitations as part of Chief Mitchell's strategy of negotiating with the government and minimizing the potential effects on its border control.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1161</w:t>
      </w:r>
      <w:r>
        <w:rPr>
          <w:rFonts w:ascii="arial" w:eastAsia="arial" w:hAnsi="arial" w:cs="arial"/>
          <w:color w:val="000000"/>
          <w:sz w:val="20"/>
          <w:lang w:val="en-US" w:eastAsia="en-US" w:bidi="ar-SA"/>
        </w:rPr>
        <w:t xml:space="preserve">  The trial judge characterized the right at issue in </w:t>
      </w:r>
      <w:r>
        <w:rPr>
          <w:rFonts w:ascii="arial" w:eastAsia="arial" w:hAnsi="arial" w:cs="arial"/>
          <w:b/>
          <w:i/>
          <w:color w:val="000000"/>
          <w:sz w:val="20"/>
          <w:lang w:val="en-US" w:eastAsia="en-US" w:bidi="ar-SA"/>
        </w:rPr>
        <w:t>Mitchell</w:t>
      </w:r>
      <w:r>
        <w:rPr>
          <w:rFonts w:ascii="arial" w:eastAsia="arial" w:hAnsi="arial" w:cs="arial"/>
          <w:color w:val="000000"/>
          <w:sz w:val="20"/>
          <w:lang w:val="en-US" w:eastAsia="en-US" w:bidi="ar-SA"/>
        </w:rPr>
        <w:t xml:space="preserve"> as including a right to exchange in small, non-commercial scale trade. The Supreme Court held this artificially narrowed the right, and stated at para. 21 that the "right is best characterized as a right to trade </w:t>
      </w:r>
      <w:r>
        <w:rPr>
          <w:rFonts w:ascii="arial" w:eastAsia="arial" w:hAnsi="arial" w:cs="arial"/>
          <w:i/>
          <w:color w:val="000000"/>
          <w:sz w:val="20"/>
          <w:lang w:val="en-US" w:eastAsia="en-US" w:bidi="ar-SA"/>
        </w:rPr>
        <w:t>simpliciter</w:t>
      </w:r>
      <w:r>
        <w:rPr>
          <w:rFonts w:ascii="arial" w:eastAsia="arial" w:hAnsi="arial" w:cs="arial"/>
          <w:color w:val="000000"/>
          <w:sz w:val="20"/>
          <w:lang w:val="en-US" w:eastAsia="en-US" w:bidi="ar-SA"/>
        </w:rPr>
        <w:t xml:space="preserve">." Chief Mitchell also denied that his claim entailed the right to pass freely over the border (i.e., mobility rights). The Court held that narrowing the claim could not narrow the Aboriginal right, and stated at para. 22 that "any finding of a trading right would also confirm a mobility right." The Supreme Court characterized the right claimed as "the right to bring goods across the St. Lawrence River for the purposes of trade": </w:t>
      </w:r>
      <w:r>
        <w:rPr>
          <w:rFonts w:ascii="arial" w:eastAsia="arial" w:hAnsi="arial" w:cs="arial"/>
          <w:b/>
          <w:i/>
          <w:color w:val="000000"/>
          <w:sz w:val="20"/>
          <w:lang w:val="en-US" w:eastAsia="en-US" w:bidi="ar-SA"/>
        </w:rPr>
        <w:t>Mitchell</w:t>
      </w:r>
      <w:r>
        <w:rPr>
          <w:rFonts w:ascii="arial" w:eastAsia="arial" w:hAnsi="arial" w:cs="arial"/>
          <w:color w:val="000000"/>
          <w:sz w:val="20"/>
          <w:lang w:val="en-US" w:eastAsia="en-US" w:bidi="ar-SA"/>
        </w:rPr>
        <w:t xml:space="preserve"> at para. 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1162</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Sappier; Gray</w:t>
      </w:r>
      <w:r>
        <w:rPr>
          <w:rFonts w:ascii="arial" w:eastAsia="arial" w:hAnsi="arial" w:cs="arial"/>
          <w:color w:val="000000"/>
          <w:sz w:val="20"/>
          <w:lang w:val="en-US" w:eastAsia="en-US" w:bidi="ar-SA"/>
        </w:rPr>
        <w:t xml:space="preserve"> the Court emphasized that a claim for an Aboriginal right must be founded upon an actual practice, custom or tradition of the particular group claiming the right. The right cannot be characterized as a right to a particular resource: see </w:t>
      </w:r>
      <w:r>
        <w:rPr>
          <w:rFonts w:ascii="arial" w:eastAsia="arial" w:hAnsi="arial" w:cs="arial"/>
          <w:b/>
          <w:i/>
          <w:color w:val="000000"/>
          <w:sz w:val="20"/>
          <w:lang w:val="en-US" w:eastAsia="en-US" w:bidi="ar-SA"/>
        </w:rPr>
        <w:t>Sappier; Gray</w:t>
      </w:r>
      <w:r>
        <w:rPr>
          <w:rFonts w:ascii="arial" w:eastAsia="arial" w:hAnsi="arial" w:cs="arial"/>
          <w:color w:val="000000"/>
          <w:sz w:val="20"/>
          <w:lang w:val="en-US" w:eastAsia="en-US" w:bidi="ar-SA"/>
        </w:rPr>
        <w:t xml:space="preserve">, at para. 21. In </w:t>
      </w:r>
      <w:r>
        <w:rPr>
          <w:rFonts w:ascii="arial" w:eastAsia="arial" w:hAnsi="arial" w:cs="arial"/>
          <w:b/>
          <w:i/>
          <w:color w:val="000000"/>
          <w:sz w:val="20"/>
          <w:lang w:val="en-US" w:eastAsia="en-US" w:bidi="ar-SA"/>
        </w:rPr>
        <w:t>Sappier; Gray</w:t>
      </w:r>
      <w:r>
        <w:rPr>
          <w:rFonts w:ascii="arial" w:eastAsia="arial" w:hAnsi="arial" w:cs="arial"/>
          <w:color w:val="000000"/>
          <w:sz w:val="20"/>
          <w:lang w:val="en-US" w:eastAsia="en-US" w:bidi="ar-SA"/>
        </w:rPr>
        <w:t>, the defendants were charged with the unauthorized cutting, damaging, removing and possession of timber from Crown lands. In their defence they claimed an Aboriginal right to harvest timber for personal use. The Court found this characterization to be too general. The Court stated at paras. 24-26: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practice should be characterized as the harvesting of wood for certain uses that are directly associated with that particular way of life. The record shows that wood was used to fulfil the communities' domestic needs for such things as shelter, transportation, tools and fuel. I would therefore characterize the respondents' claim as a right to harvest wood for domestic uses as a member of the aboriginal community.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word "domestic" qualifies the uses to which the harvested timber can be put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right to harvest wood for domestic uses is a communal one. Section 35 recognizes and affirms existing aboriginal and treaty rights in order to assist in ensuring the continued existence of these particular aboriginal societies. The exercise of the aboriginal right to harvest wood for domestic uses must be tied to this purpose. The right to harvest (which is distinct from the right to make personal use of the harvested product even though they are related) is not one to be exercised by any member of the aboriginal community independently of aboriginal society it is meant to preserve. It is a right that assists the society in maintaining its distinctive character.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1163</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Powley</w:t>
      </w:r>
      <w:r>
        <w:rPr>
          <w:rFonts w:ascii="arial" w:eastAsia="arial" w:hAnsi="arial" w:cs="arial"/>
          <w:color w:val="000000"/>
          <w:sz w:val="20"/>
          <w:lang w:val="en-US" w:eastAsia="en-US" w:bidi="ar-SA"/>
        </w:rPr>
        <w:t xml:space="preserve"> the Court indicated that hunting rights need not be characterized on a species-specific basis. In that case the two defendants had shot a bull moose without a valid license. They argued that they had an Aboriginal right to hunt for food. The Court characterized the right as "the right to hunt for food in the environs of Sault Ste. Marie": </w:t>
      </w:r>
      <w:r>
        <w:rPr>
          <w:rFonts w:ascii="arial" w:eastAsia="arial" w:hAnsi="arial" w:cs="arial"/>
          <w:b/>
          <w:i/>
          <w:color w:val="000000"/>
          <w:sz w:val="20"/>
          <w:lang w:val="en-US" w:eastAsia="en-US" w:bidi="ar-SA"/>
        </w:rPr>
        <w:t>Powley</w:t>
      </w:r>
      <w:r>
        <w:rPr>
          <w:rFonts w:ascii="arial" w:eastAsia="arial" w:hAnsi="arial" w:cs="arial"/>
          <w:color w:val="000000"/>
          <w:sz w:val="20"/>
          <w:lang w:val="en-US" w:eastAsia="en-US" w:bidi="ar-SA"/>
        </w:rPr>
        <w:t xml:space="preserve"> at para. 19. The Court went on to state at para. 20 that: "[t]he relevant right is not to hunt </w:t>
      </w:r>
      <w:r>
        <w:rPr>
          <w:rFonts w:ascii="arial" w:eastAsia="arial" w:hAnsi="arial" w:cs="arial"/>
          <w:color w:val="000000"/>
          <w:sz w:val="20"/>
          <w:u w:val="single"/>
          <w:lang w:val="en-US" w:eastAsia="en-US" w:bidi="ar-SA"/>
        </w:rPr>
        <w:t>moose</w:t>
      </w:r>
      <w:r>
        <w:rPr>
          <w:rFonts w:ascii="arial" w:eastAsia="arial" w:hAnsi="arial" w:cs="arial"/>
          <w:color w:val="000000"/>
          <w:sz w:val="20"/>
          <w:lang w:val="en-US" w:eastAsia="en-US" w:bidi="ar-SA"/>
        </w:rPr>
        <w:t xml:space="preserve"> but to hunt for </w:t>
      </w:r>
      <w:r>
        <w:rPr>
          <w:rFonts w:ascii="arial" w:eastAsia="arial" w:hAnsi="arial" w:cs="arial"/>
          <w:color w:val="000000"/>
          <w:sz w:val="20"/>
          <w:u w:val="single"/>
          <w:lang w:val="en-US" w:eastAsia="en-US" w:bidi="ar-SA"/>
        </w:rPr>
        <w:t>food</w:t>
      </w:r>
      <w:r>
        <w:rPr>
          <w:rFonts w:ascii="arial" w:eastAsia="arial" w:hAnsi="arial" w:cs="arial"/>
          <w:color w:val="000000"/>
          <w:sz w:val="20"/>
          <w:lang w:val="en-US" w:eastAsia="en-US" w:bidi="ar-SA"/>
        </w:rPr>
        <w:t xml:space="preserve"> in the designated territory".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1164</w:t>
      </w:r>
      <w:r>
        <w:rPr>
          <w:rFonts w:ascii="arial" w:eastAsia="arial" w:hAnsi="arial" w:cs="arial"/>
          <w:color w:val="000000"/>
          <w:sz w:val="20"/>
          <w:lang w:val="en-US" w:eastAsia="en-US" w:bidi="ar-SA"/>
        </w:rPr>
        <w:t xml:space="preserve">  In Canada's submission, the Court's jurisprudence indicates that trading rights must be characterized in a species-specific manner. By way of example, Canada points out that in </w:t>
      </w:r>
      <w:r>
        <w:rPr>
          <w:rFonts w:ascii="arial" w:eastAsia="arial" w:hAnsi="arial" w:cs="arial"/>
          <w:b/>
          <w:i/>
          <w:color w:val="000000"/>
          <w:sz w:val="20"/>
          <w:lang w:val="en-US" w:eastAsia="en-US" w:bidi="ar-SA"/>
        </w:rPr>
        <w:t>Gladstone</w:t>
      </w:r>
      <w:r>
        <w:rPr>
          <w:rFonts w:ascii="arial" w:eastAsia="arial" w:hAnsi="arial" w:cs="arial"/>
          <w:color w:val="000000"/>
          <w:sz w:val="20"/>
          <w:lang w:val="en-US" w:eastAsia="en-US" w:bidi="ar-SA"/>
        </w:rPr>
        <w:t>, the claimants established a right to trade herring spawn on kelp, rather than a right to trade all fish.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1165</w:t>
      </w:r>
      <w:r>
        <w:rPr>
          <w:rFonts w:ascii="arial" w:eastAsia="arial" w:hAnsi="arial" w:cs="arial"/>
          <w:color w:val="000000"/>
          <w:sz w:val="20"/>
          <w:lang w:val="en-US" w:eastAsia="en-US" w:bidi="ar-SA"/>
        </w:rPr>
        <w:t xml:space="preserve">  I disagree with Canada on this point. The Court has been silent on whether a right to trade must be characterized as species specific. In </w:t>
      </w:r>
      <w:r>
        <w:rPr>
          <w:rFonts w:ascii="arial" w:eastAsia="arial" w:hAnsi="arial" w:cs="arial"/>
          <w:b/>
          <w:i/>
          <w:color w:val="000000"/>
          <w:sz w:val="20"/>
          <w:lang w:val="en-US" w:eastAsia="en-US" w:bidi="ar-SA"/>
        </w:rPr>
        <w:t>Gladstone</w:t>
      </w:r>
      <w:r>
        <w:rPr>
          <w:rFonts w:ascii="arial" w:eastAsia="arial" w:hAnsi="arial" w:cs="arial"/>
          <w:color w:val="000000"/>
          <w:sz w:val="20"/>
          <w:lang w:val="en-US" w:eastAsia="en-US" w:bidi="ar-SA"/>
        </w:rPr>
        <w:t xml:space="preserve"> the right claimed and the supporting evidence were entirely about herring spawn. In </w:t>
      </w:r>
      <w:r>
        <w:rPr>
          <w:rFonts w:ascii="arial" w:eastAsia="arial" w:hAnsi="arial" w:cs="arial"/>
          <w:b/>
          <w:i/>
          <w:color w:val="000000"/>
          <w:sz w:val="20"/>
          <w:lang w:val="en-US" w:eastAsia="en-US" w:bidi="ar-SA"/>
        </w:rPr>
        <w:t>Van der Peet</w:t>
      </w:r>
      <w:r>
        <w:rPr>
          <w:rFonts w:ascii="arial" w:eastAsia="arial" w:hAnsi="arial" w:cs="arial"/>
          <w:color w:val="000000"/>
          <w:sz w:val="20"/>
          <w:lang w:val="en-US" w:eastAsia="en-US" w:bidi="ar-SA"/>
        </w:rPr>
        <w:t xml:space="preserve"> the defendant was charged after selling salmon but the right was characterized at para. 77 as "an aboriginal right to exchange fish for money or other goods" and not the right to exchange salmon for money. In </w:t>
      </w:r>
      <w:r>
        <w:rPr>
          <w:rFonts w:ascii="arial" w:eastAsia="arial" w:hAnsi="arial" w:cs="arial"/>
          <w:b/>
          <w:i/>
          <w:color w:val="000000"/>
          <w:sz w:val="20"/>
          <w:lang w:val="en-US" w:eastAsia="en-US" w:bidi="ar-SA"/>
        </w:rPr>
        <w:t>Smokehouse</w:t>
      </w:r>
      <w:r>
        <w:rPr>
          <w:rFonts w:ascii="arial" w:eastAsia="arial" w:hAnsi="arial" w:cs="arial"/>
          <w:color w:val="000000"/>
          <w:sz w:val="20"/>
          <w:lang w:val="en-US" w:eastAsia="en-US" w:bidi="ar-SA"/>
        </w:rPr>
        <w:t xml:space="preserve"> the defendant was charged after selling and purchasing Chinook salmon caught under the authority of an Indian food fishing license. The right was characterized as "the exchange of fish for money or other goods": </w:t>
      </w:r>
      <w:r>
        <w:rPr>
          <w:rFonts w:ascii="arial" w:eastAsia="arial" w:hAnsi="arial" w:cs="arial"/>
          <w:b/>
          <w:i/>
          <w:color w:val="000000"/>
          <w:sz w:val="20"/>
          <w:lang w:val="en-US" w:eastAsia="en-US" w:bidi="ar-SA"/>
        </w:rPr>
        <w:t>Smokehouse</w:t>
      </w:r>
      <w:r>
        <w:rPr>
          <w:rFonts w:ascii="arial" w:eastAsia="arial" w:hAnsi="arial" w:cs="arial"/>
          <w:color w:val="000000"/>
          <w:sz w:val="20"/>
          <w:lang w:val="en-US" w:eastAsia="en-US" w:bidi="ar-SA"/>
        </w:rPr>
        <w:t xml:space="preserve"> at para. 26. In </w:t>
      </w:r>
      <w:r>
        <w:rPr>
          <w:rFonts w:ascii="arial" w:eastAsia="arial" w:hAnsi="arial" w:cs="arial"/>
          <w:b/>
          <w:i/>
          <w:color w:val="000000"/>
          <w:sz w:val="20"/>
          <w:lang w:val="en-US" w:eastAsia="en-US" w:bidi="ar-SA"/>
        </w:rPr>
        <w:t>R. v. Marshall</w:t>
      </w:r>
      <w:r>
        <w:rPr>
          <w:rFonts w:ascii="arial" w:eastAsia="arial" w:hAnsi="arial" w:cs="arial"/>
          <w:color w:val="000000"/>
          <w:sz w:val="20"/>
          <w:lang w:val="en-US" w:eastAsia="en-US" w:bidi="ar-SA"/>
        </w:rPr>
        <w:t xml:space="preserve">, </w:t>
      </w:r>
      <w:hyperlink r:id="rId724" w:history="1">
        <w:r>
          <w:rPr>
            <w:rFonts w:ascii="arial" w:eastAsia="arial" w:hAnsi="arial" w:cs="arial"/>
            <w:i/>
            <w:color w:val="0077CC"/>
            <w:sz w:val="20"/>
            <w:u w:val="single"/>
            <w:shd w:val="clear" w:color="auto" w:fill="FFFFFF"/>
            <w:lang w:val="en-US" w:eastAsia="en-US" w:bidi="ar-SA"/>
          </w:rPr>
          <w:t>[1999] 3 S.C.R. 456</w:t>
        </w:r>
      </w:hyperlink>
      <w:r>
        <w:rPr>
          <w:rFonts w:ascii="arial" w:eastAsia="arial" w:hAnsi="arial" w:cs="arial"/>
          <w:color w:val="000000"/>
          <w:sz w:val="20"/>
          <w:lang w:val="en-US" w:eastAsia="en-US" w:bidi="ar-SA"/>
        </w:rPr>
        <w:t xml:space="preserve">, </w:t>
      </w:r>
      <w:hyperlink r:id="rId724" w:history="1">
        <w:r>
          <w:rPr>
            <w:rFonts w:ascii="arial" w:eastAsia="arial" w:hAnsi="arial" w:cs="arial"/>
            <w:i/>
            <w:color w:val="0077CC"/>
            <w:sz w:val="20"/>
            <w:u w:val="single"/>
            <w:shd w:val="clear" w:color="auto" w:fill="FFFFFF"/>
            <w:lang w:val="en-US" w:eastAsia="en-US" w:bidi="ar-SA"/>
          </w:rPr>
          <w:t>177 D.L.R. (4th) 513</w:t>
        </w:r>
      </w:hyperlink>
      <w:r>
        <w:rPr>
          <w:rFonts w:ascii="arial" w:eastAsia="arial" w:hAnsi="arial" w:cs="arial"/>
          <w:color w:val="000000"/>
          <w:sz w:val="20"/>
          <w:lang w:val="en-US" w:eastAsia="en-US" w:bidi="ar-SA"/>
        </w:rPr>
        <w:t>, the defendant was charged with catching and selling eels out of season. The treaty right was characterized as the right to obtain necessities through hunting and fishing.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 Establishing the Ancestors of the Claimant Aboriginal Group Engaged in a Particular Practice, Custom or Tradition Prior to European Contact - Continuity Element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1166</w:t>
      </w:r>
      <w:r>
        <w:rPr>
          <w:rFonts w:ascii="arial" w:eastAsia="arial" w:hAnsi="arial" w:cs="arial"/>
          <w:color w:val="000000"/>
          <w:sz w:val="20"/>
          <w:lang w:val="en-US" w:eastAsia="en-US" w:bidi="ar-SA"/>
        </w:rPr>
        <w:t xml:space="preserve">  The function of the doctrine of Aboriginal rights is to reconcile the existence of pre-existing, distinctive Aboriginal societies with the sovereignty of the Crown. Thus, it is to those pre-existing societies that the courts must look in defining Aboriginal rights. The focus of the inquiry is on the time period prior to the arrival of Europeans. To this end, the Court stated in </w:t>
      </w:r>
      <w:r>
        <w:rPr>
          <w:rFonts w:ascii="arial" w:eastAsia="arial" w:hAnsi="arial" w:cs="arial"/>
          <w:b/>
          <w:i/>
          <w:color w:val="000000"/>
          <w:sz w:val="20"/>
          <w:lang w:val="en-US" w:eastAsia="en-US" w:bidi="ar-SA"/>
        </w:rPr>
        <w:t>Van der Peet</w:t>
      </w:r>
      <w:r>
        <w:rPr>
          <w:rFonts w:ascii="arial" w:eastAsia="arial" w:hAnsi="arial" w:cs="arial"/>
          <w:color w:val="000000"/>
          <w:sz w:val="20"/>
          <w:lang w:val="en-US" w:eastAsia="en-US" w:bidi="ar-SA"/>
        </w:rPr>
        <w:t xml:space="preserve"> at para. 60: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time period that a court should consider in identifying whether the right claimed meets the standard of being integral to the aboriginal community claiming the right is the period prior to contact between aboriginal and European societies. Because it is the fact that distinctive aboriginal societies lived on the land prior to the arrival of Europeans that underlies the aboriginal rights protected by s. 35(1), it is to that pre-contact period that the courts must look in identifying aboriginal rights.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1167</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Sappier; Gray</w:t>
      </w:r>
      <w:r>
        <w:rPr>
          <w:rFonts w:ascii="arial" w:eastAsia="arial" w:hAnsi="arial" w:cs="arial"/>
          <w:color w:val="000000"/>
          <w:sz w:val="20"/>
          <w:lang w:val="en-US" w:eastAsia="en-US" w:bidi="ar-SA"/>
        </w:rPr>
        <w:t xml:space="preserve"> at para. 22, the Court again emphasized that Aboriginal claimants must lead evidence on a pre-contact practice, tradition or custom in order to establish an Aboriginal right: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goal for courts is, therefore, to determine how the claimed right relates to the pre-contact culture or way of life of an aboriginal society. This has been achieved by requiring aboriginal rights claimants to found their claim on a pre-contact practice which was integral to the distinctive culture of the particular aboriginal community. It is critically important that the Court be able to identify a </w:t>
      </w:r>
      <w:r>
        <w:rPr>
          <w:rFonts w:ascii="arial" w:eastAsia="arial" w:hAnsi="arial" w:cs="arial"/>
          <w:i/>
          <w:color w:val="000000"/>
          <w:sz w:val="20"/>
          <w:lang w:val="en-US" w:eastAsia="en-US" w:bidi="ar-SA"/>
        </w:rPr>
        <w:t>practice</w:t>
      </w:r>
      <w:r>
        <w:rPr>
          <w:rFonts w:ascii="arial" w:eastAsia="arial" w:hAnsi="arial" w:cs="arial"/>
          <w:color w:val="000000"/>
          <w:sz w:val="20"/>
          <w:lang w:val="en-US" w:eastAsia="en-US" w:bidi="ar-SA"/>
        </w:rPr>
        <w:t xml:space="preserve"> that helps to define the distinctive way of life of the community as an aboriginal community. The importance of leading evidence about the pre-contact practice upon which the claimed right is based should not be understated. In the absence of such evidence, courts will find it difficult to relate the claimed right to the pre-contact way of life of the specific aboriginal people, so as to trigger s. 35 protection.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1168</w:t>
      </w:r>
      <w:r>
        <w:rPr>
          <w:rFonts w:ascii="arial" w:eastAsia="arial" w:hAnsi="arial" w:cs="arial"/>
          <w:color w:val="000000"/>
          <w:sz w:val="20"/>
          <w:lang w:val="en-US" w:eastAsia="en-US" w:bidi="ar-SA"/>
        </w:rPr>
        <w:t xml:space="preserve">  While Aboriginal rights claimants may rely on evidence of practices, customs and traditions post-contact, that evidence must "be directed at demonstrating which aspects of the aboriginal community and society have their origins pre-contact": </w:t>
      </w:r>
      <w:r>
        <w:rPr>
          <w:rFonts w:ascii="arial" w:eastAsia="arial" w:hAnsi="arial" w:cs="arial"/>
          <w:b/>
          <w:i/>
          <w:color w:val="000000"/>
          <w:sz w:val="20"/>
          <w:lang w:val="en-US" w:eastAsia="en-US" w:bidi="ar-SA"/>
        </w:rPr>
        <w:t>Van der Peet</w:t>
      </w:r>
      <w:r>
        <w:rPr>
          <w:rFonts w:ascii="arial" w:eastAsia="arial" w:hAnsi="arial" w:cs="arial"/>
          <w:color w:val="000000"/>
          <w:sz w:val="20"/>
          <w:lang w:val="en-US" w:eastAsia="en-US" w:bidi="ar-SA"/>
        </w:rPr>
        <w:t xml:space="preserve">, para. 62. In other words, post-contact evidence may be led but it must be demonstrably linked to pre-contact times. Courts must approach the rules of evidence in light of the evidentiary difficulties inherent in adjudicating Aboriginal claims: </w:t>
      </w:r>
      <w:r>
        <w:rPr>
          <w:rFonts w:ascii="arial" w:eastAsia="arial" w:hAnsi="arial" w:cs="arial"/>
          <w:b/>
          <w:i/>
          <w:color w:val="000000"/>
          <w:sz w:val="20"/>
          <w:lang w:val="en-US" w:eastAsia="en-US" w:bidi="ar-SA"/>
        </w:rPr>
        <w:t>Van der Peet</w:t>
      </w:r>
      <w:r>
        <w:rPr>
          <w:rFonts w:ascii="arial" w:eastAsia="arial" w:hAnsi="arial" w:cs="arial"/>
          <w:color w:val="000000"/>
          <w:sz w:val="20"/>
          <w:lang w:val="en-US" w:eastAsia="en-US" w:bidi="ar-SA"/>
        </w:rPr>
        <w:t xml:space="preserve"> at para. 68.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 Integral to the Distinctive Culture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1169</w:t>
      </w:r>
      <w:r>
        <w:rPr>
          <w:rFonts w:ascii="arial" w:eastAsia="arial" w:hAnsi="arial" w:cs="arial"/>
          <w:color w:val="000000"/>
          <w:sz w:val="20"/>
          <w:lang w:val="en-US" w:eastAsia="en-US" w:bidi="ar-SA"/>
        </w:rPr>
        <w:t xml:space="preserve">  To satisfy the "distinctive culture" test, the Aboriginal claimant must do more than demonstrate that a practice, custom or tradition was an aspect of, or took place in, the Aboriginal society of which he or she is a part: </w:t>
      </w:r>
      <w:r>
        <w:rPr>
          <w:rFonts w:ascii="arial" w:eastAsia="arial" w:hAnsi="arial" w:cs="arial"/>
          <w:b/>
          <w:i/>
          <w:color w:val="000000"/>
          <w:sz w:val="20"/>
          <w:lang w:val="en-US" w:eastAsia="en-US" w:bidi="ar-SA"/>
        </w:rPr>
        <w:t>Van der Peet</w:t>
      </w:r>
      <w:r>
        <w:rPr>
          <w:rFonts w:ascii="arial" w:eastAsia="arial" w:hAnsi="arial" w:cs="arial"/>
          <w:color w:val="000000"/>
          <w:sz w:val="20"/>
          <w:lang w:val="en-US" w:eastAsia="en-US" w:bidi="ar-SA"/>
        </w:rPr>
        <w:t xml:space="preserve"> at para. 55.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1170</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Mitchell</w:t>
      </w:r>
      <w:r>
        <w:rPr>
          <w:rFonts w:ascii="arial" w:eastAsia="arial" w:hAnsi="arial" w:cs="arial"/>
          <w:color w:val="000000"/>
          <w:sz w:val="20"/>
          <w:lang w:val="en-US" w:eastAsia="en-US" w:bidi="ar-SA"/>
        </w:rPr>
        <w:t xml:space="preserve"> at para. 12, the Court succinctly summarized the distinctive culture test and what it means to be integral: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practice, custom or tradition must have been "integral to the distinctive culture" of the aboriginal peoples, in the sense that it distinguished or characterized their traditional culture and lay at the core of the peoples' identity. It must be a "defining feature" of the aboriginal society, such that the culture would be "fundamentally altered" without it. It must be a feature of "central significance" to the peoples' culture, one that "truly </w:t>
      </w:r>
      <w:r>
        <w:rPr>
          <w:rFonts w:ascii="arial" w:eastAsia="arial" w:hAnsi="arial" w:cs="arial"/>
          <w:color w:val="000000"/>
          <w:sz w:val="20"/>
          <w:u w:val="single"/>
          <w:lang w:val="en-US" w:eastAsia="en-US" w:bidi="ar-SA"/>
        </w:rPr>
        <w:t>made the society what it was</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Van der</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Peet, supra</w:t>
      </w:r>
      <w:r>
        <w:rPr>
          <w:rFonts w:ascii="arial" w:eastAsia="arial" w:hAnsi="arial" w:cs="arial"/>
          <w:color w:val="000000"/>
          <w:sz w:val="20"/>
          <w:lang w:val="en-US" w:eastAsia="en-US" w:bidi="ar-SA"/>
        </w:rPr>
        <w:t>, at paras. 54-59 (emphasis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1171</w:t>
      </w:r>
      <w:r>
        <w:rPr>
          <w:rFonts w:ascii="arial" w:eastAsia="arial" w:hAnsi="arial" w:cs="arial"/>
          <w:color w:val="000000"/>
          <w:sz w:val="20"/>
          <w:lang w:val="en-US" w:eastAsia="en-US" w:bidi="ar-SA"/>
        </w:rPr>
        <w:t xml:space="preserve">  Most recently, in </w:t>
      </w:r>
      <w:r>
        <w:rPr>
          <w:rFonts w:ascii="arial" w:eastAsia="arial" w:hAnsi="arial" w:cs="arial"/>
          <w:b/>
          <w:i/>
          <w:color w:val="000000"/>
          <w:sz w:val="20"/>
          <w:lang w:val="en-US" w:eastAsia="en-US" w:bidi="ar-SA"/>
        </w:rPr>
        <w:t>Sappier; Gray</w:t>
      </w:r>
      <w:r>
        <w:rPr>
          <w:rFonts w:ascii="arial" w:eastAsia="arial" w:hAnsi="arial" w:cs="arial"/>
          <w:color w:val="000000"/>
          <w:sz w:val="20"/>
          <w:lang w:val="en-US" w:eastAsia="en-US" w:bidi="ar-SA"/>
        </w:rPr>
        <w:t>, the Court discarded the notion that the pre-contact practice must go to the core of a society's identity. Likewise, the Court rejected the idea that the pre-contact practice must be a defining feature of the Aboriginal society, such that the culture would be fundamentally altered without it. The Court described the revised distinctive culture test and the integrality inquiry as follows, at paras. 40 and 45: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purpose of this exercise is to understand the way of life of the particular aboriginal society, pre-contact, and to determine how the claimed right relates to it. This is achieved by founding the claim on a pre-contact practice, and determining whether that practice was integral to the distinctive culture of the aboriginal people in question, pre-contact. Section 35 seeks to protect integral elements of the way of life of these aboriginal societies, including their traditional means of survival.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focus of the Court should therefore be on the </w:t>
      </w:r>
      <w:r>
        <w:rPr>
          <w:rFonts w:ascii="arial" w:eastAsia="arial" w:hAnsi="arial" w:cs="arial"/>
          <w:i/>
          <w:color w:val="000000"/>
          <w:sz w:val="20"/>
          <w:lang w:val="en-US" w:eastAsia="en-US" w:bidi="ar-SA"/>
        </w:rPr>
        <w:t>nature</w:t>
      </w:r>
      <w:r>
        <w:rPr>
          <w:rFonts w:ascii="arial" w:eastAsia="arial" w:hAnsi="arial" w:cs="arial"/>
          <w:color w:val="000000"/>
          <w:sz w:val="20"/>
          <w:lang w:val="en-US" w:eastAsia="en-US" w:bidi="ar-SA"/>
        </w:rPr>
        <w:t xml:space="preserve"> of this prior occupation. What is meant by "culture" is really an inquiry into the pre-contact way of life of a particular aboriginal community, including their means of survival, their socialization methods, their legal systems, and, potentially, their trading habits. The use of the word "distinctive" as a qualifier is meant to incorporate an element of aboriginal specificity. However, "distinctive" does not mean "distinct", and the notion of aboriginality must not be reduced to "racialized stereotypes Aboriginal peoples" (J. Borrows and L.I. Rotman, "The </w:t>
      </w:r>
      <w:r>
        <w:rPr>
          <w:rFonts w:ascii="arial" w:eastAsia="arial" w:hAnsi="arial" w:cs="arial"/>
          <w:i/>
          <w:color w:val="000000"/>
          <w:sz w:val="20"/>
          <w:lang w:val="en-US" w:eastAsia="en-US" w:bidi="ar-SA"/>
        </w:rPr>
        <w:t>Sui Generis</w:t>
      </w:r>
      <w:r>
        <w:rPr>
          <w:rFonts w:ascii="arial" w:eastAsia="arial" w:hAnsi="arial" w:cs="arial"/>
          <w:color w:val="000000"/>
          <w:sz w:val="20"/>
          <w:lang w:val="en-US" w:eastAsia="en-US" w:bidi="ar-SA"/>
        </w:rPr>
        <w:t xml:space="preserve"> Nature of Aboriginal Rights: Does it Make a Difference?" (1997), 36 </w:t>
      </w:r>
      <w:r>
        <w:rPr>
          <w:rFonts w:ascii="arial" w:eastAsia="arial" w:hAnsi="arial" w:cs="arial"/>
          <w:i/>
          <w:color w:val="000000"/>
          <w:sz w:val="20"/>
          <w:lang w:val="en-US" w:eastAsia="en-US" w:bidi="ar-SA"/>
        </w:rPr>
        <w:t>Alta. L. Rev</w:t>
      </w:r>
      <w:r>
        <w:rPr>
          <w:rFonts w:ascii="arial" w:eastAsia="arial" w:hAnsi="arial" w:cs="arial"/>
          <w:color w:val="000000"/>
          <w:sz w:val="20"/>
          <w:lang w:val="en-US" w:eastAsia="en-US" w:bidi="ar-SA"/>
        </w:rPr>
        <w:t>. 9, at p. 36).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1172</w:t>
      </w:r>
      <w:r>
        <w:rPr>
          <w:rFonts w:ascii="arial" w:eastAsia="arial" w:hAnsi="arial" w:cs="arial"/>
          <w:color w:val="000000"/>
          <w:sz w:val="20"/>
          <w:lang w:val="en-US" w:eastAsia="en-US" w:bidi="ar-SA"/>
        </w:rPr>
        <w:t xml:space="preserve">  The Court in </w:t>
      </w:r>
      <w:r>
        <w:rPr>
          <w:rFonts w:ascii="arial" w:eastAsia="arial" w:hAnsi="arial" w:cs="arial"/>
          <w:b/>
          <w:i/>
          <w:color w:val="000000"/>
          <w:sz w:val="20"/>
          <w:lang w:val="en-US" w:eastAsia="en-US" w:bidi="ar-SA"/>
        </w:rPr>
        <w:t>Sappier; Gray</w:t>
      </w:r>
      <w:r>
        <w:rPr>
          <w:rFonts w:ascii="arial" w:eastAsia="arial" w:hAnsi="arial" w:cs="arial"/>
          <w:color w:val="000000"/>
          <w:sz w:val="20"/>
          <w:lang w:val="en-US" w:eastAsia="en-US" w:bidi="ar-SA"/>
        </w:rPr>
        <w:t xml:space="preserve"> at para. 38 specifically held that practices undertaken merely for survival purposes can be considered integral to the distinctive culture of an Aboriginal people: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can therefore find no jurisprudential authority to support the proposition that a practice undertaken merely for survival purposes cannot be considered integral to the distinctive culture of an aboriginal people. Rather, I find that the jurisprudence weighs in favour of protecting the traditional means of survival of an aboriginal community.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1173</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Sappier; Gray</w:t>
      </w:r>
      <w:r>
        <w:rPr>
          <w:rFonts w:ascii="arial" w:eastAsia="arial" w:hAnsi="arial" w:cs="arial"/>
          <w:color w:val="000000"/>
          <w:sz w:val="20"/>
          <w:lang w:val="en-US" w:eastAsia="en-US" w:bidi="ar-SA"/>
        </w:rPr>
        <w:t xml:space="preserve"> the Court also expanded upon another aspect of the distinctive culture or integrality test: the geographic limitation on site-specific rights. The Court emphasized there is a necessary geographic element of site-specific hunting and fishing rights and linked this element to the principle of integrality as follows, at paras. 50-51: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Court has imposed a site-specific requirement on the aboriginal hunting and fishing rights it recognized in </w:t>
      </w:r>
      <w:r>
        <w:rPr>
          <w:rFonts w:ascii="arial" w:eastAsia="arial" w:hAnsi="arial" w:cs="arial"/>
          <w:i/>
          <w:color w:val="000000"/>
          <w:sz w:val="20"/>
          <w:lang w:val="en-US" w:eastAsia="en-US" w:bidi="ar-SA"/>
        </w:rPr>
        <w:t>Adams, Côté, Mitchell</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Powley</w:t>
      </w:r>
      <w:r>
        <w:rPr>
          <w:rFonts w:ascii="arial" w:eastAsia="arial" w:hAnsi="arial" w:cs="arial"/>
          <w:color w:val="000000"/>
          <w:sz w:val="20"/>
          <w:lang w:val="en-US" w:eastAsia="en-US" w:bidi="ar-SA"/>
        </w:rPr>
        <w:t xml:space="preserve">. Lamer C.J. explained in </w:t>
      </w:r>
      <w:r>
        <w:rPr>
          <w:rFonts w:ascii="arial" w:eastAsia="arial" w:hAnsi="arial" w:cs="arial"/>
          <w:i/>
          <w:color w:val="000000"/>
          <w:sz w:val="20"/>
          <w:lang w:val="en-US" w:eastAsia="en-US" w:bidi="ar-SA"/>
        </w:rPr>
        <w:t>Adams</w:t>
      </w:r>
      <w:r>
        <w:rPr>
          <w:rFonts w:ascii="arial" w:eastAsia="arial" w:hAnsi="arial" w:cs="arial"/>
          <w:color w:val="000000"/>
          <w:sz w:val="20"/>
          <w:lang w:val="en-US" w:eastAsia="en-US" w:bidi="ar-SA"/>
        </w:rPr>
        <w:t xml:space="preserve"> at para. 30 that: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if an aboriginal people demonstrates that hunting on a specific tract of land was an integral part of their distinctive culture then, even if the right exists apart from title to that tract of land, the aboriginal right to hunt is nonetheless defined as, and limited to, the right to hunt on the specific tract of land. A site-specific hunting or fishing right does not, simply because it is independent of aboriginal title to the land on which it took place, become an abstract fishing or hunting right exercisable anywhere; it continues to be a right to hunt or fish on the tract of land in question. [Emphasis in original deleted.]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characterization of the claimed right in the present cases, as in </w:t>
      </w:r>
      <w:r>
        <w:rPr>
          <w:rFonts w:ascii="arial" w:eastAsia="arial" w:hAnsi="arial" w:cs="arial"/>
          <w:i/>
          <w:color w:val="000000"/>
          <w:sz w:val="20"/>
          <w:lang w:val="en-US" w:eastAsia="en-US" w:bidi="ar-SA"/>
        </w:rPr>
        <w:t>Adams, Côté</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Mitchell</w:t>
      </w:r>
      <w:r>
        <w:rPr>
          <w:rFonts w:ascii="arial" w:eastAsia="arial" w:hAnsi="arial" w:cs="arial"/>
          <w:color w:val="000000"/>
          <w:sz w:val="20"/>
          <w:lang w:val="en-US" w:eastAsia="en-US" w:bidi="ar-SA"/>
        </w:rPr>
        <w:t xml:space="preserve">, imports a necessary geographical element, and its integrality to the Maliseet and Mi'kmaq cultures should be assessed on this basis: </w:t>
      </w:r>
      <w:r>
        <w:rPr>
          <w:rFonts w:ascii="arial" w:eastAsia="arial" w:hAnsi="arial" w:cs="arial"/>
          <w:i/>
          <w:color w:val="000000"/>
          <w:sz w:val="20"/>
          <w:lang w:val="en-US" w:eastAsia="en-US" w:bidi="ar-SA"/>
        </w:rPr>
        <w:t>Mitchell</w:t>
      </w:r>
      <w:r>
        <w:rPr>
          <w:rFonts w:ascii="arial" w:eastAsia="arial" w:hAnsi="arial" w:cs="arial"/>
          <w:color w:val="000000"/>
          <w:sz w:val="20"/>
          <w:lang w:val="en-US" w:eastAsia="en-US" w:bidi="ar-SA"/>
        </w:rPr>
        <w:t xml:space="preserve">, at para. 59. I agree with Robertson J.A. in the </w:t>
      </w:r>
      <w:r>
        <w:rPr>
          <w:rFonts w:ascii="arial" w:eastAsia="arial" w:hAnsi="arial" w:cs="arial"/>
          <w:i/>
          <w:color w:val="000000"/>
          <w:sz w:val="20"/>
          <w:lang w:val="en-US" w:eastAsia="en-US" w:bidi="ar-SA"/>
        </w:rPr>
        <w:t>Sappier</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Polchies</w:t>
      </w:r>
      <w:r>
        <w:rPr>
          <w:rFonts w:ascii="arial" w:eastAsia="arial" w:hAnsi="arial" w:cs="arial"/>
          <w:color w:val="000000"/>
          <w:sz w:val="20"/>
          <w:lang w:val="en-US" w:eastAsia="en-US" w:bidi="ar-SA"/>
        </w:rPr>
        <w:t xml:space="preserve"> decision that "[t]his result is hardly surprising once it is recognized that all harvesting activities are land and water based" (para. 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1174</w:t>
      </w:r>
      <w:r>
        <w:rPr>
          <w:rFonts w:ascii="arial" w:eastAsia="arial" w:hAnsi="arial" w:cs="arial"/>
          <w:color w:val="000000"/>
          <w:sz w:val="20"/>
          <w:lang w:val="en-US" w:eastAsia="en-US" w:bidi="ar-SA"/>
        </w:rPr>
        <w:t>  To date, the Supreme Court of Canada has avoided delineating the precise boundaries of claimed Aboriginal rights. This appears to be possible because the vast majority of Aboriginal rights cases before the courts arise in the context of regulatory prosecutions. In a regulatory prosecution, an Aboriginal right is raised as a defence by the accused and the court need only determine whether the offence occurred within the general boundaries of the site. As a result, the Court has described the boundaries of site-specific rights very vaguely to date. Examples include:</w:t>
      </w:r>
      <w:r>
        <w:rPr>
          <w:rFonts w:ascii="arial" w:eastAsia="arial" w:hAnsi="arial" w:cs="arial"/>
          <w:sz w:val="20"/>
          <w:lang w:val="en-US" w:eastAsia="en-US" w:bidi="ar-SA"/>
        </w:rPr>
        <w:cr/>
      </w:r>
    </w:p>
    <w:p>
      <w:pPr>
        <w:numPr>
          <w:numId w:val="261"/>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Côté</w:t>
      </w:r>
      <w:r>
        <w:rPr>
          <w:rFonts w:ascii="arial" w:eastAsia="arial" w:hAnsi="arial" w:cs="arial"/>
          <w:color w:val="000000"/>
          <w:sz w:val="20"/>
          <w:lang w:val="en-US" w:eastAsia="en-US" w:bidi="ar-SA"/>
        </w:rPr>
        <w:t>: "right to fish for food within the lakes and rivers of the territory of the Z.E.C.": para. 56;</w:t>
      </w:r>
    </w:p>
    <w:p>
      <w:pPr>
        <w:numPr>
          <w:numId w:val="262"/>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Adams</w:t>
      </w:r>
      <w:r>
        <w:rPr>
          <w:rFonts w:ascii="arial" w:eastAsia="arial" w:hAnsi="arial" w:cs="arial"/>
          <w:color w:val="000000"/>
          <w:sz w:val="20"/>
          <w:lang w:val="en-US" w:eastAsia="en-US" w:bidi="ar-SA"/>
        </w:rPr>
        <w:t>: "right to fish for food in Lake St. Francis": para. 36;</w:t>
      </w:r>
    </w:p>
    <w:p>
      <w:pPr>
        <w:numPr>
          <w:numId w:val="263"/>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Powley</w:t>
      </w:r>
      <w:r>
        <w:rPr>
          <w:rFonts w:ascii="arial" w:eastAsia="arial" w:hAnsi="arial" w:cs="arial"/>
          <w:color w:val="000000"/>
          <w:sz w:val="20"/>
          <w:lang w:val="en-US" w:eastAsia="en-US" w:bidi="ar-SA"/>
        </w:rPr>
        <w:t>: "right to hunt for food in the environs of Sault Ste. Marie": para. 19; and</w:t>
      </w:r>
    </w:p>
    <w:p>
      <w:pPr>
        <w:numPr>
          <w:numId w:val="264"/>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Sappier; Gray</w:t>
      </w:r>
      <w:r>
        <w:rPr>
          <w:rFonts w:ascii="arial" w:eastAsia="arial" w:hAnsi="arial" w:cs="arial"/>
          <w:color w:val="000000"/>
          <w:sz w:val="20"/>
          <w:lang w:val="en-US" w:eastAsia="en-US" w:bidi="ar-SA"/>
        </w:rPr>
        <w:t>: "right to harvest wood for domestic uses on Crown lands traditionally used for this purpose by members of the Pabineau First Nation": para. 53.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1175</w:t>
      </w:r>
      <w:r>
        <w:rPr>
          <w:rFonts w:ascii="arial" w:eastAsia="arial" w:hAnsi="arial" w:cs="arial"/>
          <w:color w:val="000000"/>
          <w:sz w:val="20"/>
          <w:lang w:val="en-US" w:eastAsia="en-US" w:bidi="ar-SA"/>
        </w:rPr>
        <w:t>  The case at bar is also about specific areas in the sense that a set of boundaries was selected for the purposes of this action. A declaration of rights within these boundaries does not preclude the existence of similar rights outside the boundaries. I have in mind the obvious fact that no person would suggest that in pre-contact times, Tsilhqot'in people hunted only on one side of the rivers that bound Tachelach'ed. They hunted, gathered and fished both sides of the rivers. However, for the purposes of this action, the Court is confined to a statement of the rights of Tsilhqot'in people within the boundaries of the Claim Areas. To that extent the declaration of rights is specific to particular land masses but not specific sites.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 Continuity Between Claimed Rights and Pre-Contact Practices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1176</w:t>
      </w:r>
      <w:r>
        <w:rPr>
          <w:rFonts w:ascii="arial" w:eastAsia="arial" w:hAnsi="arial" w:cs="arial"/>
          <w:color w:val="000000"/>
          <w:sz w:val="20"/>
          <w:lang w:val="en-US" w:eastAsia="en-US" w:bidi="ar-SA"/>
        </w:rPr>
        <w:t xml:space="preserve">  In order for an activity to qualify as an Aboriginal right, the present practice, custom or tradition must have continuity with the practices, customs and traditions that existed prior to contact. In </w:t>
      </w:r>
      <w:r>
        <w:rPr>
          <w:rFonts w:ascii="arial" w:eastAsia="arial" w:hAnsi="arial" w:cs="arial"/>
          <w:b/>
          <w:i/>
          <w:color w:val="000000"/>
          <w:sz w:val="20"/>
          <w:lang w:val="en-US" w:eastAsia="en-US" w:bidi="ar-SA"/>
        </w:rPr>
        <w:t>Van der Peet</w:t>
      </w:r>
      <w:r>
        <w:rPr>
          <w:rFonts w:ascii="arial" w:eastAsia="arial" w:hAnsi="arial" w:cs="arial"/>
          <w:color w:val="000000"/>
          <w:sz w:val="20"/>
          <w:lang w:val="en-US" w:eastAsia="en-US" w:bidi="ar-SA"/>
        </w:rPr>
        <w:t xml:space="preserve"> at para. 63, the Court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Where an aboriginal community can demonstrate that a particular practice, custom or tradition is integral to its distinctive culture today, and that this practice, custom or tradition has continuity with the practices, customs and traditions of pre-contact times, that community will have demonstrated that the practice, custom or tradition is an aboriginal right for the purposes of s. 35(1).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1177</w:t>
      </w:r>
      <w:r>
        <w:rPr>
          <w:rFonts w:ascii="arial" w:eastAsia="arial" w:hAnsi="arial" w:cs="arial"/>
          <w:color w:val="000000"/>
          <w:sz w:val="20"/>
          <w:lang w:val="en-US" w:eastAsia="en-US" w:bidi="ar-SA"/>
        </w:rPr>
        <w:t xml:space="preserve">  The requirement of continuity in this context has two aspects. First, as set out above, the Court has noted the evidentiary difficulties facing Aboriginal rights claimants. The Court stated that evidence of post-contact practices, customs and traditions can be adduced to establish Aboriginal rights, provided that evidence is "directed at" and "rooted in" pre-contact aspects of the Aboriginal society in question: </w:t>
      </w:r>
      <w:r>
        <w:rPr>
          <w:rFonts w:ascii="arial" w:eastAsia="arial" w:hAnsi="arial" w:cs="arial"/>
          <w:b/>
          <w:i/>
          <w:color w:val="000000"/>
          <w:sz w:val="20"/>
          <w:lang w:val="en-US" w:eastAsia="en-US" w:bidi="ar-SA"/>
        </w:rPr>
        <w:t>Van der Peet</w:t>
      </w:r>
      <w:r>
        <w:rPr>
          <w:rFonts w:ascii="arial" w:eastAsia="arial" w:hAnsi="arial" w:cs="arial"/>
          <w:color w:val="000000"/>
          <w:sz w:val="20"/>
          <w:lang w:val="en-US" w:eastAsia="en-US" w:bidi="ar-SA"/>
        </w:rPr>
        <w:t xml:space="preserve"> at para. 62. In other words, claimants must establish continuity between pre-contact and post-contact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1178</w:t>
      </w:r>
      <w:r>
        <w:rPr>
          <w:rFonts w:ascii="arial" w:eastAsia="arial" w:hAnsi="arial" w:cs="arial"/>
          <w:color w:val="000000"/>
          <w:sz w:val="20"/>
          <w:lang w:val="en-US" w:eastAsia="en-US" w:bidi="ar-SA"/>
        </w:rPr>
        <w:t xml:space="preserve">  Second, the requirement of continuity ensures that the claimed right or modern manifestation of the pre-contact practice, custom or tradition can "evolve", but within limits. In </w:t>
      </w:r>
      <w:r>
        <w:rPr>
          <w:rFonts w:ascii="arial" w:eastAsia="arial" w:hAnsi="arial" w:cs="arial"/>
          <w:b/>
          <w:i/>
          <w:color w:val="000000"/>
          <w:sz w:val="20"/>
          <w:lang w:val="en-US" w:eastAsia="en-US" w:bidi="ar-SA"/>
        </w:rPr>
        <w:t>Van der Peet</w:t>
      </w:r>
      <w:r>
        <w:rPr>
          <w:rFonts w:ascii="arial" w:eastAsia="arial" w:hAnsi="arial" w:cs="arial"/>
          <w:color w:val="000000"/>
          <w:sz w:val="20"/>
          <w:lang w:val="en-US" w:eastAsia="en-US" w:bidi="ar-SA"/>
        </w:rPr>
        <w:t>, the Court rejected the "frozen rights" approach at para. 64: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concept of continuity is also the primary means through which the definition and identification of aboriginal rights will be consistent with the admonition in </w:t>
      </w:r>
      <w:r>
        <w:rPr>
          <w:rFonts w:ascii="arial" w:eastAsia="arial" w:hAnsi="arial" w:cs="arial"/>
          <w:i/>
          <w:color w:val="000000"/>
          <w:sz w:val="20"/>
          <w:lang w:val="en-US" w:eastAsia="en-US" w:bidi="ar-SA"/>
        </w:rPr>
        <w:t>Sparrow, supra</w:t>
      </w:r>
      <w:r>
        <w:rPr>
          <w:rFonts w:ascii="arial" w:eastAsia="arial" w:hAnsi="arial" w:cs="arial"/>
          <w:color w:val="000000"/>
          <w:sz w:val="20"/>
          <w:lang w:val="en-US" w:eastAsia="en-US" w:bidi="ar-SA"/>
        </w:rPr>
        <w:t>, at p. 1093, that "the phrase 'existing aboriginal rights' must be interpreted flexibly so as to permit their evolution over time". The concept of continuity is, in other words, the means by which a "frozen rights" approach to s. 35(1) will be avoided. Because the practices, customs and traditions protected by s. 35(1) are ones that exist today, subject only to the requirement that they be demonstrated to have continuity with the practices, customs and traditions which existed pre-contact, the definition of aboriginal rights will be one that, on its own terms, prevents those rights from being frozen in pre-contact times. The evolution of practices, customs and traditions into modern forms will not, provided that continuity with pre-contact practices, customs and traditions is demonstrated, prevent their protection as aboriginal rights.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1179</w:t>
      </w:r>
      <w:r>
        <w:rPr>
          <w:rFonts w:ascii="arial" w:eastAsia="arial" w:hAnsi="arial" w:cs="arial"/>
          <w:color w:val="000000"/>
          <w:sz w:val="20"/>
          <w:lang w:val="en-US" w:eastAsia="en-US" w:bidi="ar-SA"/>
        </w:rPr>
        <w:t xml:space="preserve">  As such, pre-contact practices can evolve and establish modern Aboriginal rights, provided continuity between the modern right and pre-contact practices is demonstrated. Evolution, in the context of Aboriginal rights, refers to the same sort of activity, carried on in the modern economy by modern means. The practice is allowed to evolve, but the "activity must be essentially the same": </w:t>
      </w:r>
      <w:r>
        <w:rPr>
          <w:rFonts w:ascii="arial" w:eastAsia="arial" w:hAnsi="arial" w:cs="arial"/>
          <w:b/>
          <w:i/>
          <w:color w:val="000000"/>
          <w:sz w:val="20"/>
          <w:lang w:val="en-US" w:eastAsia="en-US" w:bidi="ar-SA"/>
        </w:rPr>
        <w:t>Marshall; Bernard</w:t>
      </w:r>
      <w:r>
        <w:rPr>
          <w:rFonts w:ascii="arial" w:eastAsia="arial" w:hAnsi="arial" w:cs="arial"/>
          <w:color w:val="000000"/>
          <w:sz w:val="20"/>
          <w:lang w:val="en-US" w:eastAsia="en-US" w:bidi="ar-SA"/>
        </w:rPr>
        <w:t xml:space="preserve"> at para. 25; </w:t>
      </w:r>
      <w:r>
        <w:rPr>
          <w:rFonts w:ascii="arial" w:eastAsia="arial" w:hAnsi="arial" w:cs="arial"/>
          <w:b/>
          <w:i/>
          <w:color w:val="000000"/>
          <w:sz w:val="20"/>
          <w:lang w:val="en-US" w:eastAsia="en-US" w:bidi="ar-SA"/>
        </w:rPr>
        <w:t>Mitchell</w:t>
      </w:r>
      <w:r>
        <w:rPr>
          <w:rFonts w:ascii="arial" w:eastAsia="arial" w:hAnsi="arial" w:cs="arial"/>
          <w:color w:val="000000"/>
          <w:sz w:val="20"/>
          <w:lang w:val="en-US" w:eastAsia="en-US" w:bidi="ar-SA"/>
        </w:rPr>
        <w:t xml:space="preserve"> at para. 13; </w:t>
      </w:r>
      <w:r>
        <w:rPr>
          <w:rFonts w:ascii="arial" w:eastAsia="arial" w:hAnsi="arial" w:cs="arial"/>
          <w:b/>
          <w:i/>
          <w:color w:val="000000"/>
          <w:sz w:val="20"/>
          <w:lang w:val="en-US" w:eastAsia="en-US" w:bidi="ar-SA"/>
        </w:rPr>
        <w:t>Sappier; Gray</w:t>
      </w:r>
      <w:r>
        <w:rPr>
          <w:rFonts w:ascii="arial" w:eastAsia="arial" w:hAnsi="arial" w:cs="arial"/>
          <w:color w:val="000000"/>
          <w:sz w:val="20"/>
          <w:lang w:val="en-US" w:eastAsia="en-US" w:bidi="ar-SA"/>
        </w:rPr>
        <w:t xml:space="preserve"> at para. 48. In other words, continuity allows the logical evolution of Aboriginal rights but within certain limits.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g. Date of Contact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1180</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Van der Peet</w:t>
      </w:r>
      <w:r>
        <w:rPr>
          <w:rFonts w:ascii="arial" w:eastAsia="arial" w:hAnsi="arial" w:cs="arial"/>
          <w:color w:val="000000"/>
          <w:sz w:val="20"/>
          <w:lang w:val="en-US" w:eastAsia="en-US" w:bidi="ar-SA"/>
        </w:rPr>
        <w:t xml:space="preserve"> at para. 60, Lamer C.J.C. articulated the rule and the rationale for the requirement that Aboriginal rights must have their origin in pre-contact Aboriginal societies.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1181</w:t>
      </w:r>
      <w:r>
        <w:rPr>
          <w:rFonts w:ascii="arial" w:eastAsia="arial" w:hAnsi="arial" w:cs="arial"/>
          <w:color w:val="000000"/>
          <w:sz w:val="20"/>
          <w:lang w:val="en-US" w:eastAsia="en-US" w:bidi="ar-SA"/>
        </w:rPr>
        <w:t xml:space="preserve">  The Supreme Court of Canada recently re-affirmed the requirement that Aboriginal rights must be rooted in pre-contact practices, customs or traditions. In </w:t>
      </w:r>
      <w:r>
        <w:rPr>
          <w:rFonts w:ascii="arial" w:eastAsia="arial" w:hAnsi="arial" w:cs="arial"/>
          <w:b/>
          <w:i/>
          <w:color w:val="000000"/>
          <w:sz w:val="20"/>
          <w:lang w:val="en-US" w:eastAsia="en-US" w:bidi="ar-SA"/>
        </w:rPr>
        <w:t>Sappier; Gray</w:t>
      </w:r>
      <w:r>
        <w:rPr>
          <w:rFonts w:ascii="arial" w:eastAsia="arial" w:hAnsi="arial" w:cs="arial"/>
          <w:color w:val="000000"/>
          <w:sz w:val="20"/>
          <w:lang w:val="en-US" w:eastAsia="en-US" w:bidi="ar-SA"/>
        </w:rPr>
        <w:t>, the Court stated the following at para. 34: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settled law that the time period courts consider in determining whether the </w:t>
      </w:r>
      <w:r>
        <w:rPr>
          <w:rFonts w:ascii="arial" w:eastAsia="arial" w:hAnsi="arial" w:cs="arial"/>
          <w:i/>
          <w:color w:val="000000"/>
          <w:sz w:val="20"/>
          <w:lang w:val="en-US" w:eastAsia="en-US" w:bidi="ar-SA"/>
        </w:rPr>
        <w:t>Van der Peet</w:t>
      </w:r>
      <w:r>
        <w:rPr>
          <w:rFonts w:ascii="arial" w:eastAsia="arial" w:hAnsi="arial" w:cs="arial"/>
          <w:color w:val="000000"/>
          <w:sz w:val="20"/>
          <w:lang w:val="en-US" w:eastAsia="en-US" w:bidi="ar-SA"/>
        </w:rPr>
        <w:t xml:space="preserve"> test has been met is the period prior to contact with the Europeans (see </w:t>
      </w:r>
      <w:r>
        <w:rPr>
          <w:rFonts w:ascii="arial" w:eastAsia="arial" w:hAnsi="arial" w:cs="arial"/>
          <w:i/>
          <w:color w:val="000000"/>
          <w:sz w:val="20"/>
          <w:lang w:val="en-US" w:eastAsia="en-US" w:bidi="ar-SA"/>
        </w:rPr>
        <w:t>R. v. Powley</w:t>
      </w:r>
      <w:r>
        <w:rPr>
          <w:rFonts w:ascii="arial" w:eastAsia="arial" w:hAnsi="arial" w:cs="arial"/>
          <w:color w:val="000000"/>
          <w:sz w:val="20"/>
          <w:lang w:val="en-US" w:eastAsia="en-US" w:bidi="ar-SA"/>
        </w:rPr>
        <w:t xml:space="preserve">, </w:t>
      </w:r>
      <w:hyperlink r:id="rId668" w:history="1">
        <w:r>
          <w:rPr>
            <w:rFonts w:ascii="arial" w:eastAsia="arial" w:hAnsi="arial" w:cs="arial"/>
            <w:i/>
            <w:color w:val="0077CC"/>
            <w:sz w:val="20"/>
            <w:u w:val="single"/>
            <w:shd w:val="clear" w:color="auto" w:fill="FFFFFF"/>
            <w:lang w:val="en-US" w:eastAsia="en-US" w:bidi="ar-SA"/>
          </w:rPr>
          <w:t>[2003] 2 S.C.R. 207</w:t>
        </w:r>
      </w:hyperlink>
      <w:r>
        <w:rPr>
          <w:rFonts w:ascii="arial" w:eastAsia="arial" w:hAnsi="arial" w:cs="arial"/>
          <w:color w:val="000000"/>
          <w:sz w:val="20"/>
          <w:lang w:val="en-US" w:eastAsia="en-US" w:bidi="ar-SA"/>
        </w:rPr>
        <w:t xml:space="preserve">, </w:t>
      </w:r>
      <w:hyperlink r:id="rId668" w:history="1">
        <w:r>
          <w:rPr>
            <w:rFonts w:ascii="arial" w:eastAsia="arial" w:hAnsi="arial" w:cs="arial"/>
            <w:i/>
            <w:color w:val="0077CC"/>
            <w:sz w:val="20"/>
            <w:u w:val="single"/>
            <w:shd w:val="clear" w:color="auto" w:fill="FFFFFF"/>
            <w:lang w:val="en-US" w:eastAsia="en-US" w:bidi="ar-SA"/>
          </w:rPr>
          <w:t>2003 SCC 43</w:t>
        </w:r>
      </w:hyperlink>
      <w:r>
        <w:rPr>
          <w:rFonts w:ascii="arial" w:eastAsia="arial" w:hAnsi="arial" w:cs="arial"/>
          <w:color w:val="000000"/>
          <w:sz w:val="20"/>
          <w:lang w:val="en-US" w:eastAsia="en-US" w:bidi="ar-SA"/>
        </w:rPr>
        <w:t xml:space="preserve">, which modified the </w:t>
      </w:r>
      <w:r>
        <w:rPr>
          <w:rFonts w:ascii="arial" w:eastAsia="arial" w:hAnsi="arial" w:cs="arial"/>
          <w:i/>
          <w:color w:val="000000"/>
          <w:sz w:val="20"/>
          <w:lang w:val="en-US" w:eastAsia="en-US" w:bidi="ar-SA"/>
        </w:rPr>
        <w:t>Van der Peet</w:t>
      </w:r>
      <w:r>
        <w:rPr>
          <w:rFonts w:ascii="arial" w:eastAsia="arial" w:hAnsi="arial" w:cs="arial"/>
          <w:color w:val="000000"/>
          <w:sz w:val="20"/>
          <w:lang w:val="en-US" w:eastAsia="en-US" w:bidi="ar-SA"/>
        </w:rPr>
        <w:t xml:space="preserve"> test insofar as it applies to the Métis although it affirmed it otherwise). As Lamer C.J. explained in </w:t>
      </w:r>
      <w:r>
        <w:rPr>
          <w:rFonts w:ascii="arial" w:eastAsia="arial" w:hAnsi="arial" w:cs="arial"/>
          <w:i/>
          <w:color w:val="000000"/>
          <w:sz w:val="20"/>
          <w:lang w:val="en-US" w:eastAsia="en-US" w:bidi="ar-SA"/>
        </w:rPr>
        <w:t>Van der Peet</w:t>
      </w:r>
      <w:r>
        <w:rPr>
          <w:rFonts w:ascii="arial" w:eastAsia="arial" w:hAnsi="arial" w:cs="arial"/>
          <w:color w:val="000000"/>
          <w:sz w:val="20"/>
          <w:lang w:val="en-US" w:eastAsia="en-US" w:bidi="ar-SA"/>
        </w:rPr>
        <w:t>, "[b]ecause it is the fact that distinctive aboriginal societies lived on the land and prior to the arrival of Europeans that underlies the aboriginal rights protected by s. 35(1), it is to that pre-contact period that the courts must look in identifying aboriginal rights" (para. 60)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1182</w:t>
      </w:r>
      <w:r>
        <w:rPr>
          <w:rFonts w:ascii="arial" w:eastAsia="arial" w:hAnsi="arial" w:cs="arial"/>
          <w:color w:val="000000"/>
          <w:sz w:val="20"/>
          <w:lang w:val="en-US" w:eastAsia="en-US" w:bidi="ar-SA"/>
        </w:rPr>
        <w:t>  The plaintiff argues that the date of contact should be determined with reference to the onset of sustained or meaningful contact between Europeans and the claimant Aboriginal group. In the plaintiff's submission, this offers a principled alternative to an approach that has the potential to crystallize Aboriginal rights at the moment of first contact. The plaintiff says that particular moment was of negligible cultural significance for many First Nations, including Tsilhqot'in people. In advancing this position, the plaintiff submits that the establishment of the Chilcotin Post in 1829 within the traditional territory of Tsilhqot'in people marks the onset of sustained contact between Tsilhqot'in people and Europeans.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1183</w:t>
      </w:r>
      <w:r>
        <w:rPr>
          <w:rFonts w:ascii="arial" w:eastAsia="arial" w:hAnsi="arial" w:cs="arial"/>
          <w:color w:val="000000"/>
          <w:sz w:val="20"/>
          <w:lang w:val="en-US" w:eastAsia="en-US" w:bidi="ar-SA"/>
        </w:rPr>
        <w:t>  The plaintiff points out that even this date demonstrates the problems associated with assuming that contact is synonymous with significant cultural change. In the plaintiff's submission, 1829 did not mark a cultural or historical watershed for Tsilhqot'in people. On the contrary, the engagement of Tsilhqot'in people with the fur trade, and Europeans generally, remained casual and conflict ridden for decades following the establishment of the trading post. Indeed, largely for this reason, the Hudson's Bay Company abandoned the Chilcotin Post in 1843. The remoteness of Tsilhqot'in people, by geography and by inclination, was such that at the time of the Chilcotin War in 1864, Governor Seymour could still profess to the colony's "complete ... ignorance" of Tsilhqot'in country and its inhabitants: Dispatch No. 37, Gov. F. Seymour to Colonial Office, 9 September, 1864.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1184</w:t>
      </w:r>
      <w:r>
        <w:rPr>
          <w:rFonts w:ascii="arial" w:eastAsia="arial" w:hAnsi="arial" w:cs="arial"/>
          <w:color w:val="000000"/>
          <w:sz w:val="20"/>
          <w:lang w:val="en-US" w:eastAsia="en-US" w:bidi="ar-SA"/>
        </w:rPr>
        <w:t>  For the purposes of this litigation the plaintiff is content to accept the date of first contact as 1829 because, in the plaintiff's submission, nothing turns on it. He says the evidence discloses that Tsilhqot'in people engaged in hunting and trapping for both sustenance and trade as an integral feature of their distinctive culture long before any contact with Europeans.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1185</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Van der Peet</w:t>
      </w:r>
      <w:r>
        <w:rPr>
          <w:rFonts w:ascii="arial" w:eastAsia="arial" w:hAnsi="arial" w:cs="arial"/>
          <w:color w:val="000000"/>
          <w:sz w:val="20"/>
          <w:lang w:val="en-US" w:eastAsia="en-US" w:bidi="ar-SA"/>
        </w:rPr>
        <w:t xml:space="preserve"> Lamer C.J.C. did not set out the actual date of contact. However, in </w:t>
      </w:r>
      <w:r>
        <w:rPr>
          <w:rFonts w:ascii="arial" w:eastAsia="arial" w:hAnsi="arial" w:cs="arial"/>
          <w:b/>
          <w:i/>
          <w:color w:val="000000"/>
          <w:sz w:val="20"/>
          <w:lang w:val="en-US" w:eastAsia="en-US" w:bidi="ar-SA"/>
        </w:rPr>
        <w:t>Gladstone</w:t>
      </w:r>
      <w:r>
        <w:rPr>
          <w:rFonts w:ascii="arial" w:eastAsia="arial" w:hAnsi="arial" w:cs="arial"/>
          <w:color w:val="000000"/>
          <w:sz w:val="20"/>
          <w:lang w:val="en-US" w:eastAsia="en-US" w:bidi="ar-SA"/>
        </w:rPr>
        <w:t xml:space="preserve"> (decided on the same day as </w:t>
      </w:r>
      <w:r>
        <w:rPr>
          <w:rFonts w:ascii="arial" w:eastAsia="arial" w:hAnsi="arial" w:cs="arial"/>
          <w:b/>
          <w:i/>
          <w:color w:val="000000"/>
          <w:sz w:val="20"/>
          <w:lang w:val="en-US" w:eastAsia="en-US" w:bidi="ar-SA"/>
        </w:rPr>
        <w:t>Van der Peet</w:t>
      </w:r>
      <w:r>
        <w:rPr>
          <w:rFonts w:ascii="arial" w:eastAsia="arial" w:hAnsi="arial" w:cs="arial"/>
          <w:color w:val="000000"/>
          <w:sz w:val="20"/>
          <w:lang w:val="en-US" w:eastAsia="en-US" w:bidi="ar-SA"/>
        </w:rPr>
        <w:t xml:space="preserve">), the Chief Justice did refer to a date that was considered to be pre-contact. In </w:t>
      </w:r>
      <w:r>
        <w:rPr>
          <w:rFonts w:ascii="arial" w:eastAsia="arial" w:hAnsi="arial" w:cs="arial"/>
          <w:b/>
          <w:i/>
          <w:color w:val="000000"/>
          <w:sz w:val="20"/>
          <w:lang w:val="en-US" w:eastAsia="en-US" w:bidi="ar-SA"/>
        </w:rPr>
        <w:t>Gladstone</w:t>
      </w:r>
      <w:r>
        <w:rPr>
          <w:rFonts w:ascii="arial" w:eastAsia="arial" w:hAnsi="arial" w:cs="arial"/>
          <w:color w:val="000000"/>
          <w:sz w:val="20"/>
          <w:lang w:val="en-US" w:eastAsia="en-US" w:bidi="ar-SA"/>
        </w:rPr>
        <w:t xml:space="preserve"> the Court referred to two pieces of historical evidence that recorded the trading of herring spawn. The first was an excerpt from Alexander Mackenzie's diary written in 1793. The second was from William Fraser Tolmie's 1834 diary. The Chief Justice said at para. 28: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evidence of Dr. Lane, and the diary of Dr. Tolmie, point to trade of herring spawn on kelp in "tons". While this evidence relates to trade post-contact, the diary of Alexander Mackenzie provides the link with pre-contact times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1186</w:t>
      </w:r>
      <w:r>
        <w:rPr>
          <w:rFonts w:ascii="arial" w:eastAsia="arial" w:hAnsi="arial" w:cs="arial"/>
          <w:color w:val="000000"/>
          <w:sz w:val="20"/>
          <w:lang w:val="en-US" w:eastAsia="en-US" w:bidi="ar-SA"/>
        </w:rPr>
        <w:t xml:space="preserve">  It appears that the only cases in which the Supreme Court of Canada has determined a date of contact were </w:t>
      </w:r>
      <w:r>
        <w:rPr>
          <w:rFonts w:ascii="arial" w:eastAsia="arial" w:hAnsi="arial" w:cs="arial"/>
          <w:b/>
          <w:i/>
          <w:color w:val="000000"/>
          <w:sz w:val="20"/>
          <w:lang w:val="en-US" w:eastAsia="en-US" w:bidi="ar-SA"/>
        </w:rPr>
        <w:t>Adams</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Côté</w:t>
      </w:r>
      <w:r>
        <w:rPr>
          <w:rFonts w:ascii="arial" w:eastAsia="arial" w:hAnsi="arial" w:cs="arial"/>
          <w:color w:val="000000"/>
          <w:sz w:val="20"/>
          <w:lang w:val="en-US" w:eastAsia="en-US" w:bidi="ar-SA"/>
        </w:rPr>
        <w:t>. In both of those cases the arrival of Samuel de Champlain in 1603 was selected as the date of first contact between First Nations people and Europeans in the Province of Quebec.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1187</w:t>
      </w:r>
      <w:r>
        <w:rPr>
          <w:rFonts w:ascii="arial" w:eastAsia="arial" w:hAnsi="arial" w:cs="arial"/>
          <w:color w:val="000000"/>
          <w:sz w:val="20"/>
          <w:lang w:val="en-US" w:eastAsia="en-US" w:bidi="ar-SA"/>
        </w:rPr>
        <w:t>  British Columbia says that the date 1603 is a surprisingly specific one. It does not appear to have been selected because it marks a particular incident of actual contact between the ancestors of the modern day rights claimants and Europeans.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1188</w:t>
      </w:r>
      <w:r>
        <w:rPr>
          <w:rFonts w:ascii="arial" w:eastAsia="arial" w:hAnsi="arial" w:cs="arial"/>
          <w:color w:val="000000"/>
          <w:sz w:val="20"/>
          <w:lang w:val="en-US" w:eastAsia="en-US" w:bidi="ar-SA"/>
        </w:rPr>
        <w:t xml:space="preserve">  The rights claimant in </w:t>
      </w:r>
      <w:r>
        <w:rPr>
          <w:rFonts w:ascii="arial" w:eastAsia="arial" w:hAnsi="arial" w:cs="arial"/>
          <w:b/>
          <w:i/>
          <w:color w:val="000000"/>
          <w:sz w:val="20"/>
          <w:lang w:val="en-US" w:eastAsia="en-US" w:bidi="ar-SA"/>
        </w:rPr>
        <w:t>Adams</w:t>
      </w:r>
      <w:r>
        <w:rPr>
          <w:rFonts w:ascii="arial" w:eastAsia="arial" w:hAnsi="arial" w:cs="arial"/>
          <w:color w:val="000000"/>
          <w:sz w:val="20"/>
          <w:lang w:val="en-US" w:eastAsia="en-US" w:bidi="ar-SA"/>
        </w:rPr>
        <w:t xml:space="preserve"> was a Mohawk person living on the Akwesasne reserve situated on the St. Lawrence River. The Mohawks were one of the tribes of the Iroquois Confederacy. The evidence suggested that the Iroquois were beginning to move into the portion of the St. Lawrence River upstream from Montreal around 1603. However, there was no evidence that Champlain actually encountered the ancestors of the rights claimant in </w:t>
      </w:r>
      <w:r>
        <w:rPr>
          <w:rFonts w:ascii="arial" w:eastAsia="arial" w:hAnsi="arial" w:cs="arial"/>
          <w:b/>
          <w:i/>
          <w:color w:val="000000"/>
          <w:sz w:val="20"/>
          <w:lang w:val="en-US" w:eastAsia="en-US" w:bidi="ar-SA"/>
        </w:rPr>
        <w:t>Adams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1189</w:t>
      </w:r>
      <w:r>
        <w:rPr>
          <w:rFonts w:ascii="arial" w:eastAsia="arial" w:hAnsi="arial" w:cs="arial"/>
          <w:color w:val="000000"/>
          <w:sz w:val="20"/>
          <w:lang w:val="en-US" w:eastAsia="en-US" w:bidi="ar-SA"/>
        </w:rPr>
        <w:t xml:space="preserve">  The Chief Justice selected 1603 as the relevant date of contact because that was the year "when the French began to assume effective control over the territories of New France": </w:t>
      </w:r>
      <w:r>
        <w:rPr>
          <w:rFonts w:ascii="arial" w:eastAsia="arial" w:hAnsi="arial" w:cs="arial"/>
          <w:b/>
          <w:i/>
          <w:color w:val="000000"/>
          <w:sz w:val="20"/>
          <w:lang w:val="en-US" w:eastAsia="en-US" w:bidi="ar-SA"/>
        </w:rPr>
        <w:t>Côté</w:t>
      </w:r>
      <w:r>
        <w:rPr>
          <w:rFonts w:ascii="arial" w:eastAsia="arial" w:hAnsi="arial" w:cs="arial"/>
          <w:color w:val="000000"/>
          <w:sz w:val="20"/>
          <w:lang w:val="en-US" w:eastAsia="en-US" w:bidi="ar-SA"/>
        </w:rPr>
        <w:t xml:space="preserve"> at para. 58; also see </w:t>
      </w:r>
      <w:r>
        <w:rPr>
          <w:rFonts w:ascii="arial" w:eastAsia="arial" w:hAnsi="arial" w:cs="arial"/>
          <w:b/>
          <w:i/>
          <w:color w:val="000000"/>
          <w:sz w:val="20"/>
          <w:lang w:val="en-US" w:eastAsia="en-US" w:bidi="ar-SA"/>
        </w:rPr>
        <w:t>Adams</w:t>
      </w:r>
      <w:r>
        <w:rPr>
          <w:rFonts w:ascii="arial" w:eastAsia="arial" w:hAnsi="arial" w:cs="arial"/>
          <w:color w:val="000000"/>
          <w:sz w:val="20"/>
          <w:lang w:val="en-US" w:eastAsia="en-US" w:bidi="ar-SA"/>
        </w:rPr>
        <w:t xml:space="preserve"> at para. 46. In the submission of the Province, the focus must be on the word "began".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1190</w:t>
      </w:r>
      <w:r>
        <w:rPr>
          <w:rFonts w:ascii="arial" w:eastAsia="arial" w:hAnsi="arial" w:cs="arial"/>
          <w:color w:val="000000"/>
          <w:sz w:val="20"/>
          <w:lang w:val="en-US" w:eastAsia="en-US" w:bidi="ar-SA"/>
        </w:rPr>
        <w:t>  The Province says that with respect to the relationship between the visit of Champlain in 1603 and the French assumption of "effective control" over New France, the historical record is clear. Champlain was not the first European, or even French visitor to the area that was to become New France. Cartier had followed a very similar route almost 70 years earlier.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1191</w:t>
      </w:r>
      <w:r>
        <w:rPr>
          <w:rFonts w:ascii="arial" w:eastAsia="arial" w:hAnsi="arial" w:cs="arial"/>
          <w:color w:val="000000"/>
          <w:sz w:val="20"/>
          <w:lang w:val="en-US" w:eastAsia="en-US" w:bidi="ar-SA"/>
        </w:rPr>
        <w:t xml:space="preserve">  In the submission of British Columbia, Champlain's 1603 visit did not involve contact with the Mohawk people. His first contact with the Iroquois did not come until 1609 when he met them in battle. Nor did Champlain's visit in 1603 bring him to the vicinity of the Gatineau River Valley which was the homeland of the Algonquin ancestors of the Aboriginal rights claimant in </w:t>
      </w:r>
      <w:r>
        <w:rPr>
          <w:rFonts w:ascii="arial" w:eastAsia="arial" w:hAnsi="arial" w:cs="arial"/>
          <w:b/>
          <w:i/>
          <w:color w:val="000000"/>
          <w:sz w:val="20"/>
          <w:lang w:val="en-US" w:eastAsia="en-US" w:bidi="ar-SA"/>
        </w:rPr>
        <w:t>Côté</w:t>
      </w:r>
      <w:r>
        <w:rPr>
          <w:rFonts w:ascii="arial" w:eastAsia="arial" w:hAnsi="arial" w:cs="arial"/>
          <w:color w:val="000000"/>
          <w:sz w:val="20"/>
          <w:lang w:val="en-US" w:eastAsia="en-US" w:bidi="ar-SA"/>
        </w:rPr>
        <w:t xml:space="preserve"> who currently reside on the Maniwaki Reserve, 90 km north of Ottawa and 200 km east of Montreal. Champlain only reached the mouth of the Gatineau in 1615, during his exploration of the Ottawa River Valley. Champlain did not establish a settlement in New France until 1608. A permanent French settlement was not established on the Island of Montreal until 1642. There was a pre-existing Aboriginal settlement and a French fur trading post at that site for a number of years before the French settlement was officially founded.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1192</w:t>
      </w:r>
      <w:r>
        <w:rPr>
          <w:rFonts w:ascii="arial" w:eastAsia="arial" w:hAnsi="arial" w:cs="arial"/>
          <w:color w:val="000000"/>
          <w:sz w:val="20"/>
          <w:lang w:val="en-US" w:eastAsia="en-US" w:bidi="ar-SA"/>
        </w:rPr>
        <w:t>  The Province says that while Champlain visited the St. Lawrence River Valley in the interests of the French fur trade monopoly, that monopoly did not actually commence operations in New France until 1608. From 1604 to 1607, the monopoly confined its pursuit of the fur trade to Acadia.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1193</w:t>
      </w:r>
      <w:r>
        <w:rPr>
          <w:rFonts w:ascii="arial" w:eastAsia="arial" w:hAnsi="arial" w:cs="arial"/>
          <w:color w:val="000000"/>
          <w:sz w:val="20"/>
          <w:lang w:val="en-US" w:eastAsia="en-US" w:bidi="ar-SA"/>
        </w:rPr>
        <w:t>  The Jesuits were the first Christian missionary order to actively seek contact with Aboriginal people in New France. However, they did not arrive in the colony until 1625, twenty-two years after Champlain's initial visit.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1194</w:t>
      </w:r>
      <w:r>
        <w:rPr>
          <w:rFonts w:ascii="arial" w:eastAsia="arial" w:hAnsi="arial" w:cs="arial"/>
          <w:color w:val="000000"/>
          <w:sz w:val="20"/>
          <w:lang w:val="en-US" w:eastAsia="en-US" w:bidi="ar-SA"/>
        </w:rPr>
        <w:t xml:space="preserve">  In the submission of the Province, by applying the same date of contact to the </w:t>
      </w:r>
      <w:r>
        <w:rPr>
          <w:rFonts w:ascii="arial" w:eastAsia="arial" w:hAnsi="arial" w:cs="arial"/>
          <w:b/>
          <w:i/>
          <w:color w:val="000000"/>
          <w:sz w:val="20"/>
          <w:lang w:val="en-US" w:eastAsia="en-US" w:bidi="ar-SA"/>
        </w:rPr>
        <w:t>Adams</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Côté</w:t>
      </w:r>
      <w:r>
        <w:rPr>
          <w:rFonts w:ascii="arial" w:eastAsia="arial" w:hAnsi="arial" w:cs="arial"/>
          <w:color w:val="000000"/>
          <w:sz w:val="20"/>
          <w:lang w:val="en-US" w:eastAsia="en-US" w:bidi="ar-SA"/>
        </w:rPr>
        <w:t xml:space="preserve"> cases and relating that date to the beginning of the establishment of French control of New France, Lamer C.J.C. seems to suggest that a single date should be applied to the whole of the colony, without strict regard to the history of European colonization of particular regions.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1195</w:t>
      </w:r>
      <w:r>
        <w:rPr>
          <w:rFonts w:ascii="arial" w:eastAsia="arial" w:hAnsi="arial" w:cs="arial"/>
          <w:color w:val="000000"/>
          <w:sz w:val="20"/>
          <w:lang w:val="en-US" w:eastAsia="en-US" w:bidi="ar-SA"/>
        </w:rPr>
        <w:t>  Obviously, the "effective control" over New France by the French was virtually non-existent in 1603. Champlain's first visit could only be seen as the start of a process that gradually led to effective control. He gained familiarity with the country, and as an excellent cartographer and prolific writer, showed the way for others to follow. Arguably, effective control by a European nation was not actually achieved in some of the hinterland areas of the colony until the assertion of British sovereignty over New France in 1763 or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1196</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Mitchell</w:t>
      </w:r>
      <w:r>
        <w:rPr>
          <w:rFonts w:ascii="arial" w:eastAsia="arial" w:hAnsi="arial" w:cs="arial"/>
          <w:color w:val="000000"/>
          <w:sz w:val="20"/>
          <w:lang w:val="en-US" w:eastAsia="en-US" w:bidi="ar-SA"/>
        </w:rPr>
        <w:t xml:space="preserve"> the rights claimant was, like the claimant in </w:t>
      </w:r>
      <w:r>
        <w:rPr>
          <w:rFonts w:ascii="arial" w:eastAsia="arial" w:hAnsi="arial" w:cs="arial"/>
          <w:b/>
          <w:i/>
          <w:color w:val="000000"/>
          <w:sz w:val="20"/>
          <w:lang w:val="en-US" w:eastAsia="en-US" w:bidi="ar-SA"/>
        </w:rPr>
        <w:t>Adams</w:t>
      </w:r>
      <w:r>
        <w:rPr>
          <w:rFonts w:ascii="arial" w:eastAsia="arial" w:hAnsi="arial" w:cs="arial"/>
          <w:color w:val="000000"/>
          <w:sz w:val="20"/>
          <w:lang w:val="en-US" w:eastAsia="en-US" w:bidi="ar-SA"/>
        </w:rPr>
        <w:t xml:space="preserve">, a Mohawk person living on the Akewsasne reserve. The trial judge appears to have regarded the 1609 battle near Lake Champlain, in which Champlain participated in support of the Iroquois' enemies, as the decisive contact event. The majority decision written by McLachlin C.J.C. does not refer to the actual date of contact. Binnie J., in his concurring judgment, cites the trial judge's finding, but makes no explicit comment as to its correctness: see </w:t>
      </w:r>
      <w:r>
        <w:rPr>
          <w:rFonts w:ascii="arial" w:eastAsia="arial" w:hAnsi="arial" w:cs="arial"/>
          <w:b/>
          <w:i/>
          <w:color w:val="000000"/>
          <w:sz w:val="20"/>
          <w:lang w:val="en-US" w:eastAsia="en-US" w:bidi="ar-SA"/>
        </w:rPr>
        <w:t>Mitchell</w:t>
      </w:r>
      <w:r>
        <w:rPr>
          <w:rFonts w:ascii="arial" w:eastAsia="arial" w:hAnsi="arial" w:cs="arial"/>
          <w:color w:val="000000"/>
          <w:sz w:val="20"/>
          <w:lang w:val="en-US" w:eastAsia="en-US" w:bidi="ar-SA"/>
        </w:rPr>
        <w:t xml:space="preserve"> at para. 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1197</w:t>
      </w:r>
      <w:r>
        <w:rPr>
          <w:rFonts w:ascii="arial" w:eastAsia="arial" w:hAnsi="arial" w:cs="arial"/>
          <w:color w:val="000000"/>
          <w:sz w:val="20"/>
          <w:lang w:val="en-US" w:eastAsia="en-US" w:bidi="ar-SA"/>
        </w:rPr>
        <w:t xml:space="preserve">  In the more recent case of </w:t>
      </w:r>
      <w:r>
        <w:rPr>
          <w:rFonts w:ascii="arial" w:eastAsia="arial" w:hAnsi="arial" w:cs="arial"/>
          <w:b/>
          <w:i/>
          <w:color w:val="000000"/>
          <w:sz w:val="20"/>
          <w:lang w:val="en-US" w:eastAsia="en-US" w:bidi="ar-SA"/>
        </w:rPr>
        <w:t>R. v. Sappier</w:t>
      </w:r>
      <w:r>
        <w:rPr>
          <w:rFonts w:ascii="arial" w:eastAsia="arial" w:hAnsi="arial" w:cs="arial"/>
          <w:color w:val="000000"/>
          <w:sz w:val="20"/>
          <w:lang w:val="en-US" w:eastAsia="en-US" w:bidi="ar-SA"/>
        </w:rPr>
        <w:t xml:space="preserve">, </w:t>
      </w:r>
      <w:hyperlink r:id="rId725" w:history="1">
        <w:r>
          <w:rPr>
            <w:rFonts w:ascii="arial" w:eastAsia="arial" w:hAnsi="arial" w:cs="arial"/>
            <w:i/>
            <w:color w:val="0077CC"/>
            <w:sz w:val="20"/>
            <w:u w:val="single"/>
            <w:shd w:val="clear" w:color="auto" w:fill="FFFFFF"/>
            <w:lang w:val="en-US" w:eastAsia="en-US" w:bidi="ar-SA"/>
          </w:rPr>
          <w:t>[2004] 4 C.N.L.R. 252</w:t>
        </w:r>
      </w:hyperlink>
      <w:r>
        <w:rPr>
          <w:rFonts w:ascii="arial" w:eastAsia="arial" w:hAnsi="arial" w:cs="arial"/>
          <w:color w:val="000000"/>
          <w:sz w:val="20"/>
          <w:lang w:val="en-US" w:eastAsia="en-US" w:bidi="ar-SA"/>
        </w:rPr>
        <w:t xml:space="preserve">, </w:t>
      </w:r>
      <w:hyperlink r:id="rId726" w:history="1">
        <w:r>
          <w:rPr>
            <w:rFonts w:ascii="arial" w:eastAsia="arial" w:hAnsi="arial" w:cs="arial"/>
            <w:i/>
            <w:color w:val="0077CC"/>
            <w:sz w:val="20"/>
            <w:u w:val="single"/>
            <w:shd w:val="clear" w:color="auto" w:fill="FFFFFF"/>
            <w:lang w:val="en-US" w:eastAsia="en-US" w:bidi="ar-SA"/>
          </w:rPr>
          <w:t>2004 NBCA 56</w:t>
        </w:r>
      </w:hyperlink>
      <w:r>
        <w:rPr>
          <w:rFonts w:ascii="arial" w:eastAsia="arial" w:hAnsi="arial" w:cs="arial"/>
          <w:color w:val="000000"/>
          <w:sz w:val="20"/>
          <w:lang w:val="en-US" w:eastAsia="en-US" w:bidi="ar-SA"/>
        </w:rPr>
        <w:t xml:space="preserve">, the New Brunswick Court of Appeal accepted the common position of the parties that pre-contact activities dated from around 1500. Robertson J.A. took judicial notice of Cartier's visit to Chaleur Bay between what is now New Brunswick and the Gaspé Peninsula in 1534: see </w:t>
      </w:r>
      <w:r>
        <w:rPr>
          <w:rFonts w:ascii="arial" w:eastAsia="arial" w:hAnsi="arial" w:cs="arial"/>
          <w:b/>
          <w:i/>
          <w:color w:val="000000"/>
          <w:sz w:val="20"/>
          <w:lang w:val="en-US" w:eastAsia="en-US" w:bidi="ar-SA"/>
        </w:rPr>
        <w:t>Sappier</w:t>
      </w:r>
      <w:r>
        <w:rPr>
          <w:rFonts w:ascii="arial" w:eastAsia="arial" w:hAnsi="arial" w:cs="arial"/>
          <w:color w:val="000000"/>
          <w:sz w:val="20"/>
          <w:lang w:val="en-US" w:eastAsia="en-US" w:bidi="ar-SA"/>
        </w:rPr>
        <w:t xml:space="preserve"> (N.B.C.A.) at para. 74. The Supreme Court of Canada in </w:t>
      </w:r>
      <w:r>
        <w:rPr>
          <w:rFonts w:ascii="arial" w:eastAsia="arial" w:hAnsi="arial" w:cs="arial"/>
          <w:b/>
          <w:i/>
          <w:color w:val="000000"/>
          <w:sz w:val="20"/>
          <w:lang w:val="en-US" w:eastAsia="en-US" w:bidi="ar-SA"/>
        </w:rPr>
        <w:t>Sappier; Gray</w:t>
      </w:r>
      <w:r>
        <w:rPr>
          <w:rFonts w:ascii="arial" w:eastAsia="arial" w:hAnsi="arial" w:cs="arial"/>
          <w:color w:val="000000"/>
          <w:sz w:val="20"/>
          <w:lang w:val="en-US" w:eastAsia="en-US" w:bidi="ar-SA"/>
        </w:rPr>
        <w:t>, while affirming the importance of the date of contact as part of the test for Aboriginal rights, did not comment on the actual date chosen in the courts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1198</w:t>
      </w:r>
      <w:r>
        <w:rPr>
          <w:rFonts w:ascii="arial" w:eastAsia="arial" w:hAnsi="arial" w:cs="arial"/>
          <w:color w:val="000000"/>
          <w:sz w:val="20"/>
          <w:lang w:val="en-US" w:eastAsia="en-US" w:bidi="ar-SA"/>
        </w:rPr>
        <w:t>  British Columbia submits that in light of the Supreme Court of Canada's treatment of the issue, 1793 is the appropriate date of contact for the entire mainland colony of British Columbia, and is the date that should be applied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1199</w:t>
      </w:r>
      <w:r>
        <w:rPr>
          <w:rFonts w:ascii="arial" w:eastAsia="arial" w:hAnsi="arial" w:cs="arial"/>
          <w:color w:val="000000"/>
          <w:sz w:val="20"/>
          <w:lang w:val="en-US" w:eastAsia="en-US" w:bidi="ar-SA"/>
        </w:rPr>
        <w:t>  In 1793, Alexander Mackenzie completed his journey through what is now mainland British Columbia to the Pacific, following the Peace, Fraser, and Blackwater (West Road) Rivers and emerging on the shores of Dean Channel, near present day Bella Coola. That same year Captain George Vancouver completed his survey of the mainland coast of what is now British Columbia as well as the southern Alaskan Panhandle.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1200</w:t>
      </w:r>
      <w:r>
        <w:rPr>
          <w:rFonts w:ascii="arial" w:eastAsia="arial" w:hAnsi="arial" w:cs="arial"/>
          <w:color w:val="000000"/>
          <w:sz w:val="20"/>
          <w:lang w:val="en-US" w:eastAsia="en-US" w:bidi="ar-SA"/>
        </w:rPr>
        <w:t>  Mackenzie and Vancouver were not the first Europeans to visit what is now British Columbia. Spanish, French, American, and possibly Russian sailors preceded them. However, these visits were mainly to the off-shore islands, and ultimately the Spanish, French, and Americans did not stay. The Russians remained on the northwest coast, but they were confined to what is now Alaska.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1201</w:t>
      </w:r>
      <w:r>
        <w:rPr>
          <w:rFonts w:ascii="arial" w:eastAsia="arial" w:hAnsi="arial" w:cs="arial"/>
          <w:color w:val="000000"/>
          <w:sz w:val="20"/>
          <w:lang w:val="en-US" w:eastAsia="en-US" w:bidi="ar-SA"/>
        </w:rPr>
        <w:t>  In terms of English visits, first there is the controversial evidence of Sir Francis Drake's alleged visit to the northwest coast in 1579. There is no doubt that Captain James Cook visited Nootka Sound in 1778. He was followed by other British sailors, such as James Hanna, James Strange, Nathaniel Portlock, George Dixon, and John Meares. The attention of these expeditions was concentrated on the islands off of the west coast, rather than what we now know to be the mainland of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1202</w:t>
      </w:r>
      <w:r>
        <w:rPr>
          <w:rFonts w:ascii="arial" w:eastAsia="arial" w:hAnsi="arial" w:cs="arial"/>
          <w:color w:val="000000"/>
          <w:sz w:val="20"/>
          <w:lang w:val="en-US" w:eastAsia="en-US" w:bidi="ar-SA"/>
        </w:rPr>
        <w:t>  As with Champlain in 1603, neither Mackenzie nor Vancouver established a post during their 1793 expeditions. They did pave the way for others to follow, producing detailed maps of their journeys and readable accounts of what they encountered.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1203</w:t>
      </w:r>
      <w:r>
        <w:rPr>
          <w:rFonts w:ascii="arial" w:eastAsia="arial" w:hAnsi="arial" w:cs="arial"/>
          <w:color w:val="000000"/>
          <w:sz w:val="20"/>
          <w:lang w:val="en-US" w:eastAsia="en-US" w:bidi="ar-SA"/>
        </w:rPr>
        <w:t>  Simon Fraser crossed the Rocky Mountains and began to establish trading posts in 1805. Fraser encountered Tsilhqot'in people in 1808, and enjoyed a far friendlier communication with them than Champlain did with the Iroquois in 1609. In the submission of the Province, Mackenzie and Vancouver began the process that led to British effective control over British Columbia, just as Champlain did for New France in 1603.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1204</w:t>
      </w:r>
      <w:r>
        <w:rPr>
          <w:rFonts w:ascii="arial" w:eastAsia="arial" w:hAnsi="arial" w:cs="arial"/>
          <w:color w:val="000000"/>
          <w:sz w:val="20"/>
          <w:lang w:val="en-US" w:eastAsia="en-US" w:bidi="ar-SA"/>
        </w:rPr>
        <w:t>  The Province acknowledges that it is unlikely Vancouver encountered any Tsilhqot'in people during his voyages of exploration. Mackenzie may or may not have encountered Tsilhqot'in people during his expedition. However, in the submission of the Province, the Supreme Court of Canada's analysis of the date of contact for New France indicates that actual contact with the claimant group is not a requirement in the determination of the date of contact.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1205</w:t>
      </w:r>
      <w:r>
        <w:rPr>
          <w:rFonts w:ascii="arial" w:eastAsia="arial" w:hAnsi="arial" w:cs="arial"/>
          <w:color w:val="000000"/>
          <w:sz w:val="20"/>
          <w:lang w:val="en-US" w:eastAsia="en-US" w:bidi="ar-SA"/>
        </w:rPr>
        <w:t xml:space="preserve">  Fixing the date of contact at 1829, the opening of Fort Chilcotin, would appear to be inconsistent with Lamer C.J.C.'s observations in </w:t>
      </w:r>
      <w:r>
        <w:rPr>
          <w:rFonts w:ascii="arial" w:eastAsia="arial" w:hAnsi="arial" w:cs="arial"/>
          <w:b/>
          <w:i/>
          <w:color w:val="000000"/>
          <w:sz w:val="20"/>
          <w:lang w:val="en-US" w:eastAsia="en-US" w:bidi="ar-SA"/>
        </w:rPr>
        <w:t>Gladstone</w:t>
      </w:r>
      <w:r>
        <w:rPr>
          <w:rFonts w:ascii="arial" w:eastAsia="arial" w:hAnsi="arial" w:cs="arial"/>
          <w:color w:val="000000"/>
          <w:sz w:val="20"/>
          <w:lang w:val="en-US" w:eastAsia="en-US" w:bidi="ar-SA"/>
        </w:rPr>
        <w:t xml:space="preserve"> at paras. 27-28. I have already noted that the Court in </w:t>
      </w:r>
      <w:r>
        <w:rPr>
          <w:rFonts w:ascii="arial" w:eastAsia="arial" w:hAnsi="arial" w:cs="arial"/>
          <w:b/>
          <w:i/>
          <w:color w:val="000000"/>
          <w:sz w:val="20"/>
          <w:lang w:val="en-US" w:eastAsia="en-US" w:bidi="ar-SA"/>
        </w:rPr>
        <w:t>Gladstone</w:t>
      </w:r>
      <w:r>
        <w:rPr>
          <w:rFonts w:ascii="arial" w:eastAsia="arial" w:hAnsi="arial" w:cs="arial"/>
          <w:color w:val="000000"/>
          <w:sz w:val="20"/>
          <w:lang w:val="en-US" w:eastAsia="en-US" w:bidi="ar-SA"/>
        </w:rPr>
        <w:t xml:space="preserve"> held that the information in Mackenzie's 1793 diary provided "the link with pre-contact times".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1206</w:t>
      </w:r>
      <w:r>
        <w:rPr>
          <w:rFonts w:ascii="arial" w:eastAsia="arial" w:hAnsi="arial" w:cs="arial"/>
          <w:color w:val="000000"/>
          <w:sz w:val="20"/>
          <w:lang w:val="en-US" w:eastAsia="en-US" w:bidi="ar-SA"/>
        </w:rPr>
        <w:t xml:space="preserve">  The caution given by Lamer C.J.C. in </w:t>
      </w:r>
      <w:r>
        <w:rPr>
          <w:rFonts w:ascii="arial" w:eastAsia="arial" w:hAnsi="arial" w:cs="arial"/>
          <w:b/>
          <w:i/>
          <w:color w:val="000000"/>
          <w:sz w:val="20"/>
          <w:lang w:val="en-US" w:eastAsia="en-US" w:bidi="ar-SA"/>
        </w:rPr>
        <w:t>Van der Peet</w:t>
      </w:r>
      <w:r>
        <w:rPr>
          <w:rFonts w:ascii="arial" w:eastAsia="arial" w:hAnsi="arial" w:cs="arial"/>
          <w:color w:val="000000"/>
          <w:sz w:val="20"/>
          <w:lang w:val="en-US" w:eastAsia="en-US" w:bidi="ar-SA"/>
        </w:rPr>
        <w:t xml:space="preserve"> at para. 62 concerning the practical application of the date of contact requirement bears repeating: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That this is the relevant time should not suggest, however, that the aboriginal group claiming the right must accomplish the next to impossible task of producing conclusive evidence from pre-contact times about the practices, customs and traditions of their community. It would be entirely contrary to the spirit and intent of s. 35(1) to define aboriginal rights in such a fashion so as to preclude in practice any successful claim for the existence of such a right. The evidence relied upon by the applicant and the courts may relate to aboriginal practices, customs and traditions post-contact; it simply needs to be directed at demonstrating which aspects of the aboriginal community and society have their origins pre-contact. It is those practices, customs and traditions that can be rooted in the pre-contact societies of the aboriginal community in question that will constitute aboriginal rights.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1207</w:t>
      </w:r>
      <w:r>
        <w:rPr>
          <w:rFonts w:ascii="arial" w:eastAsia="arial" w:hAnsi="arial" w:cs="arial"/>
          <w:color w:val="000000"/>
          <w:sz w:val="20"/>
          <w:lang w:val="en-US" w:eastAsia="en-US" w:bidi="ar-SA"/>
        </w:rPr>
        <w:t>  To select the date of "effective control" would invite the Court to engage in an inquiry of what "effective control" means in the context of each individual Aboriginal group. In this case, on the evidence, I would not be able to conclude that the British had "effective control" of the Claim Area in 1829. As pointed out by the plaintiff, such control did not come until many years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1208</w:t>
      </w:r>
      <w:r>
        <w:rPr>
          <w:rFonts w:ascii="arial" w:eastAsia="arial" w:hAnsi="arial" w:cs="arial"/>
          <w:color w:val="000000"/>
          <w:sz w:val="20"/>
          <w:lang w:val="en-US" w:eastAsia="en-US" w:bidi="ar-SA"/>
        </w:rPr>
        <w:t xml:space="preserve">  A recent decision of Blair P.C.J. in </w:t>
      </w:r>
      <w:r>
        <w:rPr>
          <w:rFonts w:ascii="arial" w:eastAsia="arial" w:hAnsi="arial" w:cs="arial"/>
          <w:b/>
          <w:i/>
          <w:color w:val="000000"/>
          <w:sz w:val="20"/>
          <w:lang w:val="en-US" w:eastAsia="en-US" w:bidi="ar-SA"/>
        </w:rPr>
        <w:t>R. v. Deneault et al.</w:t>
      </w:r>
      <w:r>
        <w:rPr>
          <w:rFonts w:ascii="arial" w:eastAsia="arial" w:hAnsi="arial" w:cs="arial"/>
          <w:color w:val="000000"/>
          <w:sz w:val="20"/>
          <w:lang w:val="en-US" w:eastAsia="en-US" w:bidi="ar-SA"/>
        </w:rPr>
        <w:t xml:space="preserve">, </w:t>
      </w:r>
      <w:hyperlink r:id="rId727" w:history="1">
        <w:r>
          <w:rPr>
            <w:rFonts w:ascii="arial" w:eastAsia="arial" w:hAnsi="arial" w:cs="arial"/>
            <w:i/>
            <w:color w:val="0077CC"/>
            <w:sz w:val="20"/>
            <w:u w:val="single"/>
            <w:shd w:val="clear" w:color="auto" w:fill="FFFFFF"/>
            <w:lang w:val="en-US" w:eastAsia="en-US" w:bidi="ar-SA"/>
          </w:rPr>
          <w:t>2007 BCPC 307</w:t>
        </w:r>
      </w:hyperlink>
      <w:r>
        <w:rPr>
          <w:rFonts w:ascii="arial" w:eastAsia="arial" w:hAnsi="arial" w:cs="arial"/>
          <w:color w:val="000000"/>
          <w:sz w:val="20"/>
          <w:lang w:val="en-US" w:eastAsia="en-US" w:bidi="ar-SA"/>
        </w:rPr>
        <w:t>, concerned a Secwepemc Aborginal right to fish in the High Bar Area, near Clinton on the Fraser River. The trial judge noted the importance of determining the time of first contact. In setting first contact as a time before 1780, he concluded at para. 86 that "... pre-contact must mean the time before the introduction of the horse."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1209</w:t>
      </w:r>
      <w:r>
        <w:rPr>
          <w:rFonts w:ascii="arial" w:eastAsia="arial" w:hAnsi="arial" w:cs="arial"/>
          <w:color w:val="000000"/>
          <w:sz w:val="20"/>
          <w:lang w:val="en-US" w:eastAsia="en-US" w:bidi="ar-SA"/>
        </w:rPr>
        <w:t>  I acknowledge that the horse arrived from Europe. However, there is no evidence in this case to connect the arrival of horses in Tsilhqot'in territory with first European contact. I find that horses arrived in this area at a time that preceded the arrival of the first Europeans. Their use and enjoyment by Tsilhqot'in people was well established at the time of first contact.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1210</w:t>
      </w:r>
      <w:r>
        <w:rPr>
          <w:rFonts w:ascii="arial" w:eastAsia="arial" w:hAnsi="arial" w:cs="arial"/>
          <w:color w:val="000000"/>
          <w:sz w:val="20"/>
          <w:lang w:val="en-US" w:eastAsia="en-US" w:bidi="ar-SA"/>
        </w:rPr>
        <w:t>  </w:t>
      </w:r>
      <w:r>
        <w:rPr>
          <w:rFonts w:ascii="arial" w:eastAsia="arial" w:hAnsi="arial" w:cs="arial"/>
          <w:b/>
          <w:i/>
          <w:color w:val="000000"/>
          <w:sz w:val="20"/>
          <w:lang w:val="en-US" w:eastAsia="en-US" w:bidi="ar-SA"/>
        </w:rPr>
        <w:t>R. v. Billy and Johnny</w:t>
      </w:r>
      <w:r>
        <w:rPr>
          <w:rFonts w:ascii="arial" w:eastAsia="arial" w:hAnsi="arial" w:cs="arial"/>
          <w:color w:val="000000"/>
          <w:sz w:val="20"/>
          <w:lang w:val="en-US" w:eastAsia="en-US" w:bidi="ar-SA"/>
        </w:rPr>
        <w:t xml:space="preserve">, </w:t>
      </w:r>
      <w:hyperlink r:id="rId728" w:history="1">
        <w:r>
          <w:rPr>
            <w:rFonts w:ascii="arial" w:eastAsia="arial" w:hAnsi="arial" w:cs="arial"/>
            <w:i/>
            <w:color w:val="0077CC"/>
            <w:sz w:val="20"/>
            <w:u w:val="single"/>
            <w:shd w:val="clear" w:color="auto" w:fill="FFFFFF"/>
            <w:lang w:val="en-US" w:eastAsia="en-US" w:bidi="ar-SA"/>
          </w:rPr>
          <w:t>2006 BCPC 48</w:t>
        </w:r>
      </w:hyperlink>
      <w:r>
        <w:rPr>
          <w:rFonts w:ascii="arial" w:eastAsia="arial" w:hAnsi="arial" w:cs="arial"/>
          <w:color w:val="000000"/>
          <w:sz w:val="20"/>
          <w:lang w:val="en-US" w:eastAsia="en-US" w:bidi="ar-SA"/>
        </w:rPr>
        <w:t>, [2006] B.C.W.L.D. 2683, was a prosecution where two accused Tsilhqot'in persons sought to establish a Tsilhqot'in Aboriginal right to trade in salmon. Gordon P.C.J. found the date of first contact for the purposes of that case to be 1821, the date of merger of the HBC and the North West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1211</w:t>
      </w:r>
      <w:r>
        <w:rPr>
          <w:rFonts w:ascii="arial" w:eastAsia="arial" w:hAnsi="arial" w:cs="arial"/>
          <w:color w:val="000000"/>
          <w:sz w:val="20"/>
          <w:lang w:val="en-US" w:eastAsia="en-US" w:bidi="ar-SA"/>
        </w:rPr>
        <w:t xml:space="preserve">  To be consistent with the approach taken by the Supreme Court of Canada in </w:t>
      </w:r>
      <w:r>
        <w:rPr>
          <w:rFonts w:ascii="arial" w:eastAsia="arial" w:hAnsi="arial" w:cs="arial"/>
          <w:b/>
          <w:i/>
          <w:color w:val="000000"/>
          <w:sz w:val="20"/>
          <w:lang w:val="en-US" w:eastAsia="en-US" w:bidi="ar-SA"/>
        </w:rPr>
        <w:t>Adams</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Côté</w:t>
      </w:r>
      <w:r>
        <w:rPr>
          <w:rFonts w:ascii="arial" w:eastAsia="arial" w:hAnsi="arial" w:cs="arial"/>
          <w:color w:val="000000"/>
          <w:sz w:val="20"/>
          <w:lang w:val="en-US" w:eastAsia="en-US" w:bidi="ar-SA"/>
        </w:rPr>
        <w:t>, the logical date of first contact in this case is 1793. While actual first contact did not occur until Simon Fraser met a group of Tsilhqot'in people in 1808, in the end, I do not think that anything turns on the passage of time between 1793 and 1808. The Tsilhqot'in people in the region lived a semi-nomadic life throughout the entire period, surviving by hunting, fishing, trapping, berry picking, root gathering, and trading with neighbouring Aboriginal groups. Consequently, the choice of the actual date of contact, as between these two years, is of no consequence.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1212</w:t>
      </w:r>
      <w:r>
        <w:rPr>
          <w:rFonts w:ascii="arial" w:eastAsia="arial" w:hAnsi="arial" w:cs="arial"/>
          <w:color w:val="000000"/>
          <w:sz w:val="20"/>
          <w:lang w:val="en-US" w:eastAsia="en-US" w:bidi="ar-SA"/>
        </w:rPr>
        <w:t>  The greater area surrounding Tsilhqot'in traditional territory was named New Caledonia by the fur traders of the HBC. On the evidence and on my reading of the authorities, I would fix the date of contact in New Caledonia at the year 1793.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 TSILHQOT'IN ABORIGINAL RIGHTS (Excluding Title)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 The Position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1213</w:t>
      </w:r>
      <w:r>
        <w:rPr>
          <w:rFonts w:ascii="arial" w:eastAsia="arial" w:hAnsi="arial" w:cs="arial"/>
          <w:color w:val="000000"/>
          <w:sz w:val="20"/>
          <w:lang w:val="en-US" w:eastAsia="en-US" w:bidi="ar-SA"/>
        </w:rPr>
        <w:t>  The plaintiff claims Aboriginal rights on behalf of the Xeni Gwet'in people and the Tsilhqot'in Nation. In his final submissions, the plaintiff claims an Aboriginal right to hunt and trap birds and animals throughout the Claim Area for the purposes of securing food, clothing, shelter, mats, blankets and crafts, as well as for spiritual, ceremonial and cultural uses, inclusive of a right to capture and use horses for transportation and work. The plaintiff also claims an Aboriginal right to trade in furs, pelts and other animal products as a means of securing a moderate livelihood.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1214</w:t>
      </w:r>
      <w:r>
        <w:rPr>
          <w:rFonts w:ascii="arial" w:eastAsia="arial" w:hAnsi="arial" w:cs="arial"/>
          <w:color w:val="000000"/>
          <w:sz w:val="20"/>
          <w:lang w:val="en-US" w:eastAsia="en-US" w:bidi="ar-SA"/>
        </w:rPr>
        <w:t>  British Columbia argues that any Aboriginal rights to hunt and trap are held by the Xeni Gwet'in people, not the Tsilhqot'in Nation. British Columbia does not contest the right of Xeni Gwet'in people to hunt and trap birds and animals throughout the Claim Area for the purposes of securing food, clothing, shelter, mats, blankets and crafts, as well as for spiritual, ceremonial, and cultural uses. British Columbia admits there is sufficient continuity between the present and pre-contact hunting and trapping practices of the Xeni Gwet'in people. However, British Columbia denies the Xeni Gwet'in people hold any right to capture horses for transportation and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1215</w:t>
      </w:r>
      <w:r>
        <w:rPr>
          <w:rFonts w:ascii="arial" w:eastAsia="arial" w:hAnsi="arial" w:cs="arial"/>
          <w:color w:val="000000"/>
          <w:sz w:val="20"/>
          <w:lang w:val="en-US" w:eastAsia="en-US" w:bidi="ar-SA"/>
        </w:rPr>
        <w:t>  British Columbia also says the plaintiff has failed to prove that hunting and trapping birds and animals for the purpose of trading their skins and pelts was integral to Xeni Gwet'in culture and therefore cannot qualify as an Aboriginal right. British Columbia says that a right to trade skins and pelts only exists under the authority of the provincially granted trapline.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1216</w:t>
      </w:r>
      <w:r>
        <w:rPr>
          <w:rFonts w:ascii="arial" w:eastAsia="arial" w:hAnsi="arial" w:cs="arial"/>
          <w:color w:val="000000"/>
          <w:sz w:val="20"/>
          <w:lang w:val="en-US" w:eastAsia="en-US" w:bidi="ar-SA"/>
        </w:rPr>
        <w:t>  In Canada's view, the proper rights holder is the Tsilhqot'in Nation. Canada admits the plaintiff's claim, on behalf of the Tsilhqot'in Nation, to hunt and trap throughout the Claim Area. Canada also admits there is sufficient continuity between pre-contact and present day practices to support this claim. Canada denies the Tsilhqot'in people hold any rights to capture and use horses for work or transportation.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1217</w:t>
      </w:r>
      <w:r>
        <w:rPr>
          <w:rFonts w:ascii="arial" w:eastAsia="arial" w:hAnsi="arial" w:cs="arial"/>
          <w:color w:val="000000"/>
          <w:sz w:val="20"/>
          <w:lang w:val="en-US" w:eastAsia="en-US" w:bidi="ar-SA"/>
        </w:rPr>
        <w:t>  Canada also says the Court should refuse to declare an Aboriginal right to trade skins and pelts on the grounds that the plaintiff has failed to plead an infringement of that right. In the alternative, if an infringement was pleaded, Canada submits that the Tsilhqot'in people have only established an Aboriginal right to trade the skins and pelts of certain species that are hunted and trapped within the Claim Area for food.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1218</w:t>
      </w:r>
      <w:r>
        <w:rPr>
          <w:rFonts w:ascii="arial" w:eastAsia="arial" w:hAnsi="arial" w:cs="arial"/>
          <w:color w:val="000000"/>
          <w:sz w:val="20"/>
          <w:lang w:val="en-US" w:eastAsia="en-US" w:bidi="ar-SA"/>
        </w:rPr>
        <w:t>  Canada disagrees that pre-contact Tsilhqot'in trading practices included trade of all animal species hunted and trapped. They also disagree that pre-contact Tsilhqot'in trading practices consistently included trade for products other than food, or that pre-contact Tsilhqot'in trading practices allowed the Tsilhqot'in people to obtain a moderate livelihood. Similarly, Canada disagrees that any trade, other than the trade of skins and pelts of certain species for food, was integral to the distinctive culture of the Tsilhqot'in at the date of contact. As such, Canada submits that there is no basis on which to grant the Tsilhqot'in people a modern right to earn a moderate livelihood from trading in the products of hunting and trapping.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 Proper Rights Holder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1219</w:t>
      </w:r>
      <w:r>
        <w:rPr>
          <w:rFonts w:ascii="arial" w:eastAsia="arial" w:hAnsi="arial" w:cs="arial"/>
          <w:color w:val="000000"/>
          <w:sz w:val="20"/>
          <w:lang w:val="en-US" w:eastAsia="en-US" w:bidi="ar-SA"/>
        </w:rPr>
        <w:t>  In the statement of claim, the plaintiff seeks a declaration of Aboriginal rights on behalf of the Xeni Gwet'in. In his final argument, the plaintiff seeks a declaration on behalf of the Xeni Gwet'in and the entire Tsilhqot'in Nation. British Columbia says that the plaintiff is attempting to amend the statement of claim by widening the scope of any declaration of Aboriginal rights. Canada agrees with the plaintiff that the proper rights holder is the Tsilhqot'in 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1220</w:t>
      </w:r>
      <w:r>
        <w:rPr>
          <w:rFonts w:ascii="arial" w:eastAsia="arial" w:hAnsi="arial" w:cs="arial"/>
          <w:color w:val="000000"/>
          <w:sz w:val="20"/>
          <w:lang w:val="en-US" w:eastAsia="en-US" w:bidi="ar-SA"/>
        </w:rPr>
        <w:t>  In the section of this judgment titled Ethnography, I discussed the socio-political structure of Tsilhqot'in people. The evidence in this case leads to one conclusion: all Tsilhqot'in people were entitled to utilize the entire Tsilhqot'in territory in the course of their seasonal rounds. The Xeni Gwet'in people are Tsilhqot'in people, distinguished only by their nascent group and the fact of their location at the time reserves were set aside.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1221</w:t>
      </w:r>
      <w:r>
        <w:rPr>
          <w:rFonts w:ascii="arial" w:eastAsia="arial" w:hAnsi="arial" w:cs="arial"/>
          <w:color w:val="000000"/>
          <w:sz w:val="20"/>
          <w:lang w:val="en-US" w:eastAsia="en-US" w:bidi="ar-SA"/>
        </w:rPr>
        <w:t>  This fact comes as no surprise and it cannot be prejudicial to British Columbia to acknowledge that it was Tsilhqot'in people who hunted, trapped and traded throughout the Claim Area and beyond before the arrival of European people.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1222</w:t>
      </w:r>
      <w:r>
        <w:rPr>
          <w:rFonts w:ascii="arial" w:eastAsia="arial" w:hAnsi="arial" w:cs="arial"/>
          <w:color w:val="000000"/>
          <w:sz w:val="20"/>
          <w:lang w:val="en-US" w:eastAsia="en-US" w:bidi="ar-SA"/>
        </w:rPr>
        <w:t>  I have already concluded the proper rights holder for the purposes of Aboriginal title and any other Aboriginal rights is the Tsilhqot'in Nation. Accordingly, any declarations must be of Tsilhqot'in Aboriginal rights.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 Tsilhqot'in Right to Hunt and Trap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1223</w:t>
      </w:r>
      <w:r>
        <w:rPr>
          <w:rFonts w:ascii="arial" w:eastAsia="arial" w:hAnsi="arial" w:cs="arial"/>
          <w:color w:val="000000"/>
          <w:sz w:val="20"/>
          <w:lang w:val="en-US" w:eastAsia="en-US" w:bidi="ar-SA"/>
        </w:rPr>
        <w:t>  The Aboriginal right sought by the plaintiff may be characterized as the right to hunt and trap birds and animals throughout the Claim Area for the purposes of securing food, clothing, shelter, mats, blankets and crafts, as well as for spiritual, ceremonial and cultural uses. Both defendants admit the existence of this right. The plaintiff argues the right to hunt and trap includes the right to capture horses for transportation and work. Both defendants say that the Aboriginal right does not extend to this practice.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1224</w:t>
      </w:r>
      <w:r>
        <w:rPr>
          <w:rFonts w:ascii="arial" w:eastAsia="arial" w:hAnsi="arial" w:cs="arial"/>
          <w:color w:val="000000"/>
          <w:sz w:val="20"/>
          <w:lang w:val="en-US" w:eastAsia="en-US" w:bidi="ar-SA"/>
        </w:rPr>
        <w:t>  The Chilcotin Plateau provides a home to bands of wild horses. The reported numbers vary but it is said that there may be as many as 100 wild horses within Tachelach'ed. Their numbers are said to exceed that in other parts of the plateau.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1225</w:t>
      </w:r>
      <w:r>
        <w:rPr>
          <w:rFonts w:ascii="arial" w:eastAsia="arial" w:hAnsi="arial" w:cs="arial"/>
          <w:color w:val="000000"/>
          <w:sz w:val="20"/>
          <w:lang w:val="en-US" w:eastAsia="en-US" w:bidi="ar-SA"/>
        </w:rPr>
        <w:t>  The origins of these animals have not been determined. The Court takes judicial notice of the fact that horses are not native to North America. They were introduced by Europeans, very likely by the Spanish in what is now Mexico. Thereafter, there was a gradual movement of horses across the continent. For my purposes, the route of their travels is unimportant. When Tsilhqot'in people met with Simon Fraser in June of 1808, horses had already arrived on the Chilcotin Plateau and were being used by Tsilhqot'in people. I find this evidence is sufficient to raise a fair inference of Tsilhqot'in use of horses in pre-contact times.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1226</w:t>
      </w:r>
      <w:r>
        <w:rPr>
          <w:rFonts w:ascii="arial" w:eastAsia="arial" w:hAnsi="arial" w:cs="arial"/>
          <w:color w:val="000000"/>
          <w:sz w:val="20"/>
          <w:lang w:val="en-US" w:eastAsia="en-US" w:bidi="ar-SA"/>
        </w:rPr>
        <w:t>  British Columbia argues there is no evidence showing that either the Tsilhqot'in or the Xeni Gwet'in peoples engaged in the capture of wild horses pre-contact. British Columbia also argues there is no evidence that horses were found in a wild state in the Claim Area or elsewhere in Tsilhqot'in traditional territory in pre-contact times. Following their introduction, horses became extremely valuable to Aboriginal cultures. It is submitted that, in pre-contact days, it is unlikely that any Aboriginal people would have allowed a significant number of horses to remain at large for a sufficiently long period of time to have become "wild".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1227</w:t>
      </w:r>
      <w:r>
        <w:rPr>
          <w:rFonts w:ascii="arial" w:eastAsia="arial" w:hAnsi="arial" w:cs="arial"/>
          <w:color w:val="000000"/>
          <w:sz w:val="20"/>
          <w:lang w:val="en-US" w:eastAsia="en-US" w:bidi="ar-SA"/>
        </w:rPr>
        <w:t>  Canada makes a different argument. Canada points out that the statement of claim alleges trapping and hunting of animals "for their own use". Canada argues this claimed right to hunt and trap animals does not logically encompass the capture and domestication of animals for any purpose. Accordingly, the inclusion of an Aboriginal right to "capture and use horses for transportation and work" is an attempt to improperly amend the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1228</w:t>
      </w:r>
      <w:r>
        <w:rPr>
          <w:rFonts w:ascii="arial" w:eastAsia="arial" w:hAnsi="arial" w:cs="arial"/>
          <w:color w:val="000000"/>
          <w:sz w:val="20"/>
          <w:lang w:val="en-US" w:eastAsia="en-US" w:bidi="ar-SA"/>
        </w:rPr>
        <w:t>  Tsilhqot'in witnesses acknowledge their ancestors did not enjoy the use of horses from time immemorial. They understand that horses are European in their origin. However, the plaintiff says that the capture and use of wild horses by Tsilhqot'in people occurred well before first contact.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1229</w:t>
      </w:r>
      <w:r>
        <w:rPr>
          <w:rFonts w:ascii="arial" w:eastAsia="arial" w:hAnsi="arial" w:cs="arial"/>
          <w:color w:val="000000"/>
          <w:sz w:val="20"/>
          <w:lang w:val="en-US" w:eastAsia="en-US" w:bidi="ar-SA"/>
        </w:rPr>
        <w:t>  I reject Canada's submission that the trapping and hunting of animals "for their own use" would not be inclusive of horses. A horse is an animal and the words "for their own use" cannot be limited to consumption. In its broadest sense, this phrase includes the use of animals for transportation and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1230</w:t>
      </w:r>
      <w:r>
        <w:rPr>
          <w:rFonts w:ascii="arial" w:eastAsia="arial" w:hAnsi="arial" w:cs="arial"/>
          <w:color w:val="000000"/>
          <w:sz w:val="20"/>
          <w:lang w:val="en-US" w:eastAsia="en-US" w:bidi="ar-SA"/>
        </w:rPr>
        <w:t>  The capture and use of wild horses by Tsilhqot'in people for transportation and work is an integral part of their present day culture. The real issue is whether the capture of wild horses by Tsilhqot'in people for transportation and work should properly be included in a declaration of Tsilhqot'in Aboriginal rights.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1231</w:t>
      </w:r>
      <w:r>
        <w:rPr>
          <w:rFonts w:ascii="arial" w:eastAsia="arial" w:hAnsi="arial" w:cs="arial"/>
          <w:color w:val="000000"/>
          <w:sz w:val="20"/>
          <w:lang w:val="en-US" w:eastAsia="en-US" w:bidi="ar-SA"/>
        </w:rPr>
        <w:t>  From the first reference to Tsilhqot'in people in June 1, 1808 and continuing over the subsequent decades, the historical documents mention the use of horses by Tsilhqot'in people. There is no evidence of any alteration or change in lifestyle between the date of first contact in 1793 and 1808. It is fair to infer that there was pre-contact use of horses.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1232</w:t>
      </w:r>
      <w:r>
        <w:rPr>
          <w:rFonts w:ascii="arial" w:eastAsia="arial" w:hAnsi="arial" w:cs="arial"/>
          <w:color w:val="000000"/>
          <w:sz w:val="20"/>
          <w:lang w:val="en-US" w:eastAsia="en-US" w:bidi="ar-SA"/>
        </w:rPr>
        <w:t>  Indian Reserve Commissioner P. O'Reilly reported to the Supt. General of Indian Affairs on august 16, 1887, that the Tsilhqot'in "are good hunters and trappers, and living on the confines of a country abounding in game, large and small, they are able to make an easy livelihood." On October 14, 1899, another Reserve Commissioner, A.W. Vowell, reported that "[s]eventy Indians winter in the [Nemiah] valley ... They claim to have 150 horses in the valley but own no cattle depending altogether for their living on hunting, trapping and fishing."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1233</w:t>
      </w:r>
      <w:r>
        <w:rPr>
          <w:rFonts w:ascii="arial" w:eastAsia="arial" w:hAnsi="arial" w:cs="arial"/>
          <w:color w:val="000000"/>
          <w:sz w:val="20"/>
          <w:lang w:val="en-US" w:eastAsia="en-US" w:bidi="ar-SA"/>
        </w:rPr>
        <w:t xml:space="preserve">  In 1909, James Teit described the existence of horses among the Tsilhqot'in as follows: "Horses were introduced at a much later date than amongst the Shuswap, and probably not before 1870 had they become common": </w:t>
      </w:r>
      <w:r>
        <w:rPr>
          <w:rFonts w:ascii="arial" w:eastAsia="arial" w:hAnsi="arial" w:cs="arial"/>
          <w:i/>
          <w:color w:val="000000"/>
          <w:sz w:val="20"/>
          <w:lang w:val="en-US" w:eastAsia="en-US" w:bidi="ar-SA"/>
        </w:rPr>
        <w:t>The Jesup North Pacific Expedition</w:t>
      </w:r>
      <w:r>
        <w:rPr>
          <w:rFonts w:ascii="arial" w:eastAsia="arial" w:hAnsi="arial" w:cs="arial"/>
          <w:color w:val="000000"/>
          <w:sz w:val="20"/>
          <w:lang w:val="en-US" w:eastAsia="en-US" w:bidi="ar-SA"/>
        </w:rPr>
        <w:t xml:space="preserve"> at p. 783. Teit, at p. 535, noted there was a trade in horses from Canyon Secwepemc (Shuswap) people to Tsilhqot'in people "in later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1234</w:t>
      </w:r>
      <w:r>
        <w:rPr>
          <w:rFonts w:ascii="arial" w:eastAsia="arial" w:hAnsi="arial" w:cs="arial"/>
          <w:color w:val="000000"/>
          <w:sz w:val="20"/>
          <w:lang w:val="en-US" w:eastAsia="en-US" w:bidi="ar-SA"/>
        </w:rPr>
        <w:t xml:space="preserve">  The historical documents do not refer to </w:t>
      </w:r>
      <w:r>
        <w:rPr>
          <w:rFonts w:ascii="arial" w:eastAsia="arial" w:hAnsi="arial" w:cs="arial"/>
          <w:i/>
          <w:color w:val="000000"/>
          <w:sz w:val="20"/>
          <w:lang w:val="en-US" w:eastAsia="en-US" w:bidi="ar-SA"/>
        </w:rPr>
        <w:t>wild</w:t>
      </w:r>
      <w:r>
        <w:rPr>
          <w:rFonts w:ascii="arial" w:eastAsia="arial" w:hAnsi="arial" w:cs="arial"/>
          <w:color w:val="000000"/>
          <w:sz w:val="20"/>
          <w:lang w:val="en-US" w:eastAsia="en-US" w:bidi="ar-SA"/>
        </w:rPr>
        <w:t xml:space="preserve"> horses. The HBC records and the notes and journals written by missionaries and railway surveyors do not report the presence of </w:t>
      </w:r>
      <w:r>
        <w:rPr>
          <w:rFonts w:ascii="arial" w:eastAsia="arial" w:hAnsi="arial" w:cs="arial"/>
          <w:i/>
          <w:color w:val="000000"/>
          <w:sz w:val="20"/>
          <w:lang w:val="en-US" w:eastAsia="en-US" w:bidi="ar-SA"/>
        </w:rPr>
        <w:t>wild</w:t>
      </w:r>
      <w:r>
        <w:rPr>
          <w:rFonts w:ascii="arial" w:eastAsia="arial" w:hAnsi="arial" w:cs="arial"/>
          <w:color w:val="000000"/>
          <w:sz w:val="20"/>
          <w:lang w:val="en-US" w:eastAsia="en-US" w:bidi="ar-SA"/>
        </w:rPr>
        <w:t xml:space="preserve"> horses in the Claim Area. I did not hear any oral history or oral tradition evidence that relates to </w:t>
      </w:r>
      <w:r>
        <w:rPr>
          <w:rFonts w:ascii="arial" w:eastAsia="arial" w:hAnsi="arial" w:cs="arial"/>
          <w:i/>
          <w:color w:val="000000"/>
          <w:sz w:val="20"/>
          <w:lang w:val="en-US" w:eastAsia="en-US" w:bidi="ar-SA"/>
        </w:rPr>
        <w:t>wild</w:t>
      </w:r>
      <w:r>
        <w:rPr>
          <w:rFonts w:ascii="arial" w:eastAsia="arial" w:hAnsi="arial" w:cs="arial"/>
          <w:color w:val="000000"/>
          <w:sz w:val="20"/>
          <w:lang w:val="en-US" w:eastAsia="en-US" w:bidi="ar-SA"/>
        </w:rPr>
        <w:t xml:space="preserve"> horses. Despite this lack of evidence, it is clear from the observations of Simon Fraser that, in the early nineteenth century, Tsilhqot'in people were already using horses. Teit appears to have overlooked or been unaware of this historical evidence as he makes no reference to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1235</w:t>
      </w:r>
      <w:r>
        <w:rPr>
          <w:rFonts w:ascii="arial" w:eastAsia="arial" w:hAnsi="arial" w:cs="arial"/>
          <w:color w:val="000000"/>
          <w:sz w:val="20"/>
          <w:lang w:val="en-US" w:eastAsia="en-US" w:bidi="ar-SA"/>
        </w:rPr>
        <w:t>  The historical record refers to Tsilhqot'in people's use of horses. The absence of the word "wild" cannot be of any consequence. Nor does the absence of oral tradition evidence persuade me that there were no wild horses in pre-contact times. Given their use in 1808, I believe it is logical to infer they were used in pre-contact times. I also infer that Tsilhqot'in people obtained horses from the wild stock of horses that is now said to have roamed the Chilcotin plateau over the past 200 years. As R.P. Bishop noted in a letter dated December 31, 1922 addressed to J.E. Umbach, the Surveyor General "... they [Tsilhqot'in people] are born horsemen and do not like going where they cannot ride."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1236</w:t>
      </w:r>
      <w:r>
        <w:rPr>
          <w:rFonts w:ascii="arial" w:eastAsia="arial" w:hAnsi="arial" w:cs="arial"/>
          <w:color w:val="000000"/>
          <w:sz w:val="20"/>
          <w:lang w:val="en-US" w:eastAsia="en-US" w:bidi="ar-SA"/>
        </w:rPr>
        <w:t>  If I am wrong in my conclusion that wild horses were in the Claim Area and in use by Tsilhqot'in people in pre-contact times, there remains another reason why their capture and use should be included in any declaration of Tsilhqot'in rights. In pre-contact times, Tsilhqot'in people lived and survived entirely from the plants and animals the land provided. Due to climate change and other environmental factors, the bio-diversity of the region is in constant change. Two examples are worth recording.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1237</w:t>
      </w:r>
      <w:r>
        <w:rPr>
          <w:rFonts w:ascii="arial" w:eastAsia="arial" w:hAnsi="arial" w:cs="arial"/>
          <w:color w:val="000000"/>
          <w:sz w:val="20"/>
          <w:lang w:val="en-US" w:eastAsia="en-US" w:bidi="ar-SA"/>
        </w:rPr>
        <w:t>  The first is a modern day example of change. The pine forests are currently being devastated by an infestation of mountain pine beetle. When the pine trees are gone, Tsilhqot'in people will no longer be able to use this tree and its products. Some other substitute or substitutes will have to be found. The protection these trees provide to certain animal species may result in further adjustments for Tsilhqot'in people as species are lost or move on, possibly to be replaced by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1238</w:t>
      </w:r>
      <w:r>
        <w:rPr>
          <w:rFonts w:ascii="arial" w:eastAsia="arial" w:hAnsi="arial" w:cs="arial"/>
          <w:color w:val="000000"/>
          <w:sz w:val="20"/>
          <w:lang w:val="en-US" w:eastAsia="en-US" w:bidi="ar-SA"/>
        </w:rPr>
        <w:t>  The second example of change is one that took place in the early part of the twentieth century. Until about the first quarter of that century, Tsilhqot'in people obtained food and clothing by hunting caribou. That animal species has migrated north and is no longer found in the Claim Area. It has been replaced by moose. There is no suggestion that the right to hunt for moose should not be included in any declaration of Tsilhqot'in Aboriginal right merely because moose were apparently not in the Claim Area in abundance in the late eighteenth century.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1239</w:t>
      </w:r>
      <w:r>
        <w:rPr>
          <w:rFonts w:ascii="arial" w:eastAsia="arial" w:hAnsi="arial" w:cs="arial"/>
          <w:color w:val="000000"/>
          <w:sz w:val="20"/>
          <w:lang w:val="en-US" w:eastAsia="en-US" w:bidi="ar-SA"/>
        </w:rPr>
        <w:t xml:space="preserve">  If wild horses moved into the Claim Area at some later period, their use by Tsilhqot'in people should be no different than the taking of moose. The horse is an animal provided to the Tsilhqot'in people by the land. The capture of horses for transportation and work is a contemporary extension of the pre-contact right the Tsilhqot'in people had to use plants and hunt and trap animals in the Claim Area for their subsistence and livelihood. It is an example of pre-contact practices evolving to establish a modern right: </w:t>
      </w:r>
      <w:r>
        <w:rPr>
          <w:rFonts w:ascii="arial" w:eastAsia="arial" w:hAnsi="arial" w:cs="arial"/>
          <w:b/>
          <w:i/>
          <w:color w:val="000000"/>
          <w:sz w:val="20"/>
          <w:lang w:val="en-US" w:eastAsia="en-US" w:bidi="ar-SA"/>
        </w:rPr>
        <w:t>Marshall; Bernard; Sappier; Gray</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1240</w:t>
      </w:r>
      <w:r>
        <w:rPr>
          <w:rFonts w:ascii="arial" w:eastAsia="arial" w:hAnsi="arial" w:cs="arial"/>
          <w:color w:val="000000"/>
          <w:sz w:val="20"/>
          <w:lang w:val="en-US" w:eastAsia="en-US" w:bidi="ar-SA"/>
        </w:rPr>
        <w:t>  The proper characterization of the right is: an Aboriginal right to hunt and trap birds and animals throughout the Claim Area for the purposes of securing animals for work and transportation, food, clothing, shelter, mats, blankets and crafts, as well as for spiritual, ceremonial, and cultural uses.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1241</w:t>
      </w:r>
      <w:r>
        <w:rPr>
          <w:rFonts w:ascii="arial" w:eastAsia="arial" w:hAnsi="arial" w:cs="arial"/>
          <w:color w:val="000000"/>
          <w:sz w:val="20"/>
          <w:lang w:val="en-US" w:eastAsia="en-US" w:bidi="ar-SA"/>
        </w:rPr>
        <w:t>  I conclude that the ancestors of the Tsilhqot'in people engaged in that right and that it was integral to their distinctive culture.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 Tsilhqot'in Right to Trade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1242</w:t>
      </w:r>
      <w:r>
        <w:rPr>
          <w:rFonts w:ascii="arial" w:eastAsia="arial" w:hAnsi="arial" w:cs="arial"/>
          <w:color w:val="000000"/>
          <w:sz w:val="20"/>
          <w:lang w:val="en-US" w:eastAsia="en-US" w:bidi="ar-SA"/>
        </w:rPr>
        <w:t>  In the statement of claim the plaintiff alleges that "[b]efore and at the time of European contact, the Xeni Gwet'in trapped (trapping includes hunting) animals for their own use and for trading in skins and pelts". The prayer for relief seeks declarations that the Xeni Gwet'in people have an existing Aboriginal right to carry on trapping activities, including trading in skins and pelts, in the Brittany Triangle and Trapline Territories.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1243</w:t>
      </w:r>
      <w:r>
        <w:rPr>
          <w:rFonts w:ascii="arial" w:eastAsia="arial" w:hAnsi="arial" w:cs="arial"/>
          <w:color w:val="000000"/>
          <w:sz w:val="20"/>
          <w:lang w:val="en-US" w:eastAsia="en-US" w:bidi="ar-SA"/>
        </w:rPr>
        <w:t>  An analysis of the statement of claim leaves me with no doubt that an infringement of all Aboriginal rights claimed by the plaintiff has also been pleaded. See, for example: amended statement of claim at paras. 17-19 and 22-26.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1244</w:t>
      </w:r>
      <w:r>
        <w:rPr>
          <w:rFonts w:ascii="arial" w:eastAsia="arial" w:hAnsi="arial" w:cs="arial"/>
          <w:color w:val="000000"/>
          <w:sz w:val="20"/>
          <w:lang w:val="en-US" w:eastAsia="en-US" w:bidi="ar-SA"/>
        </w:rPr>
        <w:t>  In his argument, the plaintiff seeks a declaration of an Aboriginal right to trade in furs, pelts and other products of hunting and trapping animals in the Claim Area. The plaintiff says the right is best characterized as a right to obtain a moderate livelihood from trading in the products of hunting and trapping.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1245</w:t>
      </w:r>
      <w:r>
        <w:rPr>
          <w:rFonts w:ascii="arial" w:eastAsia="arial" w:hAnsi="arial" w:cs="arial"/>
          <w:color w:val="000000"/>
          <w:sz w:val="20"/>
          <w:lang w:val="en-US" w:eastAsia="en-US" w:bidi="ar-SA"/>
        </w:rPr>
        <w:t xml:space="preserve">  British Columbia says no right to trade has been established. Canada says, if there is a right, it should be delineated in accordance with pre-contact Aboriginal practices and is limited to skins and pelts by the pleadings. If any Aboriginal right to trade exists, Canada says the right must be species specific and, in that regard, relies on the Supreme Court of Canada decision in </w:t>
      </w:r>
      <w:r>
        <w:rPr>
          <w:rFonts w:ascii="arial" w:eastAsia="arial" w:hAnsi="arial" w:cs="arial"/>
          <w:b/>
          <w:i/>
          <w:color w:val="000000"/>
          <w:sz w:val="20"/>
          <w:lang w:val="en-US" w:eastAsia="en-US" w:bidi="ar-SA"/>
        </w:rPr>
        <w:t>Gladstone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1246</w:t>
      </w:r>
      <w:r>
        <w:rPr>
          <w:rFonts w:ascii="arial" w:eastAsia="arial" w:hAnsi="arial" w:cs="arial"/>
          <w:color w:val="000000"/>
          <w:sz w:val="20"/>
          <w:lang w:val="en-US" w:eastAsia="en-US" w:bidi="ar-SA"/>
        </w:rPr>
        <w:t>  This Aboriginal right is properly characterized as a right to trade skins and pelts as a means to secure a moderate livelihood. In my view, the case law does not support Canada's argument that this right must be restricted to specific species of animals. I find that such an approach would unduly frustrate the modern expression of this Aboriginal 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1247</w:t>
      </w:r>
      <w:r>
        <w:rPr>
          <w:rFonts w:ascii="arial" w:eastAsia="arial" w:hAnsi="arial" w:cs="arial"/>
          <w:color w:val="000000"/>
          <w:sz w:val="20"/>
          <w:lang w:val="en-US" w:eastAsia="en-US" w:bidi="ar-SA"/>
        </w:rPr>
        <w:t>  Tsilhqot'in people traded animal skins and pelts with their Aboriginal neighbours who were willing to trade with them. These trading relationships were important to the Tsilhqot'in people as a means of obtaining salmon resources, particularly during the years when the salmon fishery failed. Trade was not restricted to years of poor salmon runs. Trading with neighbours was an element of the traditional Tsilhqot'in pattern of survival.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1248</w:t>
      </w:r>
      <w:r>
        <w:rPr>
          <w:rFonts w:ascii="arial" w:eastAsia="arial" w:hAnsi="arial" w:cs="arial"/>
          <w:color w:val="000000"/>
          <w:sz w:val="20"/>
          <w:lang w:val="en-US" w:eastAsia="en-US" w:bidi="ar-SA"/>
        </w:rPr>
        <w:t>  The practice of trade for salmon and accommodations was an integral part of Tsilhqot'in society that cannot be ignored. This type of survival was intermittent but it was regular in the sense that there were always cycles produced by nature which forced changes in the preferred pattern of living off and staying on the land within the Claim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1249</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Sappier; Gray</w:t>
      </w:r>
      <w:r>
        <w:rPr>
          <w:rFonts w:ascii="arial" w:eastAsia="arial" w:hAnsi="arial" w:cs="arial"/>
          <w:color w:val="000000"/>
          <w:sz w:val="20"/>
          <w:lang w:val="en-US" w:eastAsia="en-US" w:bidi="ar-SA"/>
        </w:rPr>
        <w:t>, the issue arose as to whether a survival practice could be considered sufficiently integral to require protection as an Aboriginal right. The Court concluded that a practice undertaken for survival purposes is sufficient to meet the integral to a distinctive culture test. A Court must seek to understand how the particular pre-contact practice relied upon relates to the Aboriginal group's way of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1250</w:t>
      </w:r>
      <w:r>
        <w:rPr>
          <w:rFonts w:ascii="arial" w:eastAsia="arial" w:hAnsi="arial" w:cs="arial"/>
          <w:color w:val="000000"/>
          <w:sz w:val="20"/>
          <w:lang w:val="en-US" w:eastAsia="en-US" w:bidi="ar-SA"/>
        </w:rPr>
        <w:t>  Historically, Tsilhqot'in people did not engage in a brisk trade with the HBC. One of the potential reasons for this reluctance was that the Tsilhqot'in people's principal interest lay in trading for salmon. They could not obtain salmon from the HBC and, in fact, competed with the HBC to find sufficient salmon for survival purposes. The HBC had European goods to offer and when the Tsilhqot'in people required these products, they were willing to trade. The Tsilhqot'in people's primary trading partners were their Aboriginal neighbours to the east and west.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1251</w:t>
      </w:r>
      <w:r>
        <w:rPr>
          <w:rFonts w:ascii="arial" w:eastAsia="arial" w:hAnsi="arial" w:cs="arial"/>
          <w:color w:val="000000"/>
          <w:sz w:val="20"/>
          <w:lang w:val="en-US" w:eastAsia="en-US" w:bidi="ar-SA"/>
        </w:rPr>
        <w:t>  Tsilhqot'in people had essentially two trading partners, the Canyon Secwepemc (Shuswap) people (and through them to other Secwepemc) and the Nuxalk (Bella Coola) people (and through them to other coastal peoples). To the south and north, there was considerable friction between Tsilhqot'in people and the Stl'atl'imx (Lillooet), Qaju (Homalco) and Dakelh (Carrier) peoples. There may have been isolated incidents of trade with these other nations, but they never reached the same level of trade as with the Nuxalk and Canyon Secwepemc.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1252</w:t>
      </w:r>
      <w:r>
        <w:rPr>
          <w:rFonts w:ascii="arial" w:eastAsia="arial" w:hAnsi="arial" w:cs="arial"/>
          <w:color w:val="000000"/>
          <w:sz w:val="20"/>
          <w:lang w:val="en-US" w:eastAsia="en-US" w:bidi="ar-SA"/>
        </w:rPr>
        <w:t xml:space="preserve">  In his ethnography of the Secwepemc published in </w:t>
      </w:r>
      <w:r>
        <w:rPr>
          <w:rFonts w:ascii="arial" w:eastAsia="arial" w:hAnsi="arial" w:cs="arial"/>
          <w:i/>
          <w:color w:val="000000"/>
          <w:sz w:val="20"/>
          <w:lang w:val="en-US" w:eastAsia="en-US" w:bidi="ar-SA"/>
        </w:rPr>
        <w:t>The Jesup North Pacific Expedition</w:t>
      </w:r>
      <w:r>
        <w:rPr>
          <w:rFonts w:ascii="arial" w:eastAsia="arial" w:hAnsi="arial" w:cs="arial"/>
          <w:color w:val="000000"/>
          <w:sz w:val="20"/>
          <w:lang w:val="en-US" w:eastAsia="en-US" w:bidi="ar-SA"/>
        </w:rPr>
        <w:t>, James Teit described the nature and scale of trade between the Tsilhqot'in and the Secwepemc as follows at p. 535: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Caòon division were the greatest traders, and acted as middlemen between the other Shuswap bands and the Chilcotin, whom they would not allow to trade directly with one another. They bought the products of both, and exchanged them at a profit. They controlled part of the Chilcotin salmon supply, and the Chilcotin traded extensively with them.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From the Chilcotin they received large quantities of dentalium-shells, some woven goat's-hair blankets and belts, bales of dressed marmot-skins, a few rabbit-skin robes, a few snowshoes of the best type, and in fact anything of value they had to give. In exchange they gave chiefly dried salmon and salmon-oil, some woven baskets of the best type, paint, and in later days horses.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1253</w:t>
      </w:r>
      <w:r>
        <w:rPr>
          <w:rFonts w:ascii="arial" w:eastAsia="arial" w:hAnsi="arial" w:cs="arial"/>
          <w:color w:val="000000"/>
          <w:sz w:val="20"/>
          <w:lang w:val="en-US" w:eastAsia="en-US" w:bidi="ar-SA"/>
        </w:rPr>
        <w:t>  It is interesting to note that Tsilhqot'in people were known to their Canyon Secwepemc neighbours as the "dentalia people". Dentalium is a genus of marine mollusk that has a tubular or conical shell. These shells could only be obtained from the coast. They were used in Aboriginal societies as a medium for exchange and as a status or wealth symbol. The trade in dentalium demonstrates how the Tsilhqot'in people were the middle men between the Nuxalk people and Canyon Secwepemc people.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1254</w:t>
      </w:r>
      <w:r>
        <w:rPr>
          <w:rFonts w:ascii="arial" w:eastAsia="arial" w:hAnsi="arial" w:cs="arial"/>
          <w:color w:val="000000"/>
          <w:sz w:val="20"/>
          <w:lang w:val="en-US" w:eastAsia="en-US" w:bidi="ar-SA"/>
        </w:rPr>
        <w:t xml:space="preserve">  Teit elaborated on the Tsilhqot'in trade relationships in his "Notes on the Chilcotin Indians" found in </w:t>
      </w:r>
      <w:r>
        <w:rPr>
          <w:rFonts w:ascii="arial" w:eastAsia="arial" w:hAnsi="arial" w:cs="arial"/>
          <w:i/>
          <w:color w:val="000000"/>
          <w:sz w:val="20"/>
          <w:lang w:val="en-US" w:eastAsia="en-US" w:bidi="ar-SA"/>
        </w:rPr>
        <w:t>The Jesup North Pacific Expedition</w:t>
      </w:r>
      <w:r>
        <w:rPr>
          <w:rFonts w:ascii="arial" w:eastAsia="arial" w:hAnsi="arial" w:cs="arial"/>
          <w:color w:val="000000"/>
          <w:sz w:val="20"/>
          <w:lang w:val="en-US" w:eastAsia="en-US" w:bidi="ar-SA"/>
        </w:rPr>
        <w:t xml:space="preserve"> at p. 783: Trade was carried on chiefly with the Bella Coola and the Canon Division of the Shuswap ... From the Shuswap the tribe obtained dried salmon, said to be superior to that procured from the Bella Coola, salmon-oil, red paint, deer and elk skins some bark thread, and in later days tobacco and horses; also part of the Chilcotin supply of copper and iron seems to have been obtained from the Shuswap. They gave the [Shuswap] in return dentalium-shells, goat's wool blankets, woven rabbit and lynx skin blankets, dressed caribou-skin, raw marmot-skins.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1255</w:t>
      </w:r>
      <w:r>
        <w:rPr>
          <w:rFonts w:ascii="arial" w:eastAsia="arial" w:hAnsi="arial" w:cs="arial"/>
          <w:color w:val="000000"/>
          <w:sz w:val="20"/>
          <w:lang w:val="en-US" w:eastAsia="en-US" w:bidi="ar-SA"/>
        </w:rPr>
        <w:t xml:space="preserve">  In his report to the Court, historian Dr. Kenneth Coates, discussed the trade relationships between the Tsilhqot'in and the Nuxalk people. Dr. Coates relied upon the following observations of Dr. David Dinwoodie contained in his book entitled </w:t>
      </w:r>
      <w:r>
        <w:rPr>
          <w:rFonts w:ascii="arial" w:eastAsia="arial" w:hAnsi="arial" w:cs="arial"/>
          <w:i/>
          <w:color w:val="000000"/>
          <w:sz w:val="20"/>
          <w:lang w:val="en-US" w:eastAsia="en-US" w:bidi="ar-SA"/>
        </w:rPr>
        <w:t>Reserve Memories: The Power of the Past in a Chilcotin Community</w:t>
      </w:r>
      <w:r>
        <w:rPr>
          <w:rFonts w:ascii="arial" w:eastAsia="arial" w:hAnsi="arial" w:cs="arial"/>
          <w:color w:val="000000"/>
          <w:sz w:val="20"/>
          <w:lang w:val="en-US" w:eastAsia="en-US" w:bidi="ar-SA"/>
        </w:rPr>
        <w:t xml:space="preserve"> (Lincoln: University of Nebraska Press, 2002) at pp. 13-15: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 integral dimension of the traditional patterns, it seems involved transporting hides and horns from the high country over the mountains to the Bella Coola. Such journeys were frequently followed by lengthy visits, with people sometimes staying for entire winters. Food, lodging, and goodwill could be purchased with desirables such as mountain goat horns and various assorted hides. In addition, the Chilcotin could contribute to Coastal life by serving as enthusiastic and appreciative audience members for winter ceremonies.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1256</w:t>
      </w:r>
      <w:r>
        <w:rPr>
          <w:rFonts w:ascii="arial" w:eastAsia="arial" w:hAnsi="arial" w:cs="arial"/>
          <w:color w:val="000000"/>
          <w:sz w:val="20"/>
          <w:lang w:val="en-US" w:eastAsia="en-US" w:bidi="ar-SA"/>
        </w:rPr>
        <w:t>  The evidence of Tsilhqot'in people who testified at trial leads me to conclude that trade, particularly with the Nuxalk people, continued well into the last century and to a limited extent continues to this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1257</w:t>
      </w:r>
      <w:r>
        <w:rPr>
          <w:rFonts w:ascii="arial" w:eastAsia="arial" w:hAnsi="arial" w:cs="arial"/>
          <w:color w:val="000000"/>
          <w:sz w:val="20"/>
          <w:lang w:val="en-US" w:eastAsia="en-US" w:bidi="ar-SA"/>
        </w:rPr>
        <w:t>  For Tsilhqot'in people, trade was never about the accumulation of wealth. Trade with their neighbours was motivated by survival. Salmon was and remains a staple of the Tsilhqot'in diet. Salmon runs in the various rivers and streams, upon which Tsilhqot'in people depended, were not consistent, ranging from excellent to none at all. Thus, trade for salmon was vital in those years when the salmon runs failed to produce sufficient quantities. There is historical evidence that entire groups of Tsilhqot'in people left their traditional land and wintered with the people on the coast in those years of salmon drought. The Nuxalk provided both food and permission to lodge with their people. In return, they were paid with furs, root plants, berries and other commodities.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1258</w:t>
      </w:r>
      <w:r>
        <w:rPr>
          <w:rFonts w:ascii="arial" w:eastAsia="arial" w:hAnsi="arial" w:cs="arial"/>
          <w:color w:val="000000"/>
          <w:sz w:val="20"/>
          <w:lang w:val="en-US" w:eastAsia="en-US" w:bidi="ar-SA"/>
        </w:rPr>
        <w:t>  I note that any movement to the coast was a movement for survival purposes and was never intended as an abandonment of traditional territory. It was a cyclical phenomenon, driven by the strength of the salmon runs. It was as much a part of Tsilhqot'in semi-nomadic existence on the land as was their movement about the Claim Area to acquire whatever nature had to offer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1259</w:t>
      </w:r>
      <w:r>
        <w:rPr>
          <w:rFonts w:ascii="arial" w:eastAsia="arial" w:hAnsi="arial" w:cs="arial"/>
          <w:color w:val="000000"/>
          <w:sz w:val="20"/>
          <w:lang w:val="en-US" w:eastAsia="en-US" w:bidi="ar-SA"/>
        </w:rPr>
        <w:t xml:space="preserve">  Earlier, I noted that in </w:t>
      </w:r>
      <w:r>
        <w:rPr>
          <w:rFonts w:ascii="arial" w:eastAsia="arial" w:hAnsi="arial" w:cs="arial"/>
          <w:b/>
          <w:i/>
          <w:color w:val="000000"/>
          <w:sz w:val="20"/>
          <w:lang w:val="en-US" w:eastAsia="en-US" w:bidi="ar-SA"/>
        </w:rPr>
        <w:t>Van der Peet</w:t>
      </w:r>
      <w:r>
        <w:rPr>
          <w:rFonts w:ascii="arial" w:eastAsia="arial" w:hAnsi="arial" w:cs="arial"/>
          <w:color w:val="000000"/>
          <w:sz w:val="20"/>
          <w:lang w:val="en-US" w:eastAsia="en-US" w:bidi="ar-SA"/>
        </w:rPr>
        <w:t>, the Supreme Court of Canada set out a test for determining whether a particular Aboriginal activity is protected as an Aboriginal 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1260</w:t>
      </w:r>
      <w:r>
        <w:rPr>
          <w:rFonts w:ascii="arial" w:eastAsia="arial" w:hAnsi="arial" w:cs="arial"/>
          <w:color w:val="000000"/>
          <w:sz w:val="20"/>
          <w:lang w:val="en-US" w:eastAsia="en-US" w:bidi="ar-SA"/>
        </w:rPr>
        <w:t xml:space="preserve">  An applicant must satisfy the crucial elements of that test. Lamer C.J.C. in </w:t>
      </w:r>
      <w:r>
        <w:rPr>
          <w:rFonts w:ascii="arial" w:eastAsia="arial" w:hAnsi="arial" w:cs="arial"/>
          <w:b/>
          <w:i/>
          <w:color w:val="000000"/>
          <w:sz w:val="20"/>
          <w:lang w:val="en-US" w:eastAsia="en-US" w:bidi="ar-SA"/>
        </w:rPr>
        <w:t>Van der Peet</w:t>
      </w:r>
      <w:r>
        <w:rPr>
          <w:rFonts w:ascii="arial" w:eastAsia="arial" w:hAnsi="arial" w:cs="arial"/>
          <w:color w:val="000000"/>
          <w:sz w:val="20"/>
          <w:lang w:val="en-US" w:eastAsia="en-US" w:bidi="ar-SA"/>
        </w:rPr>
        <w:t xml:space="preserve"> at para. 46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in order to be an aboriginal right an activity must be an element of a practice, custom or tradition integral to the distinctive culture of the aboriginal group claiming the 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1261</w:t>
      </w:r>
      <w:r>
        <w:rPr>
          <w:rFonts w:ascii="arial" w:eastAsia="arial" w:hAnsi="arial" w:cs="arial"/>
          <w:color w:val="000000"/>
          <w:sz w:val="20"/>
          <w:lang w:val="en-US" w:eastAsia="en-US" w:bidi="ar-SA"/>
        </w:rPr>
        <w:t>  The defendants acknowledge the importance of coastal trading relations for Tsilhqot'in people as a means of obtaining salmon resources, particularly in times of a low return or even a collapse in the salmon fishery. The plaintiff says the defendants have overstated the reliance of Tsilhqot'in people on this strategy, but does acknowledge that such trade was a key element of the traditional Tsilhqot'in pattern of survival.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1262</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Sappier; Gray</w:t>
      </w:r>
      <w:r>
        <w:rPr>
          <w:rFonts w:ascii="arial" w:eastAsia="arial" w:hAnsi="arial" w:cs="arial"/>
          <w:color w:val="000000"/>
          <w:sz w:val="20"/>
          <w:lang w:val="en-US" w:eastAsia="en-US" w:bidi="ar-SA"/>
        </w:rPr>
        <w:t>, the Supreme Court of Canada concluded that a practice undertaken for survival purposes is sufficient to meet the integral to a distinctive culture threshold.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1263</w:t>
      </w:r>
      <w:r>
        <w:rPr>
          <w:rFonts w:ascii="arial" w:eastAsia="arial" w:hAnsi="arial" w:cs="arial"/>
          <w:color w:val="000000"/>
          <w:sz w:val="20"/>
          <w:lang w:val="en-US" w:eastAsia="en-US" w:bidi="ar-SA"/>
        </w:rPr>
        <w:t>  Tsilhqot'in people moved about their territory harvesting what the land had to offer, according to their needs and the seasons. Fish, game, root plants, and berries provided the staples for their diets. Salmon were a critical component. When salmon failed, the Tsilhqot'in way of life included a trade of furs, root plants, and berries for salmon. I am satisfied that trade was not just opportunistic or incidental and was not limited to times of need. It was a way of life, accelerated in times of need. Trade was always undertaken for the necessaries of life; it was not trade to accumulate wealth. In my view, the trading practice of the Tsilhqot'in people, at the time of first contact and continuing well into the twentieth century, was more than sufficient to meet the tests of cultural integrality set out by the Supreme Court of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1264</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Marshall</w:t>
      </w:r>
      <w:r>
        <w:rPr>
          <w:rFonts w:ascii="arial" w:eastAsia="arial" w:hAnsi="arial" w:cs="arial"/>
          <w:color w:val="000000"/>
          <w:sz w:val="20"/>
          <w:lang w:val="en-US" w:eastAsia="en-US" w:bidi="ar-SA"/>
        </w:rPr>
        <w:t xml:space="preserve"> (S.C.C.) Binnie J., for the majority, said at para. 59: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concept of "necessaries" is today equivalent to the concept of what Lambert J.A., in </w:t>
      </w:r>
      <w:r>
        <w:rPr>
          <w:rFonts w:ascii="arial" w:eastAsia="arial" w:hAnsi="arial" w:cs="arial"/>
          <w:i/>
          <w:color w:val="000000"/>
          <w:sz w:val="20"/>
          <w:lang w:val="en-US" w:eastAsia="en-US" w:bidi="ar-SA"/>
        </w:rPr>
        <w:t>R. v. Van der Peet</w:t>
      </w:r>
      <w:r>
        <w:rPr>
          <w:rFonts w:ascii="arial" w:eastAsia="arial" w:hAnsi="arial" w:cs="arial"/>
          <w:color w:val="000000"/>
          <w:sz w:val="20"/>
          <w:lang w:val="en-US" w:eastAsia="en-US" w:bidi="ar-SA"/>
        </w:rPr>
        <w:t xml:space="preserve"> </w:t>
      </w:r>
      <w:hyperlink r:id="rId729" w:history="1">
        <w:r>
          <w:rPr>
            <w:rFonts w:ascii="arial" w:eastAsia="arial" w:hAnsi="arial" w:cs="arial"/>
            <w:i/>
            <w:color w:val="0077CC"/>
            <w:sz w:val="20"/>
            <w:u w:val="single"/>
            <w:shd w:val="clear" w:color="auto" w:fill="FFFFFF"/>
            <w:lang w:val="en-US" w:eastAsia="en-US" w:bidi="ar-SA"/>
          </w:rPr>
          <w:t>(1993), 80 B.C.L.R. (2d) 75</w:t>
        </w:r>
      </w:hyperlink>
      <w:r>
        <w:rPr>
          <w:rFonts w:ascii="arial" w:eastAsia="arial" w:hAnsi="arial" w:cs="arial"/>
          <w:color w:val="000000"/>
          <w:sz w:val="20"/>
          <w:lang w:val="en-US" w:eastAsia="en-US" w:bidi="ar-SA"/>
        </w:rPr>
        <w:t>, at p. 126, described as a "moderate livelihood". Bare subsistence has thankfully receded over the last couple of centuries as an appropriate standard of life for aboriginals and non-aboriginals alike. A moderate livelihood includes such basics as "food, clothing and housing, supplemented by a few amenities", but not the accumulation of wealth (</w:t>
      </w:r>
      <w:r>
        <w:rPr>
          <w:rFonts w:ascii="arial" w:eastAsia="arial" w:hAnsi="arial" w:cs="arial"/>
          <w:i/>
          <w:color w:val="000000"/>
          <w:sz w:val="20"/>
          <w:lang w:val="en-US" w:eastAsia="en-US" w:bidi="ar-SA"/>
        </w:rPr>
        <w:t>Gladstone, supra</w:t>
      </w:r>
      <w:r>
        <w:rPr>
          <w:rFonts w:ascii="arial" w:eastAsia="arial" w:hAnsi="arial" w:cs="arial"/>
          <w:color w:val="000000"/>
          <w:sz w:val="20"/>
          <w:lang w:val="en-US" w:eastAsia="en-US" w:bidi="ar-SA"/>
        </w:rPr>
        <w:t>, at para. 165). It addresses day-to-day needs. This was the common intention in 1760. It is fair that it be given this interpretation today.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1265</w:t>
      </w:r>
      <w:r>
        <w:rPr>
          <w:rFonts w:ascii="arial" w:eastAsia="arial" w:hAnsi="arial" w:cs="arial"/>
          <w:color w:val="000000"/>
          <w:sz w:val="20"/>
          <w:lang w:val="en-US" w:eastAsia="en-US" w:bidi="ar-SA"/>
        </w:rPr>
        <w:t>  The right may be properly characterized as a Tsilhqot'in Aboriginal right to trade in skins and pelts as a means of securing a moderate livelihood. The evidence shows that the Tsilhqot'in ancestors engaged in that right and that it was integral to their distinctive culture.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 Continuity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1266</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Marshall; Bernard</w:t>
      </w:r>
      <w:r>
        <w:rPr>
          <w:rFonts w:ascii="arial" w:eastAsia="arial" w:hAnsi="arial" w:cs="arial"/>
          <w:color w:val="000000"/>
          <w:sz w:val="20"/>
          <w:lang w:val="en-US" w:eastAsia="en-US" w:bidi="ar-SA"/>
        </w:rPr>
        <w:t>, McLachlin C.J.C. said at para. 67: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requirement of continuity in its most basic sense simply means that claimants must establish they are right holders. Modern-day claimants must establish a connection with the pre-sovereignty group upon whose practices they rely to assert title or claim to a more restricted aboriginal right. The right is based on pre-sovereignty aboriginal practices. To claim it, a modern people must show that the right is the descendant of those practices.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1267</w:t>
      </w:r>
      <w:r>
        <w:rPr>
          <w:rFonts w:ascii="arial" w:eastAsia="arial" w:hAnsi="arial" w:cs="arial"/>
          <w:color w:val="000000"/>
          <w:sz w:val="20"/>
          <w:lang w:val="en-US" w:eastAsia="en-US" w:bidi="ar-SA"/>
        </w:rPr>
        <w:t>  I am satisfied that the hunting, trapping and trading practices of Tsilhqot'in people represent a modern expression of those activities as practiced by Tsilhqot'in people prior to contact with European people.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1268</w:t>
      </w:r>
      <w:r>
        <w:rPr>
          <w:rFonts w:ascii="arial" w:eastAsia="arial" w:hAnsi="arial" w:cs="arial"/>
          <w:color w:val="000000"/>
          <w:sz w:val="20"/>
          <w:lang w:val="en-US" w:eastAsia="en-US" w:bidi="ar-SA"/>
        </w:rPr>
        <w:t>  In addition, the evidence leads to but one conclusion, namely that Tsilhqot'in people have continuously hunted, trapped and traded throughout the Claim Area and beyond from pre-contact times to the present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 INFRINGEMENTS OF ABORIGINAL RIGHTS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1269</w:t>
      </w:r>
      <w:r>
        <w:rPr>
          <w:rFonts w:ascii="arial" w:eastAsia="arial" w:hAnsi="arial" w:cs="arial"/>
          <w:color w:val="000000"/>
          <w:sz w:val="20"/>
          <w:lang w:val="en-US" w:eastAsia="en-US" w:bidi="ar-SA"/>
        </w:rPr>
        <w:t>  The plaintiff says that forest harvesting activities negatively impact a number of different species, affecting wildlife diversity as well as populations of individual species.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1270</w:t>
      </w:r>
      <w:r>
        <w:rPr>
          <w:rFonts w:ascii="arial" w:eastAsia="arial" w:hAnsi="arial" w:cs="arial"/>
          <w:color w:val="000000"/>
          <w:sz w:val="20"/>
          <w:lang w:val="en-US" w:eastAsia="en-US" w:bidi="ar-SA"/>
        </w:rPr>
        <w:t>  In addition, the plaintiff says forest harvesting leads to the destruction of habitat. In the plaintiff's submission, habitat must be preserved to ensure a harvestable surplus of all species, sufficient to meet the needs of Tsilhqot'in people over time. He says Crown activities are an infringement of Tsilhqot'in rights if they are likely to reduce the habitat available for any particular species to below the level where the necessary harvestable surplus is available.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1271</w:t>
      </w:r>
      <w:r>
        <w:rPr>
          <w:rFonts w:ascii="arial" w:eastAsia="arial" w:hAnsi="arial" w:cs="arial"/>
          <w:color w:val="000000"/>
          <w:sz w:val="20"/>
          <w:lang w:val="en-US" w:eastAsia="en-US" w:bidi="ar-SA"/>
        </w:rPr>
        <w:t>  The question for the Court is whether forest harvesting activities pursuant to the relevant forestry legislation are an infringement on Tsilhqot'in Aboriginal rights to hunt, trap and trade.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 General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1272</w:t>
      </w:r>
      <w:r>
        <w:rPr>
          <w:rFonts w:ascii="arial" w:eastAsia="arial" w:hAnsi="arial" w:cs="arial"/>
          <w:color w:val="000000"/>
          <w:sz w:val="20"/>
          <w:lang w:val="en-US" w:eastAsia="en-US" w:bidi="ar-SA"/>
        </w:rPr>
        <w:t>  The legal principles that apply here are found in the section on infringement of Aboriginal tile. Those principles apply equally to other Aboriginal rights.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1273</w:t>
      </w:r>
      <w:r>
        <w:rPr>
          <w:rFonts w:ascii="arial" w:eastAsia="arial" w:hAnsi="arial" w:cs="arial"/>
          <w:color w:val="000000"/>
          <w:sz w:val="20"/>
          <w:lang w:val="en-US" w:eastAsia="en-US" w:bidi="ar-SA"/>
        </w:rPr>
        <w:t xml:space="preserve">  It is worth repeating that in </w:t>
      </w:r>
      <w:r>
        <w:rPr>
          <w:rFonts w:ascii="arial" w:eastAsia="arial" w:hAnsi="arial" w:cs="arial"/>
          <w:b/>
          <w:i/>
          <w:color w:val="000000"/>
          <w:sz w:val="20"/>
          <w:lang w:val="en-US" w:eastAsia="en-US" w:bidi="ar-SA"/>
        </w:rPr>
        <w:t>Sparrow</w:t>
      </w:r>
      <w:r>
        <w:rPr>
          <w:rFonts w:ascii="arial" w:eastAsia="arial" w:hAnsi="arial" w:cs="arial"/>
          <w:color w:val="000000"/>
          <w:sz w:val="20"/>
          <w:lang w:val="en-US" w:eastAsia="en-US" w:bidi="ar-SA"/>
        </w:rPr>
        <w:t>, Dickson C.J.C. and La Forest J., for the Court, stated at p. 1078: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 determine whether the fishing rights have been interfered with such as to constitute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infringement of s. 35(1), certain questions must be asked. Is the limitation unreasonable? Does the regulation impose undue hardship? Does the regulation deny to the holders of the right their preferred means of exercising that right? The onus of proving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infringement lies on the individual or group challenging the legislation.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Here, the regulation would be found to be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interference if it were found to be an adverse restriction on the exercise of the natives' right to fish for food. The issue does not merely require looking at whether the fish catch has been reduced below that needed for the reasonable food and ceremonial needs. Rather the test involves asking whether either the purpose or the effect of the restriction on net length unnecessarily infringes the interests protected by the fishing 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1274</w:t>
      </w:r>
      <w:r>
        <w:rPr>
          <w:rFonts w:ascii="arial" w:eastAsia="arial" w:hAnsi="arial" w:cs="arial"/>
          <w:color w:val="000000"/>
          <w:sz w:val="20"/>
          <w:lang w:val="en-US" w:eastAsia="en-US" w:bidi="ar-SA"/>
        </w:rPr>
        <w:t xml:space="preserve">  This case differs from </w:t>
      </w:r>
      <w:r>
        <w:rPr>
          <w:rFonts w:ascii="arial" w:eastAsia="arial" w:hAnsi="arial" w:cs="arial"/>
          <w:b/>
          <w:i/>
          <w:color w:val="000000"/>
          <w:sz w:val="20"/>
          <w:lang w:val="en-US" w:eastAsia="en-US" w:bidi="ar-SA"/>
        </w:rPr>
        <w:t>Sparrow</w:t>
      </w:r>
      <w:r>
        <w:rPr>
          <w:rFonts w:ascii="arial" w:eastAsia="arial" w:hAnsi="arial" w:cs="arial"/>
          <w:color w:val="000000"/>
          <w:sz w:val="20"/>
          <w:lang w:val="en-US" w:eastAsia="en-US" w:bidi="ar-SA"/>
        </w:rPr>
        <w:t xml:space="preserve"> in that it does not involve a regulatory restriction on a harvesting right. Here, the issue is whether forest harvesting activities and forest silviculture activities are or might be an infringement of Tsilhqot'in Aboriginal hunting and trapping rights in the Claim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1275</w:t>
      </w:r>
      <w:r>
        <w:rPr>
          <w:rFonts w:ascii="arial" w:eastAsia="arial" w:hAnsi="arial" w:cs="arial"/>
          <w:color w:val="000000"/>
          <w:sz w:val="20"/>
          <w:lang w:val="en-US" w:eastAsia="en-US" w:bidi="ar-SA"/>
        </w:rPr>
        <w:t xml:space="preserve">  Thus, in this case, the language in </w:t>
      </w:r>
      <w:r>
        <w:rPr>
          <w:rFonts w:ascii="arial" w:eastAsia="arial" w:hAnsi="arial" w:cs="arial"/>
          <w:b/>
          <w:i/>
          <w:color w:val="000000"/>
          <w:sz w:val="20"/>
          <w:lang w:val="en-US" w:eastAsia="en-US" w:bidi="ar-SA"/>
        </w:rPr>
        <w:t>Sparrow</w:t>
      </w:r>
      <w:r>
        <w:rPr>
          <w:rFonts w:ascii="arial" w:eastAsia="arial" w:hAnsi="arial" w:cs="arial"/>
          <w:color w:val="000000"/>
          <w:sz w:val="20"/>
          <w:lang w:val="en-US" w:eastAsia="en-US" w:bidi="ar-SA"/>
        </w:rPr>
        <w:t xml:space="preserve"> leads to an inquiry as to whether such activities would impose an undue hardship on Tsilhqot'in people and whether the activities would deprive them of their preferred means or way of exercising their rights to hunt, trap and trade.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1276</w:t>
      </w:r>
      <w:r>
        <w:rPr>
          <w:rFonts w:ascii="arial" w:eastAsia="arial" w:hAnsi="arial" w:cs="arial"/>
          <w:color w:val="000000"/>
          <w:sz w:val="20"/>
          <w:lang w:val="en-US" w:eastAsia="en-US" w:bidi="ar-SA"/>
        </w:rPr>
        <w:t>  On the whole of the evidence, I conclude that forest harvesting activities, which include logging and all other silviculture practices, reduce the number of different wildlife species (diversity) and the number of individuals within each species (abundance) in a landscape. Forest harvesting depletes species diversity and abundance through: 1) direct mortality; 2) the imposition of roads; and, 3) the destruction of habitat.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1277</w:t>
      </w:r>
      <w:r>
        <w:rPr>
          <w:rFonts w:ascii="arial" w:eastAsia="arial" w:hAnsi="arial" w:cs="arial"/>
          <w:color w:val="000000"/>
          <w:sz w:val="20"/>
          <w:lang w:val="en-US" w:eastAsia="en-US" w:bidi="ar-SA"/>
        </w:rPr>
        <w:t>  This depletion in species and abundance is caused primarily by road development and habitat loss. This was the evidence from expert witnesses and lay witnesses. Trappers and hunters report a loss of animals after the occurrence of logging.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1278</w:t>
      </w:r>
      <w:r>
        <w:rPr>
          <w:rFonts w:ascii="arial" w:eastAsia="arial" w:hAnsi="arial" w:cs="arial"/>
          <w:color w:val="000000"/>
          <w:sz w:val="20"/>
          <w:lang w:val="en-US" w:eastAsia="en-US" w:bidi="ar-SA"/>
        </w:rPr>
        <w:t>  Road building opens up areas to industrial and recreational use. The consequence is an increase in wildlife mortality and species decline. There is also the risk of direct collision with animals and machinery. Roads can lead to increased competition between species and to habitat fragmentation which restricts habitat movements. Some animals are not comfortable moving without cover; others will use the roads placing themselves at increased risk. It can take decades for a road to disappear as forests have difficulty in regenerating where the soil has been compacted.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1279</w:t>
      </w:r>
      <w:r>
        <w:rPr>
          <w:rFonts w:ascii="arial" w:eastAsia="arial" w:hAnsi="arial" w:cs="arial"/>
          <w:color w:val="000000"/>
          <w:sz w:val="20"/>
          <w:lang w:val="en-US" w:eastAsia="en-US" w:bidi="ar-SA"/>
        </w:rPr>
        <w:t>  Dry climate and poor soil make regeneration in parts of the Claim Area very difficult. Tree removal directly impacts the size and productivity of wildlife habitats and it can take decades for regeneration to reach a level that is again suitable for wildlife habitat.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1280</w:t>
      </w:r>
      <w:r>
        <w:rPr>
          <w:rFonts w:ascii="arial" w:eastAsia="arial" w:hAnsi="arial" w:cs="arial"/>
          <w:color w:val="000000"/>
          <w:sz w:val="20"/>
          <w:lang w:val="en-US" w:eastAsia="en-US" w:bidi="ar-SA"/>
        </w:rPr>
        <w:t>  Silviculture activities are designed to increase productivity of selected trees by reducing competition for light, water and soil nutrients. Thinning and other silviculture practices are designed to increase the production of wood fibre. The higher stem densities in natural growth pine forests create a preferred habitat for snowshoe hare. This is a key species that is depended upon by fisher, marten and lynx. Thus, a highly productive pine forest enjoying all the benefits of modern silviculture practices is not an appropriate habitat for some wildlife species.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1281</w:t>
      </w:r>
      <w:r>
        <w:rPr>
          <w:rFonts w:ascii="arial" w:eastAsia="arial" w:hAnsi="arial" w:cs="arial"/>
          <w:color w:val="000000"/>
          <w:sz w:val="20"/>
          <w:lang w:val="en-US" w:eastAsia="en-US" w:bidi="ar-SA"/>
        </w:rPr>
        <w:t>  Coarse woody debris is the term applied to snags (standing dead trees), logs and stumps that occur naturally in a forest. In the context of forest harvesting, it also refers to the detritus created during harvesting and is thus inclusive of branches, roots and non-merchantable logs. Coarse woody debris is an important component in forest habitat, providing resting and den sites, access points to areas below the snow, and cover from avian predators. Large, standing snags provide den sites for furbearers and bird species.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1282</w:t>
      </w:r>
      <w:r>
        <w:rPr>
          <w:rFonts w:ascii="arial" w:eastAsia="arial" w:hAnsi="arial" w:cs="arial"/>
          <w:color w:val="000000"/>
          <w:sz w:val="20"/>
          <w:lang w:val="en-US" w:eastAsia="en-US" w:bidi="ar-SA"/>
        </w:rPr>
        <w:t>  There is tension between the economic interests and administrative burdens imposed on the forest industry, and the need to leave sufficient coarse, woody debris after harvesting to meet the needs of wildlife that require suitable habitat. Fines are imposed when harvesting activities leave too much wood on the ground; foresters are pressured to leave a "clean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1283</w:t>
      </w:r>
      <w:r>
        <w:rPr>
          <w:rFonts w:ascii="arial" w:eastAsia="arial" w:hAnsi="arial" w:cs="arial"/>
          <w:color w:val="000000"/>
          <w:sz w:val="20"/>
          <w:lang w:val="en-US" w:eastAsia="en-US" w:bidi="ar-SA"/>
        </w:rPr>
        <w:t>  Logging also impacts an area's hydrology. Clear cuts change the patterns of snow accumulation and melt. They increase annual water yields, change the timing and amount of peak flows, and increase late summer soil moisture and stream flow due to reduced summer evapotranspiration. Soil compaction from heavy machinery also reduces the infiltration capacity of the soil and increases run-off from rain and snow melt.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1284</w:t>
      </w:r>
      <w:r>
        <w:rPr>
          <w:rFonts w:ascii="arial" w:eastAsia="arial" w:hAnsi="arial" w:cs="arial"/>
          <w:color w:val="000000"/>
          <w:sz w:val="20"/>
          <w:lang w:val="en-US" w:eastAsia="en-US" w:bidi="ar-SA"/>
        </w:rPr>
        <w:t>  Roads and ditches change the hydrological regime resulting in a faster stream response to snow melt and rainfall. Increased peak flows affect fish-spawning habitat. An increase in sediment deposits in lakes and wetlands can also have a negative impact on aquatic and riparian species that live in these areas.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1285</w:t>
      </w:r>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Ministry of Forests and Range Act,</w:t>
      </w:r>
      <w:r>
        <w:rPr>
          <w:rFonts w:ascii="arial" w:eastAsia="arial" w:hAnsi="arial" w:cs="arial"/>
          <w:color w:val="000000"/>
          <w:sz w:val="20"/>
          <w:lang w:val="en-US" w:eastAsia="en-US" w:bidi="ar-SA"/>
        </w:rPr>
        <w:t xml:space="preserve"> </w:t>
      </w:r>
      <w:hyperlink r:id="rId730" w:history="1">
        <w:r>
          <w:rPr>
            <w:rFonts w:ascii="arial" w:eastAsia="arial" w:hAnsi="arial" w:cs="arial"/>
            <w:i/>
            <w:color w:val="0077CC"/>
            <w:sz w:val="20"/>
            <w:u w:val="single"/>
            <w:shd w:val="clear" w:color="auto" w:fill="FFFFFF"/>
            <w:lang w:val="en-US" w:eastAsia="en-US" w:bidi="ar-SA"/>
          </w:rPr>
          <w:t>R.S.B.C. 1996, c. 300, s. 4</w:t>
        </w:r>
      </w:hyperlink>
      <w:r>
        <w:rPr>
          <w:rFonts w:ascii="arial" w:eastAsia="arial" w:hAnsi="arial" w:cs="arial"/>
          <w:color w:val="000000"/>
          <w:sz w:val="20"/>
          <w:lang w:val="en-US" w:eastAsia="en-US" w:bidi="ar-SA"/>
        </w:rPr>
        <w:t xml:space="preserve">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purposes and functions of the ministry are, under the direction of the minister, to do the following:</w:t>
      </w:r>
    </w:p>
    <w:p>
      <w:pPr>
        <w:numPr>
          <w:numId w:val="2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encourage maximum productivity of the forest and range resources in British Columbia;</w:t>
      </w:r>
    </w:p>
    <w:p>
      <w:pPr>
        <w:numPr>
          <w:numId w:val="2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manage, protect and conserve the forest and range resources of the government, having regard to the immediate and long term economic and social benefits they may confer on British Columbia;</w:t>
      </w:r>
    </w:p>
    <w:p>
      <w:pPr>
        <w:numPr>
          <w:numId w:val="2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plan the use of the forest and range resources of the government, so that the production of timber and forage, the harvesting of timber, the grazing of livestock and the realization of fisheries, wildlife, water, outdoor recreation and other natural resource values are coordinated and integrated, in consultation and cooperation with other ministries and agencies of the government and with the private sector;</w:t>
      </w:r>
    </w:p>
    <w:p>
      <w:pPr>
        <w:numPr>
          <w:numId w:val="2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encourage a vigorous, efficient and world competitive</w:t>
      </w:r>
    </w:p>
    <w:p>
      <w:pPr>
        <w:numPr>
          <w:numId w:val="2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timber processing industry, and</w:t>
      </w:r>
    </w:p>
    <w:p>
      <w:pPr>
        <w:numPr>
          <w:numId w:val="2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ranging sector in British Columbia;</w:t>
      </w:r>
    </w:p>
    <w:p>
      <w:pPr>
        <w:numPr>
          <w:numId w:val="2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assert the financial interest of the government in its forest and range resources in a systematic and equitable manner.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1286</w:t>
      </w:r>
      <w:r>
        <w:rPr>
          <w:rFonts w:ascii="arial" w:eastAsia="arial" w:hAnsi="arial" w:cs="arial"/>
          <w:color w:val="000000"/>
          <w:sz w:val="20"/>
          <w:lang w:val="en-US" w:eastAsia="en-US" w:bidi="ar-SA"/>
        </w:rPr>
        <w:t>  Despite the presence of s. 4(c), there is no doubt that the Ministry seeks to maximize the economic return from provincial forests. On the evidence I heard during this trial, the protection and preservation of wildlife for the continued well-being of Aboriginal people is very low on the scale of priorities.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1287</w:t>
      </w:r>
      <w:r>
        <w:rPr>
          <w:rFonts w:ascii="arial" w:eastAsia="arial" w:hAnsi="arial" w:cs="arial"/>
          <w:color w:val="000000"/>
          <w:sz w:val="20"/>
          <w:lang w:val="en-US" w:eastAsia="en-US" w:bidi="ar-SA"/>
        </w:rPr>
        <w:t>  There is wide diversity in the wildlife found in the Claim Area. This diversity creates a demand for differing habitat. Wildlife in the Claim Area includes horses, marten, fisher, wolverine, river otter, mink, long tailed weasel, short tailed weasel (ermine), lynx, bobcat, mountain lion, mule deer, moose, California big sheep, mountain goat, snowshoe hare, red squirrel, northern flying squirrel, beaver, muskrat, grizzly bear, black bear, grey wolf, and voles. All of these species are dependant on forest cover. They are also dependant on each other. For example, marten will feed on voles, mountain lion on ungulates, in particular the mule deer, and lynx will feed on snowshoe hares. The maintenance and well being of this delicate interdependency rests on sufficient forest habitat.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1288</w:t>
      </w:r>
      <w:r>
        <w:rPr>
          <w:rFonts w:ascii="arial" w:eastAsia="arial" w:hAnsi="arial" w:cs="arial"/>
          <w:color w:val="000000"/>
          <w:sz w:val="20"/>
          <w:lang w:val="en-US" w:eastAsia="en-US" w:bidi="ar-SA"/>
        </w:rPr>
        <w:t xml:space="preserve">  Forest harvesting activities would injuriously affect the Tsilhqot'in right to hunt and trap in the Claim Area. The repercussions with respect to wildlife diversity and destruction of habitat are an unreasonable limitation on that right. For these reasons, I conclude that forest harvesting activities are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infringement on Tsilhqot'in hunting and trapping rights and thus demand justification.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 JUSTIFICATION OF INFRINGEMENTS OF ABORIGINAL RIGHTS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1289</w:t>
      </w:r>
      <w:r>
        <w:rPr>
          <w:rFonts w:ascii="arial" w:eastAsia="arial" w:hAnsi="arial" w:cs="arial"/>
          <w:color w:val="000000"/>
          <w:sz w:val="20"/>
          <w:lang w:val="en-US" w:eastAsia="en-US" w:bidi="ar-SA"/>
        </w:rPr>
        <w:t>  British Columbia's forestry legislation is constitutionally applicable to land over which the Tsilhqot'in people have Aboriginal rights to hunt, trap and trade. The application of that legislation infringes those rights. I now turn to a consideration of whether that infringement is justified.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1290</w:t>
      </w:r>
      <w:r>
        <w:rPr>
          <w:rFonts w:ascii="arial" w:eastAsia="arial" w:hAnsi="arial" w:cs="arial"/>
          <w:color w:val="000000"/>
          <w:sz w:val="20"/>
          <w:lang w:val="en-US" w:eastAsia="en-US" w:bidi="ar-SA"/>
        </w:rPr>
        <w:t>  I have already noted that a legislative scheme that manages solely for timber with all other values as a constraint on that objective can be expected to raise severe challenges when called upon to strike a balance between Aboriginal rights and the economic interests of the larger society.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1291</w:t>
      </w:r>
      <w:r>
        <w:rPr>
          <w:rFonts w:ascii="arial" w:eastAsia="arial" w:hAnsi="arial" w:cs="arial"/>
          <w:color w:val="000000"/>
          <w:sz w:val="20"/>
          <w:lang w:val="en-US" w:eastAsia="en-US" w:bidi="ar-SA"/>
        </w:rPr>
        <w:t xml:space="preserve">  Recognizing Aboriginal rights to hunt and trap over an area means wildlife and habitat must be managed to ensure a continuation of those rights. Section 35(1) of the </w:t>
      </w:r>
      <w:r>
        <w:rPr>
          <w:rFonts w:ascii="arial" w:eastAsia="arial" w:hAnsi="arial" w:cs="arial"/>
          <w:b/>
          <w:i/>
          <w:color w:val="000000"/>
          <w:sz w:val="20"/>
          <w:lang w:val="en-US" w:eastAsia="en-US" w:bidi="ar-SA"/>
        </w:rPr>
        <w:t>Constitution Act, 1982</w:t>
      </w:r>
      <w:r>
        <w:rPr>
          <w:rFonts w:ascii="arial" w:eastAsia="arial" w:hAnsi="arial" w:cs="arial"/>
          <w:color w:val="000000"/>
          <w:sz w:val="20"/>
          <w:lang w:val="en-US" w:eastAsia="en-US" w:bidi="ar-SA"/>
        </w:rPr>
        <w:t xml:space="preserve"> demands that the protection of those rights is a paramount objective. The declaration of Aboriginal rights is not intended to be hollow or short lived. Tsilhqot'in Aboriginal rights grew out of the pre-contact society of Tsilhqot'in people. This historical right is intended to survive for the benefit of future generations of Tsilhqot'in people.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1292</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Gladstone</w:t>
      </w:r>
      <w:r>
        <w:rPr>
          <w:rFonts w:ascii="arial" w:eastAsia="arial" w:hAnsi="arial" w:cs="arial"/>
          <w:color w:val="000000"/>
          <w:sz w:val="20"/>
          <w:lang w:val="en-US" w:eastAsia="en-US" w:bidi="ar-SA"/>
        </w:rPr>
        <w:t xml:space="preserve"> the Court offered the following guidance on assessing the reasonableness of government actions at para. 63: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content of this priority - something less than exclusivity but which nonetheless gives priority to the aboriginal right - must remain somewhat vague pending consideration of the government's actions in specific cases. ... priority under </w:t>
      </w:r>
      <w:r>
        <w:rPr>
          <w:rFonts w:ascii="arial" w:eastAsia="arial" w:hAnsi="arial" w:cs="arial"/>
          <w:i/>
          <w:color w:val="000000"/>
          <w:sz w:val="20"/>
          <w:lang w:val="en-US" w:eastAsia="en-US" w:bidi="ar-SA"/>
        </w:rPr>
        <w:t>Sparrow'</w:t>
      </w:r>
      <w:r>
        <w:rPr>
          <w:rFonts w:ascii="arial" w:eastAsia="arial" w:hAnsi="arial" w:cs="arial"/>
          <w:color w:val="000000"/>
          <w:sz w:val="20"/>
          <w:lang w:val="en-US" w:eastAsia="en-US" w:bidi="ar-SA"/>
        </w:rPr>
        <w:t xml:space="preserve">s justification test cannot be assessed against a precise standard but must rather be assessed in each case to determine whether the government has acted in a fashion which reflects that it has truly taken into account the existence of aboriginal rights. Under the minimal impairment branch of the </w:t>
      </w:r>
      <w:r>
        <w:rPr>
          <w:rFonts w:ascii="arial" w:eastAsia="arial" w:hAnsi="arial" w:cs="arial"/>
          <w:i/>
          <w:color w:val="000000"/>
          <w:sz w:val="20"/>
          <w:lang w:val="en-US" w:eastAsia="en-US" w:bidi="ar-SA"/>
        </w:rPr>
        <w:t>Oakes</w:t>
      </w:r>
      <w:r>
        <w:rPr>
          <w:rFonts w:ascii="arial" w:eastAsia="arial" w:hAnsi="arial" w:cs="arial"/>
          <w:color w:val="000000"/>
          <w:sz w:val="20"/>
          <w:lang w:val="en-US" w:eastAsia="en-US" w:bidi="ar-SA"/>
        </w:rPr>
        <w:t xml:space="preserve"> test (</w:t>
      </w:r>
      <w:r>
        <w:rPr>
          <w:rFonts w:ascii="arial" w:eastAsia="arial" w:hAnsi="arial" w:cs="arial"/>
          <w:i/>
          <w:color w:val="000000"/>
          <w:sz w:val="20"/>
          <w:lang w:val="en-US" w:eastAsia="en-US" w:bidi="ar-SA"/>
        </w:rPr>
        <w:t>R. v. Oakes</w:t>
      </w:r>
      <w:r>
        <w:rPr>
          <w:rFonts w:ascii="arial" w:eastAsia="arial" w:hAnsi="arial" w:cs="arial"/>
          <w:color w:val="000000"/>
          <w:sz w:val="20"/>
          <w:lang w:val="en-US" w:eastAsia="en-US" w:bidi="ar-SA"/>
        </w:rPr>
        <w:t xml:space="preserve">, </w:t>
      </w:r>
      <w:hyperlink r:id="rId731" w:history="1">
        <w:r>
          <w:rPr>
            <w:rFonts w:ascii="arial" w:eastAsia="arial" w:hAnsi="arial" w:cs="arial"/>
            <w:i/>
            <w:color w:val="0077CC"/>
            <w:sz w:val="20"/>
            <w:u w:val="single"/>
            <w:shd w:val="clear" w:color="auto" w:fill="FFFFFF"/>
            <w:lang w:val="en-US" w:eastAsia="en-US" w:bidi="ar-SA"/>
          </w:rPr>
          <w:t>[1986] 1 S.C.R. 103</w:t>
        </w:r>
      </w:hyperlink>
      <w:r>
        <w:rPr>
          <w:rFonts w:ascii="arial" w:eastAsia="arial" w:hAnsi="arial" w:cs="arial"/>
          <w:color w:val="000000"/>
          <w:sz w:val="20"/>
          <w:lang w:val="en-US" w:eastAsia="en-US" w:bidi="ar-SA"/>
        </w:rPr>
        <w:t>), where the government is balancing the interests of competing groups, the court does not scrutinize the government's actions so as to determine whether the government took the least rights-impairing action possible; instead the court considers the reasonableness of the government's actions, taking into account the need to assess "conflicting scientific evidence and differing justified demands on scarce resources" (</w:t>
      </w:r>
      <w:r>
        <w:rPr>
          <w:rFonts w:ascii="arial" w:eastAsia="arial" w:hAnsi="arial" w:cs="arial"/>
          <w:i/>
          <w:color w:val="000000"/>
          <w:sz w:val="20"/>
          <w:lang w:val="en-US" w:eastAsia="en-US" w:bidi="ar-SA"/>
        </w:rPr>
        <w:t>Irwin Toy</w:t>
      </w:r>
      <w:r>
        <w:rPr>
          <w:rFonts w:ascii="arial" w:eastAsia="arial" w:hAnsi="arial" w:cs="arial"/>
          <w:color w:val="000000"/>
          <w:sz w:val="20"/>
          <w:lang w:val="en-US" w:eastAsia="en-US" w:bidi="ar-SA"/>
        </w:rPr>
        <w:t xml:space="preserve">, </w:t>
      </w:r>
      <w:hyperlink r:id="rId732" w:history="1">
        <w:r>
          <w:rPr>
            <w:rFonts w:ascii="arial" w:eastAsia="arial" w:hAnsi="arial" w:cs="arial"/>
            <w:i/>
            <w:color w:val="0077CC"/>
            <w:sz w:val="20"/>
            <w:u w:val="single"/>
            <w:shd w:val="clear" w:color="auto" w:fill="FFFFFF"/>
            <w:lang w:val="en-US" w:eastAsia="en-US" w:bidi="ar-SA"/>
          </w:rPr>
          <w:t>[1989] 1 S.C.R. 927</w:t>
        </w:r>
      </w:hyperlink>
      <w:r>
        <w:rPr>
          <w:rFonts w:ascii="arial" w:eastAsia="arial" w:hAnsi="arial" w:cs="arial"/>
          <w:color w:val="000000"/>
          <w:sz w:val="20"/>
          <w:lang w:val="en-US" w:eastAsia="en-US" w:bidi="ar-SA"/>
        </w:rPr>
        <w:t xml:space="preserve"> at p. 993). Similarly, under </w:t>
      </w:r>
      <w:r>
        <w:rPr>
          <w:rFonts w:ascii="arial" w:eastAsia="arial" w:hAnsi="arial" w:cs="arial"/>
          <w:i/>
          <w:color w:val="000000"/>
          <w:sz w:val="20"/>
          <w:lang w:val="en-US" w:eastAsia="en-US" w:bidi="ar-SA"/>
        </w:rPr>
        <w:t>Sparrow</w:t>
      </w:r>
      <w:r>
        <w:rPr>
          <w:rFonts w:ascii="arial" w:eastAsia="arial" w:hAnsi="arial" w:cs="arial"/>
          <w:color w:val="000000"/>
          <w:sz w:val="20"/>
          <w:lang w:val="en-US" w:eastAsia="en-US" w:bidi="ar-SA"/>
        </w:rPr>
        <w:t>'s priority doctrine, where the aboriginal right to be given priority is one without internal limitation, courts should assess the government's actions not to see whether the government has given exclusivity to that right (the least drastic means) but rather to determine whether the government has taken into account the existence and importance of such rights.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1293</w:t>
      </w:r>
      <w:r>
        <w:rPr>
          <w:rFonts w:ascii="arial" w:eastAsia="arial" w:hAnsi="arial" w:cs="arial"/>
          <w:color w:val="000000"/>
          <w:sz w:val="20"/>
          <w:lang w:val="en-US" w:eastAsia="en-US" w:bidi="ar-SA"/>
        </w:rPr>
        <w:t>  At present, British Columbia does not have a database that provides information on the individual species of wildlife or their numbers in the Claim Area. The Province has not conducted a needs analysis which would inform decision makers on the needs of the Tsilhqot'in people related to their hunting, trapping and trading rights. Such an analysis would ensure those needs are addressed when planning and conducting forestry activities. The absence of a database or a needs analysis indicates that Tsilhqot'in Aboriginal rights in the Claim Area are not a priority with respect to timber harvesting and other forestry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1294</w:t>
      </w:r>
      <w:r>
        <w:rPr>
          <w:rFonts w:ascii="arial" w:eastAsia="arial" w:hAnsi="arial" w:cs="arial"/>
          <w:color w:val="000000"/>
          <w:sz w:val="20"/>
          <w:lang w:val="en-US" w:eastAsia="en-US" w:bidi="ar-SA"/>
        </w:rPr>
        <w:t>  Tsilhqot'in Aboriginal rights to hunt and trap in the Claim Area must have some meaning. A management scheme that manages solely for maximizing timber values is no longer viable where it has the potential to severely and unnecessarily impact Tsilhqot'in Aboriginal rights. To justify harvesting activities in the Claim Area, including silviculture activities, British Columbia must have sufficient credible information to allow a proper assessment of the impact on the wildlife in the area. In the absence of such information, forestry activities are an unjustified infringement of Tsilhqot'in Aboriginal rights in the Claim Area. As I mentioned earlier, the Province did engage in consultation with the Tsilhqot'in people. However, this consultation did not acknowledge Tsilhqot'in Aboriginal rights. Therefore, it could not and did not justify the infringements of those rights.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 FORESTRY REGIME - SUSTAINABILITY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1295</w:t>
      </w:r>
      <w:r>
        <w:rPr>
          <w:rFonts w:ascii="arial" w:eastAsia="arial" w:hAnsi="arial" w:cs="arial"/>
          <w:color w:val="000000"/>
          <w:sz w:val="20"/>
          <w:lang w:val="en-US" w:eastAsia="en-US" w:bidi="ar-SA"/>
        </w:rPr>
        <w:t>  While the relief sought relates to Aboriginal rights, including Aboriginal title, this case had its genesis in the forests of the Claim Area. The initial flash point was clear-cut logging in the Western Trapline territory. This was followed by a blockade at Henry's Crossing where a forest company was preparing to log areas of Tachelach'ed (Brittany Triangle). The claims made here were initially launched to stop the logging for essentially three reasons. First, the proposed logging was to take place on land which Tsilhqot'in people believe they hold title and rights. Second, Tsilhqot'in people felt that any logging would be a taking of their property. Third, any logging would have a severe impact on the wildlife and accordingly, on Tsilhqot'in hunting and trapping activities. Eventually, a claim was added to seek compensation for the timber removed over the past decades.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1296</w:t>
      </w:r>
      <w:r>
        <w:rPr>
          <w:rFonts w:ascii="arial" w:eastAsia="arial" w:hAnsi="arial" w:cs="arial"/>
          <w:color w:val="000000"/>
          <w:sz w:val="20"/>
          <w:lang w:val="en-US" w:eastAsia="en-US" w:bidi="ar-SA"/>
        </w:rPr>
        <w:t>  Dr. Kimmins provided the court with a helpful report entitled "Sustainability in the Xeni Gwet'in Claim Area" (15 March 2006). Dr. Kimmins stated at p. 17: It is an article of faith for most foresters that they are practicing sustainable management. For most of the history of forestry this has mainly meant timber management, although the historical origins of forestry were as much concerned with sustaining wildlife species (mainly game species) or water supplies.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1297</w:t>
      </w:r>
      <w:r>
        <w:rPr>
          <w:rFonts w:ascii="arial" w:eastAsia="arial" w:hAnsi="arial" w:cs="arial"/>
          <w:color w:val="000000"/>
          <w:sz w:val="20"/>
          <w:lang w:val="en-US" w:eastAsia="en-US" w:bidi="ar-SA"/>
        </w:rPr>
        <w:t>  The forests of the Claim Area are largely comprised of pine, spruce and Douglas fir species. The most prevalent species is pine. The report noted at p. 36 that "[f]ire has historically been the major disturbance factor over much of the Chilcotin plateau". In the result, there emerged large areas of "relatively pure, even aged lodgepole pine". Dr. Kimmins pointed out at p. 36: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Fire exclusion or reduction over the past 50 years, coupled with a relaxation of one of the major controls of the mountain pine beetle (MPB) - low winter temperatures - has altered this situation. The largest epidemic of MPB in recorded history or memory has affected many millions of hectares of pine forest in the interior of B.C. This epidemic has grown to the point at which the traditional prime target of the beetle - large old lodgepole pine trees - has been modified to include younger trees, which means that younger forest and regenerating trees are also being attacked.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1298</w:t>
      </w:r>
      <w:r>
        <w:rPr>
          <w:rFonts w:ascii="arial" w:eastAsia="arial" w:hAnsi="arial" w:cs="arial"/>
          <w:color w:val="000000"/>
          <w:sz w:val="20"/>
          <w:lang w:val="en-US" w:eastAsia="en-US" w:bidi="ar-SA"/>
        </w:rPr>
        <w:t>  It is clear the pine forests will be lost unless there is a return to colder winters, a prospect that seems unlikely in this age of global warming. Thus, the forest cover will be in transition for generations, posing new challenges for those who seek sustainable management of this resource. Dr. Kimmins pointed out at p. 9 that "[i]n common with many aspects of forest ecosystems - such as ecosystem integrity, health, and biodiversity - there are many dimensions to the concept of sustainability". He elaborated on some of the features of sustainability at pp. 15-17, as follows:</w:t>
      </w:r>
      <w:r>
        <w:rPr>
          <w:rFonts w:ascii="arial" w:eastAsia="arial" w:hAnsi="arial" w:cs="arial"/>
          <w:sz w:val="20"/>
          <w:lang w:val="en-US" w:eastAsia="en-US" w:bidi="ar-SA"/>
        </w:rPr>
        <w:cr/>
      </w:r>
    </w:p>
    <w:p>
      <w:pPr>
        <w:numPr>
          <w:numId w:val="2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sustainability does not refer to a lack of change, as humans and the environment are in a constant state of flux;</w:t>
      </w:r>
    </w:p>
    <w:p>
      <w:pPr>
        <w:numPr>
          <w:numId w:val="27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concept of sustainability includes the biological components of ecosystems (i.e. plants, animals, microbes) as well as the physical components of ecosystems (i.e. soil, geology, topography, climate, physical disturbance factors). In addition, the meaning of sustainability encompasses and is affected by ever-changing human social values (i.e. health, standards of living, spirituality, happiness, culture);</w:t>
      </w:r>
    </w:p>
    <w:p>
      <w:pPr>
        <w:numPr>
          <w:numId w:val="27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sustainability must reflect the fact that the types of species that live within ecosystems, as well as ecosystem structures, are constantly changing for a variety of reasons;</w:t>
      </w:r>
    </w:p>
    <w:p>
      <w:pPr>
        <w:numPr>
          <w:numId w:val="27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sustainability should be assessed at the larger "landscape-level", rather than at the "stand-level" in order to "encompass the spatial scale of the major disturbances that characterize that ecological region";</w:t>
      </w:r>
    </w:p>
    <w:p>
      <w:pPr>
        <w:numPr>
          <w:numId w:val="27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sustainability must be assessed on a long-term basis;</w:t>
      </w:r>
    </w:p>
    <w:p>
      <w:pPr>
        <w:numPr>
          <w:numId w:val="27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sustainability will be impossible to achieve if the human population continues to grow, and/or there is an ongoing increase in the per capita impact of humans on the environment;</w:t>
      </w:r>
    </w:p>
    <w:p>
      <w:pPr>
        <w:numPr>
          <w:numId w:val="27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sustainability cannot occur if we maintain our dependence on non-renewable energy and other resources.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1299</w:t>
      </w:r>
      <w:r>
        <w:rPr>
          <w:rFonts w:ascii="arial" w:eastAsia="arial" w:hAnsi="arial" w:cs="arial"/>
          <w:color w:val="000000"/>
          <w:sz w:val="20"/>
          <w:lang w:val="en-US" w:eastAsia="en-US" w:bidi="ar-SA"/>
        </w:rPr>
        <w:t>  At p. 39 of his report, Dr. Kimmins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approach to biophysical sustainability popular in British Columbia today is dominated by the "coarse filter" approach of managing forest to create a landscape mosaic of stand ages and conditions in a pattern that it is hoped will provide for the habitat needs of native wildlife. The difficulty with this is that it is unlikely that any particular landscape pattern is ever repeated over time under the influence of natural disturbance. While repeatable patterns do occur as a result of soil, topography and stand conditions that influence the landscape pattern of average severity future disturbances, under severe fire conditions and major insect epidemics disturbance appears to ignore the existing patterns. Thus, while a particular pattern may persist through a few disturbance cycles, the periodic severe disturbance events that occur, and may occur with increasing frequency as climates change, will reset the landscape pattern. The present MPB outbreak is an example of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1300</w:t>
      </w:r>
      <w:r>
        <w:rPr>
          <w:rFonts w:ascii="arial" w:eastAsia="arial" w:hAnsi="arial" w:cs="arial"/>
          <w:color w:val="000000"/>
          <w:sz w:val="20"/>
          <w:lang w:val="en-US" w:eastAsia="en-US" w:bidi="ar-SA"/>
        </w:rPr>
        <w:t>  Dr. Kimmins also noted at p. 38 that continual change in the western Chilcotin area has "rendered definition of sustainability complex; the values that are to be sustained have changed. Values that the First Nations would have sought included game species for food and furs, fish, medicinal plants, fungi, and other tree-related and non-tree values." With the arrival of European settlers, other values intervened.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1301</w:t>
      </w:r>
      <w:r>
        <w:rPr>
          <w:rFonts w:ascii="arial" w:eastAsia="arial" w:hAnsi="arial" w:cs="arial"/>
          <w:color w:val="000000"/>
          <w:sz w:val="20"/>
          <w:lang w:val="en-US" w:eastAsia="en-US" w:bidi="ar-SA"/>
        </w:rPr>
        <w:t>  My assessment of the evidence leads me to conclude that provincial foresters do practice sustainable management, within a narrow definition of sustainability. The main focus is on timber management and sustainability of the forest resource. Other government Ministries and agencies focus on other sustainability issues such as environment, land, wildlife and water. There is no single government agency that views sustainability through a broad lens, taking into account the values of the people affected by government decisions. Any model of sustainability that is driven solely by an economic engine is deficient if it is incapable of taking into account social values. This is particularly true where the model of sustainability affects Aboriginal people whose social values are so intricately connected to the 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 FIDUCIARY DUTY/HONOUR OF THE CROWN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1302</w:t>
      </w:r>
      <w:r>
        <w:rPr>
          <w:rFonts w:ascii="arial" w:eastAsia="arial" w:hAnsi="arial" w:cs="arial"/>
          <w:color w:val="000000"/>
          <w:sz w:val="20"/>
          <w:lang w:val="en-US" w:eastAsia="en-US" w:bidi="ar-SA"/>
        </w:rPr>
        <w:t xml:space="preserve">  Both the plaintiff and British Columbia advanced arguments on the subject of breach of fiduciary duty and the honour of the Crown. In </w:t>
      </w:r>
      <w:r>
        <w:rPr>
          <w:rFonts w:ascii="arial" w:eastAsia="arial" w:hAnsi="arial" w:cs="arial"/>
          <w:b/>
          <w:i/>
          <w:color w:val="000000"/>
          <w:sz w:val="20"/>
          <w:lang w:val="en-US" w:eastAsia="en-US" w:bidi="ar-SA"/>
        </w:rPr>
        <w:t>Blueberry River Indian Band v. Canada</w:t>
      </w:r>
      <w:r>
        <w:rPr>
          <w:rFonts w:ascii="arial" w:eastAsia="arial" w:hAnsi="arial" w:cs="arial"/>
          <w:color w:val="000000"/>
          <w:sz w:val="20"/>
          <w:lang w:val="en-US" w:eastAsia="en-US" w:bidi="ar-SA"/>
        </w:rPr>
        <w:t xml:space="preserve">, </w:t>
      </w:r>
      <w:hyperlink r:id="rId733" w:history="1">
        <w:r>
          <w:rPr>
            <w:rFonts w:ascii="arial" w:eastAsia="arial" w:hAnsi="arial" w:cs="arial"/>
            <w:i/>
            <w:color w:val="0077CC"/>
            <w:sz w:val="20"/>
            <w:u w:val="single"/>
            <w:shd w:val="clear" w:color="auto" w:fill="FFFFFF"/>
            <w:lang w:val="en-US" w:eastAsia="en-US" w:bidi="ar-SA"/>
          </w:rPr>
          <w:t>[1995] 4 S.C.R. 344</w:t>
        </w:r>
      </w:hyperlink>
      <w:r>
        <w:rPr>
          <w:rFonts w:ascii="arial" w:eastAsia="arial" w:hAnsi="arial" w:cs="arial"/>
          <w:color w:val="000000"/>
          <w:sz w:val="20"/>
          <w:lang w:val="en-US" w:eastAsia="en-US" w:bidi="ar-SA"/>
        </w:rPr>
        <w:t>, McLachlin J. (as she then was), writing on behalf of the minority, provided the following explanation for the basis of a fiduciary relationship at para. 38: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Generally speaking, a fiduciary obligation arises where one person possesses unilateral power or discretion on a matter affecting a second "peculiarly vulnerable" person: see </w:t>
      </w:r>
      <w:r>
        <w:rPr>
          <w:rFonts w:ascii="arial" w:eastAsia="arial" w:hAnsi="arial" w:cs="arial"/>
          <w:i/>
          <w:color w:val="000000"/>
          <w:sz w:val="20"/>
          <w:lang w:val="en-US" w:eastAsia="en-US" w:bidi="ar-SA"/>
        </w:rPr>
        <w:t>Frame v. Smith</w:t>
      </w:r>
      <w:r>
        <w:rPr>
          <w:rFonts w:ascii="arial" w:eastAsia="arial" w:hAnsi="arial" w:cs="arial"/>
          <w:color w:val="000000"/>
          <w:sz w:val="20"/>
          <w:lang w:val="en-US" w:eastAsia="en-US" w:bidi="ar-SA"/>
        </w:rPr>
        <w:t xml:space="preserve">, </w:t>
      </w:r>
      <w:hyperlink r:id="rId52" w:history="1">
        <w:r>
          <w:rPr>
            <w:rFonts w:ascii="arial" w:eastAsia="arial" w:hAnsi="arial" w:cs="arial"/>
            <w:i/>
            <w:color w:val="0077CC"/>
            <w:sz w:val="20"/>
            <w:u w:val="single"/>
            <w:shd w:val="clear" w:color="auto" w:fill="FFFFFF"/>
            <w:lang w:val="en-US" w:eastAsia="en-US" w:bidi="ar-SA"/>
          </w:rPr>
          <w:t>[1987] 2 S.C.R. 99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Norberg v. Wynrib</w:t>
      </w:r>
      <w:r>
        <w:rPr>
          <w:rFonts w:ascii="arial" w:eastAsia="arial" w:hAnsi="arial" w:cs="arial"/>
          <w:color w:val="000000"/>
          <w:sz w:val="20"/>
          <w:lang w:val="en-US" w:eastAsia="en-US" w:bidi="ar-SA"/>
        </w:rPr>
        <w:t xml:space="preserve">, </w:t>
      </w:r>
      <w:hyperlink r:id="rId449" w:history="1">
        <w:r>
          <w:rPr>
            <w:rFonts w:ascii="arial" w:eastAsia="arial" w:hAnsi="arial" w:cs="arial"/>
            <w:i/>
            <w:color w:val="0077CC"/>
            <w:sz w:val="20"/>
            <w:u w:val="single"/>
            <w:shd w:val="clear" w:color="auto" w:fill="FFFFFF"/>
            <w:lang w:val="en-US" w:eastAsia="en-US" w:bidi="ar-SA"/>
          </w:rPr>
          <w:t>[1992] 2 S.C.R. 226</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Hodgkinson v. Simms</w:t>
      </w:r>
      <w:r>
        <w:rPr>
          <w:rFonts w:ascii="arial" w:eastAsia="arial" w:hAnsi="arial" w:cs="arial"/>
          <w:color w:val="000000"/>
          <w:sz w:val="20"/>
          <w:lang w:val="en-US" w:eastAsia="en-US" w:bidi="ar-SA"/>
        </w:rPr>
        <w:t xml:space="preserve">, </w:t>
      </w:r>
      <w:hyperlink r:id="rId53" w:history="1">
        <w:r>
          <w:rPr>
            <w:rFonts w:ascii="arial" w:eastAsia="arial" w:hAnsi="arial" w:cs="arial"/>
            <w:i/>
            <w:color w:val="0077CC"/>
            <w:sz w:val="20"/>
            <w:u w:val="single"/>
            <w:shd w:val="clear" w:color="auto" w:fill="FFFFFF"/>
            <w:lang w:val="en-US" w:eastAsia="en-US" w:bidi="ar-SA"/>
          </w:rPr>
          <w:t>[1994] 3 S.C.R. 377</w:t>
        </w:r>
      </w:hyperlink>
      <w:r>
        <w:rPr>
          <w:rFonts w:ascii="arial" w:eastAsia="arial" w:hAnsi="arial" w:cs="arial"/>
          <w:color w:val="000000"/>
          <w:sz w:val="20"/>
          <w:lang w:val="en-US" w:eastAsia="en-US" w:bidi="ar-SA"/>
        </w:rPr>
        <w:t xml:space="preserve">. The vulnerable party is in the power of the party possessing the power or discretion, who is in turn obligated to exercise that power or discretion solely for the benefit of the vulnerable party. A person cedes (or more often finds himself in the situation where someone else has ceded for him) his power over a matter to another person. The person who has ceded power </w:t>
      </w:r>
      <w:r>
        <w:rPr>
          <w:rFonts w:ascii="arial" w:eastAsia="arial" w:hAnsi="arial" w:cs="arial"/>
          <w:color w:val="000000"/>
          <w:sz w:val="20"/>
          <w:u w:val="single"/>
          <w:lang w:val="en-US" w:eastAsia="en-US" w:bidi="ar-SA"/>
        </w:rPr>
        <w:t>trusts</w:t>
      </w:r>
      <w:r>
        <w:rPr>
          <w:rFonts w:ascii="arial" w:eastAsia="arial" w:hAnsi="arial" w:cs="arial"/>
          <w:color w:val="000000"/>
          <w:sz w:val="20"/>
          <w:lang w:val="en-US" w:eastAsia="en-US" w:bidi="ar-SA"/>
        </w:rPr>
        <w:t xml:space="preserve"> the person to whom power is ceded to exercise the power with loyalty and care. This is the notion at the heart of the fiduciary obligation.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1303</w:t>
      </w:r>
      <w:r>
        <w:rPr>
          <w:rFonts w:ascii="arial" w:eastAsia="arial" w:hAnsi="arial" w:cs="arial"/>
          <w:color w:val="000000"/>
          <w:sz w:val="20"/>
          <w:lang w:val="en-US" w:eastAsia="en-US" w:bidi="ar-SA"/>
        </w:rPr>
        <w:t xml:space="preserve">  In my view, there is no need to consider breach of fiduciary duty based on the facts and context of this case. In </w:t>
      </w:r>
      <w:r>
        <w:rPr>
          <w:rFonts w:ascii="arial" w:eastAsia="arial" w:hAnsi="arial" w:cs="arial"/>
          <w:b/>
          <w:i/>
          <w:color w:val="000000"/>
          <w:sz w:val="20"/>
          <w:lang w:val="en-US" w:eastAsia="en-US" w:bidi="ar-SA"/>
        </w:rPr>
        <w:t>Wewaykum Indian Band v. Canada</w:t>
      </w:r>
      <w:r>
        <w:rPr>
          <w:rFonts w:ascii="arial" w:eastAsia="arial" w:hAnsi="arial" w:cs="arial"/>
          <w:color w:val="000000"/>
          <w:sz w:val="20"/>
          <w:lang w:val="en-US" w:eastAsia="en-US" w:bidi="ar-SA"/>
        </w:rPr>
        <w:t xml:space="preserve">, </w:t>
      </w:r>
      <w:hyperlink r:id="rId720" w:history="1">
        <w:r>
          <w:rPr>
            <w:rFonts w:ascii="arial" w:eastAsia="arial" w:hAnsi="arial" w:cs="arial"/>
            <w:i/>
            <w:color w:val="0077CC"/>
            <w:sz w:val="20"/>
            <w:u w:val="single"/>
            <w:shd w:val="clear" w:color="auto" w:fill="FFFFFF"/>
            <w:lang w:val="en-US" w:eastAsia="en-US" w:bidi="ar-SA"/>
          </w:rPr>
          <w:t>[2002] 4 S.C.R. 245</w:t>
        </w:r>
      </w:hyperlink>
      <w:r>
        <w:rPr>
          <w:rFonts w:ascii="arial" w:eastAsia="arial" w:hAnsi="arial" w:cs="arial"/>
          <w:color w:val="000000"/>
          <w:sz w:val="20"/>
          <w:lang w:val="en-US" w:eastAsia="en-US" w:bidi="ar-SA"/>
        </w:rPr>
        <w:t xml:space="preserve">, </w:t>
      </w:r>
      <w:hyperlink r:id="rId720" w:history="1">
        <w:r>
          <w:rPr>
            <w:rFonts w:ascii="arial" w:eastAsia="arial" w:hAnsi="arial" w:cs="arial"/>
            <w:i/>
            <w:color w:val="0077CC"/>
            <w:sz w:val="20"/>
            <w:u w:val="single"/>
            <w:shd w:val="clear" w:color="auto" w:fill="FFFFFF"/>
            <w:lang w:val="en-US" w:eastAsia="en-US" w:bidi="ar-SA"/>
          </w:rPr>
          <w:t>2002 SCC 79</w:t>
        </w:r>
      </w:hyperlink>
      <w:r>
        <w:rPr>
          <w:rFonts w:ascii="arial" w:eastAsia="arial" w:hAnsi="arial" w:cs="arial"/>
          <w:color w:val="000000"/>
          <w:sz w:val="20"/>
          <w:lang w:val="en-US" w:eastAsia="en-US" w:bidi="ar-SA"/>
        </w:rPr>
        <w:t>, at para. 83, the Supreme Court of Canada explained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not all obligations existing between parties to a fiduciary relationship are themselves fiduciary in nature (</w:t>
      </w:r>
      <w:r>
        <w:rPr>
          <w:rFonts w:ascii="arial" w:eastAsia="arial" w:hAnsi="arial" w:cs="arial"/>
          <w:i/>
          <w:color w:val="000000"/>
          <w:sz w:val="20"/>
          <w:lang w:val="en-US" w:eastAsia="en-US" w:bidi="ar-SA"/>
        </w:rPr>
        <w:t>Lac Minerals</w:t>
      </w:r>
      <w:r>
        <w:rPr>
          <w:rFonts w:ascii="arial" w:eastAsia="arial" w:hAnsi="arial" w:cs="arial"/>
          <w:color w:val="000000"/>
          <w:sz w:val="20"/>
          <w:lang w:val="en-US" w:eastAsia="en-US" w:bidi="ar-SA"/>
        </w:rPr>
        <w:t xml:space="preserve">, </w:t>
      </w:r>
      <w:hyperlink r:id="rId308" w:history="1">
        <w:r>
          <w:rPr>
            <w:rFonts w:ascii="arial" w:eastAsia="arial" w:hAnsi="arial" w:cs="arial"/>
            <w:i/>
            <w:color w:val="0077CC"/>
            <w:sz w:val="20"/>
            <w:u w:val="single"/>
            <w:shd w:val="clear" w:color="auto" w:fill="FFFFFF"/>
            <w:lang w:val="en-US" w:eastAsia="en-US" w:bidi="ar-SA"/>
          </w:rPr>
          <w:t>[1989] 2 S.C.R. 574</w:t>
        </w:r>
      </w:hyperlink>
      <w:r>
        <w:rPr>
          <w:rFonts w:ascii="arial" w:eastAsia="arial" w:hAnsi="arial" w:cs="arial"/>
          <w:color w:val="000000"/>
          <w:sz w:val="20"/>
          <w:lang w:val="en-US" w:eastAsia="en-US" w:bidi="ar-SA"/>
        </w:rPr>
        <w:t xml:space="preserve"> at p. 597), and that this principle applies to the relationship between the Crown and aboriginal peoples. It is necessary, then, to focus on the particular obligation or interest that is the subject matter of the particular dispute and whether or not the Crown has assumed discretionary control in relation thereto sufficient to ground a fiduciary obligation.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1304</w:t>
      </w:r>
      <w:r>
        <w:rPr>
          <w:rFonts w:ascii="arial" w:eastAsia="arial" w:hAnsi="arial" w:cs="arial"/>
          <w:color w:val="000000"/>
          <w:sz w:val="20"/>
          <w:lang w:val="en-US" w:eastAsia="en-US" w:bidi="ar-SA"/>
        </w:rPr>
        <w:t xml:space="preserve">  I find that in this case it is sufficient to go no further than a consideration of the duty to consult, grounded in the honour of the Crown. In </w:t>
      </w:r>
      <w:r>
        <w:rPr>
          <w:rFonts w:ascii="arial" w:eastAsia="arial" w:hAnsi="arial" w:cs="arial"/>
          <w:b/>
          <w:i/>
          <w:color w:val="000000"/>
          <w:sz w:val="20"/>
          <w:lang w:val="en-US" w:eastAsia="en-US" w:bidi="ar-SA"/>
        </w:rPr>
        <w:t>Haida Nation</w:t>
      </w:r>
      <w:r>
        <w:rPr>
          <w:rFonts w:ascii="arial" w:eastAsia="arial" w:hAnsi="arial" w:cs="arial"/>
          <w:color w:val="000000"/>
          <w:sz w:val="20"/>
          <w:lang w:val="en-US" w:eastAsia="en-US" w:bidi="ar-SA"/>
        </w:rPr>
        <w:t xml:space="preserve"> McLachlin C.J.C. explained at paras. 16 and 18: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government's duty to consult with Aboriginal peoples and accommodate their interests is grounded in the honour of the Crown. The honour of the Crown is always at stake in its dealings with Aboriginal peoples: see for example </w:t>
      </w:r>
      <w:r>
        <w:rPr>
          <w:rFonts w:ascii="arial" w:eastAsia="arial" w:hAnsi="arial" w:cs="arial"/>
          <w:i/>
          <w:color w:val="000000"/>
          <w:sz w:val="20"/>
          <w:lang w:val="en-US" w:eastAsia="en-US" w:bidi="ar-SA"/>
        </w:rPr>
        <w:t>R. v. Badger</w:t>
      </w:r>
      <w:r>
        <w:rPr>
          <w:rFonts w:ascii="arial" w:eastAsia="arial" w:hAnsi="arial" w:cs="arial"/>
          <w:color w:val="000000"/>
          <w:sz w:val="20"/>
          <w:lang w:val="en-US" w:eastAsia="en-US" w:bidi="ar-SA"/>
        </w:rPr>
        <w:t xml:space="preserve">, </w:t>
      </w:r>
      <w:hyperlink r:id="rId734" w:history="1">
        <w:r>
          <w:rPr>
            <w:rFonts w:ascii="arial" w:eastAsia="arial" w:hAnsi="arial" w:cs="arial"/>
            <w:i/>
            <w:color w:val="0077CC"/>
            <w:sz w:val="20"/>
            <w:u w:val="single"/>
            <w:shd w:val="clear" w:color="auto" w:fill="FFFFFF"/>
            <w:lang w:val="en-US" w:eastAsia="en-US" w:bidi="ar-SA"/>
          </w:rPr>
          <w:t>[1996] 1 S.C.R. 771</w:t>
        </w:r>
      </w:hyperlink>
      <w:r>
        <w:rPr>
          <w:rFonts w:ascii="arial" w:eastAsia="arial" w:hAnsi="arial" w:cs="arial"/>
          <w:color w:val="000000"/>
          <w:sz w:val="20"/>
          <w:lang w:val="en-US" w:eastAsia="en-US" w:bidi="ar-SA"/>
        </w:rPr>
        <w:t xml:space="preserve">, at para. 41; </w:t>
      </w:r>
      <w:r>
        <w:rPr>
          <w:rFonts w:ascii="arial" w:eastAsia="arial" w:hAnsi="arial" w:cs="arial"/>
          <w:i/>
          <w:color w:val="000000"/>
          <w:sz w:val="20"/>
          <w:lang w:val="en-US" w:eastAsia="en-US" w:bidi="ar-SA"/>
        </w:rPr>
        <w:t>R. v. Marshall</w:t>
      </w:r>
      <w:r>
        <w:rPr>
          <w:rFonts w:ascii="arial" w:eastAsia="arial" w:hAnsi="arial" w:cs="arial"/>
          <w:color w:val="000000"/>
          <w:sz w:val="20"/>
          <w:lang w:val="en-US" w:eastAsia="en-US" w:bidi="ar-SA"/>
        </w:rPr>
        <w:t xml:space="preserve">, </w:t>
      </w:r>
      <w:hyperlink r:id="rId724" w:history="1">
        <w:r>
          <w:rPr>
            <w:rFonts w:ascii="arial" w:eastAsia="arial" w:hAnsi="arial" w:cs="arial"/>
            <w:i/>
            <w:color w:val="0077CC"/>
            <w:sz w:val="20"/>
            <w:u w:val="single"/>
            <w:shd w:val="clear" w:color="auto" w:fill="FFFFFF"/>
            <w:lang w:val="en-US" w:eastAsia="en-US" w:bidi="ar-SA"/>
          </w:rPr>
          <w:t>[1999] 3 S.C.R. 456</w:t>
        </w:r>
      </w:hyperlink>
      <w:r>
        <w:rPr>
          <w:rFonts w:ascii="arial" w:eastAsia="arial" w:hAnsi="arial" w:cs="arial"/>
          <w:color w:val="000000"/>
          <w:sz w:val="20"/>
          <w:lang w:val="en-US" w:eastAsia="en-US" w:bidi="ar-SA"/>
        </w:rPr>
        <w:t>. It is not a mere incantation, but rather a core precept that finds its application in concrete practices.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honour of the Crown gives rise to different duties in different circumstances. Where the Crown has assumed discretionary control over specific Aboriginal interests, the honour of the Crown gives rise to a fiduciary duty: </w:t>
      </w:r>
      <w:r>
        <w:rPr>
          <w:rFonts w:ascii="arial" w:eastAsia="arial" w:hAnsi="arial" w:cs="arial"/>
          <w:i/>
          <w:color w:val="000000"/>
          <w:sz w:val="20"/>
          <w:lang w:val="en-US" w:eastAsia="en-US" w:bidi="ar-SA"/>
        </w:rPr>
        <w:t>Wewaykum Indian Band v. Canada</w:t>
      </w:r>
      <w:r>
        <w:rPr>
          <w:rFonts w:ascii="arial" w:eastAsia="arial" w:hAnsi="arial" w:cs="arial"/>
          <w:color w:val="000000"/>
          <w:sz w:val="20"/>
          <w:lang w:val="en-US" w:eastAsia="en-US" w:bidi="ar-SA"/>
        </w:rPr>
        <w:t xml:space="preserve">, </w:t>
      </w:r>
      <w:hyperlink r:id="rId720" w:history="1">
        <w:r>
          <w:rPr>
            <w:rFonts w:ascii="arial" w:eastAsia="arial" w:hAnsi="arial" w:cs="arial"/>
            <w:i/>
            <w:color w:val="0077CC"/>
            <w:sz w:val="20"/>
            <w:u w:val="single"/>
            <w:shd w:val="clear" w:color="auto" w:fill="FFFFFF"/>
            <w:lang w:val="en-US" w:eastAsia="en-US" w:bidi="ar-SA"/>
          </w:rPr>
          <w:t>[2002] 4 S.C.R. 245</w:t>
        </w:r>
      </w:hyperlink>
      <w:r>
        <w:rPr>
          <w:rFonts w:ascii="arial" w:eastAsia="arial" w:hAnsi="arial" w:cs="arial"/>
          <w:color w:val="000000"/>
          <w:sz w:val="20"/>
          <w:lang w:val="en-US" w:eastAsia="en-US" w:bidi="ar-SA"/>
        </w:rPr>
        <w:t xml:space="preserve">, </w:t>
      </w:r>
      <w:hyperlink r:id="rId720" w:history="1">
        <w:r>
          <w:rPr>
            <w:rFonts w:ascii="arial" w:eastAsia="arial" w:hAnsi="arial" w:cs="arial"/>
            <w:i/>
            <w:color w:val="0077CC"/>
            <w:sz w:val="20"/>
            <w:u w:val="single"/>
            <w:shd w:val="clear" w:color="auto" w:fill="FFFFFF"/>
            <w:lang w:val="en-US" w:eastAsia="en-US" w:bidi="ar-SA"/>
          </w:rPr>
          <w:t>2002 SCC 79</w:t>
        </w:r>
      </w:hyperlink>
      <w:r>
        <w:rPr>
          <w:rFonts w:ascii="arial" w:eastAsia="arial" w:hAnsi="arial" w:cs="arial"/>
          <w:color w:val="000000"/>
          <w:sz w:val="20"/>
          <w:lang w:val="en-US" w:eastAsia="en-US" w:bidi="ar-SA"/>
        </w:rPr>
        <w:t xml:space="preserve">, at para. 79. The content of the fiduciary duty may vary to take into account the Crown's other, broader obligations. However, the duty's fulfilment requires that the Crown act with reference to the Aboriginal group's best interest in exercising discretionary control over the specific Aboriginal interests at stake. As explained in </w:t>
      </w:r>
      <w:r>
        <w:rPr>
          <w:rFonts w:ascii="arial" w:eastAsia="arial" w:hAnsi="arial" w:cs="arial"/>
          <w:i/>
          <w:color w:val="000000"/>
          <w:sz w:val="20"/>
          <w:lang w:val="en-US" w:eastAsia="en-US" w:bidi="ar-SA"/>
        </w:rPr>
        <w:t>Wewaykum</w:t>
      </w:r>
      <w:r>
        <w:rPr>
          <w:rFonts w:ascii="arial" w:eastAsia="arial" w:hAnsi="arial" w:cs="arial"/>
          <w:color w:val="000000"/>
          <w:sz w:val="20"/>
          <w:lang w:val="en-US" w:eastAsia="en-US" w:bidi="ar-SA"/>
        </w:rPr>
        <w:t>, at para. 81, the term "fiduciary duty" does not connote a universal trust relationship encompassing all aspects of the relationship between the Crown and Aboriginal peoples: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"fiduciary duty" as a source of plenary Crown liability covering all aspects of the Crown-Indian band relationship ... overshoots the mark. The fiduciary duty imposed on the Crown does not exist at large but in relation to specific Indian interests.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1305</w:t>
      </w:r>
      <w:r>
        <w:rPr>
          <w:rFonts w:ascii="arial" w:eastAsia="arial" w:hAnsi="arial" w:cs="arial"/>
          <w:color w:val="000000"/>
          <w:sz w:val="20"/>
          <w:lang w:val="en-US" w:eastAsia="en-US" w:bidi="ar-SA"/>
        </w:rPr>
        <w:t xml:space="preserve">  In the pre-proof stage, where Aboriginal rights and title have not yet been proven, the "Aboriginal interest in question is insufficiently specific for the honour of the Crown to mandate that the Crown act in the Aboriginal group's best interest, as a fiduciary, in exercising discretionary control over the subject of the right or title": </w:t>
      </w:r>
      <w:r>
        <w:rPr>
          <w:rFonts w:ascii="arial" w:eastAsia="arial" w:hAnsi="arial" w:cs="arial"/>
          <w:b/>
          <w:i/>
          <w:color w:val="000000"/>
          <w:sz w:val="20"/>
          <w:lang w:val="en-US" w:eastAsia="en-US" w:bidi="ar-SA"/>
        </w:rPr>
        <w:t>Haida Nation</w:t>
      </w:r>
      <w:r>
        <w:rPr>
          <w:rFonts w:ascii="arial" w:eastAsia="arial" w:hAnsi="arial" w:cs="arial"/>
          <w:color w:val="000000"/>
          <w:sz w:val="20"/>
          <w:lang w:val="en-US" w:eastAsia="en-US" w:bidi="ar-SA"/>
        </w:rPr>
        <w:t xml:space="preserve"> at para. 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1306</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Mikisew Cree First Nation v. Canada (Minister of Canadian Heritage),</w:t>
      </w:r>
      <w:r>
        <w:rPr>
          <w:rFonts w:ascii="arial" w:eastAsia="arial" w:hAnsi="arial" w:cs="arial"/>
          <w:color w:val="000000"/>
          <w:sz w:val="20"/>
          <w:lang w:val="en-US" w:eastAsia="en-US" w:bidi="ar-SA"/>
        </w:rPr>
        <w:t xml:space="preserve"> </w:t>
      </w:r>
      <w:hyperlink r:id="rId735" w:history="1">
        <w:r>
          <w:rPr>
            <w:rFonts w:ascii="arial" w:eastAsia="arial" w:hAnsi="arial" w:cs="arial"/>
            <w:i/>
            <w:color w:val="0077CC"/>
            <w:sz w:val="20"/>
            <w:u w:val="single"/>
            <w:shd w:val="clear" w:color="auto" w:fill="FFFFFF"/>
            <w:lang w:val="en-US" w:eastAsia="en-US" w:bidi="ar-SA"/>
          </w:rPr>
          <w:t>[2005] 3 S.C.R. 388</w:t>
        </w:r>
      </w:hyperlink>
      <w:r>
        <w:rPr>
          <w:rFonts w:ascii="arial" w:eastAsia="arial" w:hAnsi="arial" w:cs="arial"/>
          <w:color w:val="000000"/>
          <w:sz w:val="20"/>
          <w:lang w:val="en-US" w:eastAsia="en-US" w:bidi="ar-SA"/>
        </w:rPr>
        <w:t xml:space="preserve">, </w:t>
      </w:r>
      <w:hyperlink r:id="rId735" w:history="1">
        <w:r>
          <w:rPr>
            <w:rFonts w:ascii="arial" w:eastAsia="arial" w:hAnsi="arial" w:cs="arial"/>
            <w:i/>
            <w:color w:val="0077CC"/>
            <w:sz w:val="20"/>
            <w:u w:val="single"/>
            <w:shd w:val="clear" w:color="auto" w:fill="FFFFFF"/>
            <w:lang w:val="en-US" w:eastAsia="en-US" w:bidi="ar-SA"/>
          </w:rPr>
          <w:t>2005 SCC 69</w:t>
        </w:r>
      </w:hyperlink>
      <w:r>
        <w:rPr>
          <w:rFonts w:ascii="arial" w:eastAsia="arial" w:hAnsi="arial" w:cs="arial"/>
          <w:color w:val="000000"/>
          <w:sz w:val="20"/>
          <w:lang w:val="en-US" w:eastAsia="en-US" w:bidi="ar-SA"/>
        </w:rPr>
        <w:t xml:space="preserve"> the federal government approved a winter road which was to run through the Mikisew reserve. The government did not engage the Mikisew people in direct consultation before approving the road. After the Mikisew people protested, the government altered the road alignment. The alternate road crossed a number of traplines and affected the hunting grounds of approximately 100 Mikisew people. The Mikisew are beneficiaries of Treaty 8 which provides the right to hunt, trap and fish on treaty lands. The Court found that the proposed road would injuriously affect the exercise of those rights. The Treaty contemplated that portions of the surrendered land would be "taken up from time to time for settlement, mining, lumbering, trading or other purposes": </w:t>
      </w:r>
      <w:r>
        <w:rPr>
          <w:rFonts w:ascii="arial" w:eastAsia="arial" w:hAnsi="arial" w:cs="arial"/>
          <w:b/>
          <w:i/>
          <w:color w:val="000000"/>
          <w:sz w:val="20"/>
          <w:lang w:val="en-US" w:eastAsia="en-US" w:bidi="ar-SA"/>
        </w:rPr>
        <w:t>Mikisew Cree</w:t>
      </w:r>
      <w:r>
        <w:rPr>
          <w:rFonts w:ascii="arial" w:eastAsia="arial" w:hAnsi="arial" w:cs="arial"/>
          <w:color w:val="000000"/>
          <w:sz w:val="20"/>
          <w:lang w:val="en-US" w:eastAsia="en-US" w:bidi="ar-SA"/>
        </w:rPr>
        <w:t xml:space="preserve"> at para. 30. However the Court at para. 31 found "the Crown was and is expected to manage the change honourably". Binnie J., for the Court, said at para. 51: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duty to consult is grounded in the honour of the Crown, and it is not necessary for present purposes to invoke fiduciary duties. The honour of the Crown is itself a fundamental concept governing treaty interpretation and application that was referred to by Gwynne J. of this Court </w:t>
      </w:r>
      <w:r>
        <w:rPr>
          <w:rFonts w:ascii="arial" w:eastAsia="arial" w:hAnsi="arial" w:cs="arial"/>
          <w:i/>
          <w:color w:val="000000"/>
          <w:sz w:val="20"/>
          <w:lang w:val="en-US" w:eastAsia="en-US" w:bidi="ar-SA"/>
        </w:rPr>
        <w:t>as a treaty obligation</w:t>
      </w:r>
      <w:r>
        <w:rPr>
          <w:rFonts w:ascii="arial" w:eastAsia="arial" w:hAnsi="arial" w:cs="arial"/>
          <w:color w:val="000000"/>
          <w:sz w:val="20"/>
          <w:lang w:val="en-US" w:eastAsia="en-US" w:bidi="ar-SA"/>
        </w:rPr>
        <w:t xml:space="preserve"> as far back as 1895, four years before Treaty 8 was concluded: </w:t>
      </w:r>
      <w:r>
        <w:rPr>
          <w:rFonts w:ascii="arial" w:eastAsia="arial" w:hAnsi="arial" w:cs="arial"/>
          <w:i/>
          <w:color w:val="000000"/>
          <w:sz w:val="20"/>
          <w:lang w:val="en-US" w:eastAsia="en-US" w:bidi="ar-SA"/>
        </w:rPr>
        <w:t>Province of Ontario v. Dominion of Canada</w:t>
      </w:r>
      <w:r>
        <w:rPr>
          <w:rFonts w:ascii="arial" w:eastAsia="arial" w:hAnsi="arial" w:cs="arial"/>
          <w:color w:val="000000"/>
          <w:sz w:val="20"/>
          <w:lang w:val="en-US" w:eastAsia="en-US" w:bidi="ar-SA"/>
        </w:rPr>
        <w:t xml:space="preserve"> </w:t>
      </w:r>
      <w:hyperlink r:id="rId736" w:history="1">
        <w:r>
          <w:rPr>
            <w:rFonts w:ascii="arial" w:eastAsia="arial" w:hAnsi="arial" w:cs="arial"/>
            <w:i/>
            <w:color w:val="0077CC"/>
            <w:sz w:val="20"/>
            <w:u w:val="single"/>
            <w:shd w:val="clear" w:color="auto" w:fill="FFFFFF"/>
            <w:lang w:val="en-US" w:eastAsia="en-US" w:bidi="ar-SA"/>
          </w:rPr>
          <w:t>(1895), 25 S.C.R. 434</w:t>
        </w:r>
      </w:hyperlink>
      <w:r>
        <w:rPr>
          <w:rFonts w:ascii="arial" w:eastAsia="arial" w:hAnsi="arial" w:cs="arial"/>
          <w:color w:val="000000"/>
          <w:sz w:val="20"/>
          <w:lang w:val="en-US" w:eastAsia="en-US" w:bidi="ar-SA"/>
        </w:rPr>
        <w:t xml:space="preserve">, at pp. 511-12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Gwynne J. (dissenting).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While he was in the minority in his view that the treaty obligation to pay Indian annuities imposed a trust on provincial lands, nothing was said by the majority in that case to doubt that the honour of the Crown was pledged to the fulfilment of its obligations to the Indians. This had been the Crown's policy as far back as the </w:t>
      </w:r>
      <w:r>
        <w:rPr>
          <w:rFonts w:ascii="arial" w:eastAsia="arial" w:hAnsi="arial" w:cs="arial"/>
          <w:i/>
          <w:color w:val="000000"/>
          <w:sz w:val="20"/>
          <w:lang w:val="en-US" w:eastAsia="en-US" w:bidi="ar-SA"/>
        </w:rPr>
        <w:t>Royal Proclamation</w:t>
      </w:r>
      <w:r>
        <w:rPr>
          <w:rFonts w:ascii="arial" w:eastAsia="arial" w:hAnsi="arial" w:cs="arial"/>
          <w:color w:val="000000"/>
          <w:sz w:val="20"/>
          <w:lang w:val="en-US" w:eastAsia="en-US" w:bidi="ar-SA"/>
        </w:rPr>
        <w:t xml:space="preserve"> of 1763, and is manifest in the promises recorded in the report of the Commissioners. The honour of the Crown exists as a source of obligation independently of treaties as well, of course. In </w:t>
      </w:r>
      <w:r>
        <w:rPr>
          <w:rFonts w:ascii="arial" w:eastAsia="arial" w:hAnsi="arial" w:cs="arial"/>
          <w:i/>
          <w:color w:val="000000"/>
          <w:sz w:val="20"/>
          <w:lang w:val="en-US" w:eastAsia="en-US" w:bidi="ar-SA"/>
        </w:rPr>
        <w:t>Sparrow, Delgamuukw v. British Columbia</w:t>
      </w:r>
      <w:r>
        <w:rPr>
          <w:rFonts w:ascii="arial" w:eastAsia="arial" w:hAnsi="arial" w:cs="arial"/>
          <w:color w:val="000000"/>
          <w:sz w:val="20"/>
          <w:lang w:val="en-US" w:eastAsia="en-US" w:bidi="ar-SA"/>
        </w:rPr>
        <w:t xml:space="preserve"> </w:t>
      </w:r>
      <w:hyperlink r:id="rId656" w:history="1">
        <w:r>
          <w:rPr>
            <w:rFonts w:ascii="arial" w:eastAsia="arial" w:hAnsi="arial" w:cs="arial"/>
            <w:i/>
            <w:color w:val="0077CC"/>
            <w:sz w:val="20"/>
            <w:u w:val="single"/>
            <w:shd w:val="clear" w:color="auto" w:fill="FFFFFF"/>
            <w:lang w:val="en-US" w:eastAsia="en-US" w:bidi="ar-SA"/>
          </w:rPr>
          <w:t>[1997] 3 S.C.R. 1010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Haida Nation</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Taku River</w:t>
      </w:r>
      <w:r>
        <w:rPr>
          <w:rFonts w:ascii="arial" w:eastAsia="arial" w:hAnsi="arial" w:cs="arial"/>
          <w:color w:val="000000"/>
          <w:sz w:val="20"/>
          <w:lang w:val="en-US" w:eastAsia="en-US" w:bidi="ar-SA"/>
        </w:rPr>
        <w:t xml:space="preserve">, </w:t>
      </w:r>
      <w:hyperlink r:id="rId737" w:history="1">
        <w:r>
          <w:rPr>
            <w:rFonts w:ascii="arial" w:eastAsia="arial" w:hAnsi="arial" w:cs="arial"/>
            <w:i/>
            <w:color w:val="0077CC"/>
            <w:sz w:val="20"/>
            <w:u w:val="single"/>
            <w:shd w:val="clear" w:color="auto" w:fill="FFFFFF"/>
            <w:lang w:val="en-US" w:eastAsia="en-US" w:bidi="ar-SA"/>
          </w:rPr>
          <w:t>[2004] 3 S.C.R. 550</w:t>
        </w:r>
      </w:hyperlink>
      <w:r>
        <w:rPr>
          <w:rFonts w:ascii="arial" w:eastAsia="arial" w:hAnsi="arial" w:cs="arial"/>
          <w:color w:val="000000"/>
          <w:sz w:val="20"/>
          <w:lang w:val="en-US" w:eastAsia="en-US" w:bidi="ar-SA"/>
        </w:rPr>
        <w:t>, the "honour of the Crown" was invoked as a central principle in resolving aboriginal claims to consultation despite the absence of any treaty.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1307</w:t>
      </w:r>
      <w:r>
        <w:rPr>
          <w:rFonts w:ascii="arial" w:eastAsia="arial" w:hAnsi="arial" w:cs="arial"/>
          <w:color w:val="000000"/>
          <w:sz w:val="20"/>
          <w:lang w:val="en-US" w:eastAsia="en-US" w:bidi="ar-SA"/>
        </w:rPr>
        <w:t>  For these reasons I decline to consider the issue of a breach of fiduciary duty. My consideration of the duty to consult and honour of the Crown with respect to Aboriginal title is found in Section 21. The duty to consult with respect to Aboriginal rights is discussed in Section 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 LIMITATIONS, LACHES AND CROWN IMMUNITY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1308</w:t>
      </w:r>
      <w:r>
        <w:rPr>
          <w:rFonts w:ascii="arial" w:eastAsia="arial" w:hAnsi="arial" w:cs="arial"/>
          <w:color w:val="000000"/>
          <w:sz w:val="20"/>
          <w:lang w:val="en-US" w:eastAsia="en-US" w:bidi="ar-SA"/>
        </w:rPr>
        <w:t>  I have found that British Columbia's forest development activities have unjustifiably infringed the plaintiff's Aboriginal title and Aboriginal rights. British Columbia pleads that:</w:t>
      </w:r>
      <w:r>
        <w:rPr>
          <w:rFonts w:ascii="arial" w:eastAsia="arial" w:hAnsi="arial" w:cs="arial"/>
          <w:sz w:val="20"/>
          <w:lang w:val="en-US" w:eastAsia="en-US" w:bidi="ar-SA"/>
        </w:rPr>
        <w:cr/>
      </w:r>
    </w:p>
    <w:p>
      <w:pPr>
        <w:numPr>
          <w:numId w:val="2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insofar as those infringements are alleged to have been related to the claimed Aboriginal rights within the Trapline Territory, such causes of action as arose prior to 18 April, 1984 are barred by the passage of time,</w:t>
      </w:r>
    </w:p>
    <w:p>
      <w:pPr>
        <w:numPr>
          <w:numId w:val="2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insofar as those infringements are alleged to have been related to the claimed Aboriginal title within the Trapline Territory, such causes of action as arose prior to 26 April, 1993 are barred by the passage of time,</w:t>
      </w:r>
    </w:p>
    <w:p>
      <w:pPr>
        <w:numPr>
          <w:numId w:val="2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insofar as those infringements are alleged to have been related to the claimed Aboriginal title and Aboriginal rights within the Brittany, such causes of action as arose prior to 18 December, 1992 are barred by the passage of time: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in respect of all such claims enumerated in subparagraphs (a), (b), and (c) the Provincial Defendants plead and rely upon:</w:t>
      </w:r>
    </w:p>
    <w:p>
      <w:pPr>
        <w:numPr>
          <w:numId w:val="27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i/>
          <w:color w:val="000000"/>
          <w:sz w:val="20"/>
          <w:lang w:val="en-US" w:eastAsia="en-US" w:bidi="ar-SA"/>
        </w:rPr>
        <w:t>Statute of Limitations,</w:t>
      </w:r>
      <w:r>
        <w:rPr>
          <w:rFonts w:ascii="arial" w:eastAsia="arial" w:hAnsi="arial" w:cs="arial"/>
          <w:color w:val="000000"/>
          <w:sz w:val="20"/>
          <w:lang w:val="en-US" w:eastAsia="en-US" w:bidi="ar-SA"/>
        </w:rPr>
        <w:t xml:space="preserve"> R.S.B.C. 1960, c 370, s. 3, 16, 30 and 41;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S.B.C. 1975, c. 37, s. 3, 14 and 18;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R.S.B.C. 1979, c. 236, s. 3, 14; and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R.S.B.C. 1996, c. 266, s. 3, 14; and</w:t>
      </w:r>
    </w:p>
    <w:p>
      <w:pPr>
        <w:numPr>
          <w:numId w:val="27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 alternative, upon the legislative provisions enumerated in subparagraph (d) as incorporated by reference into federal law, and made applicable by the </w:t>
      </w:r>
      <w:r>
        <w:rPr>
          <w:rFonts w:ascii="arial" w:eastAsia="arial" w:hAnsi="arial" w:cs="arial"/>
          <w:i/>
          <w:color w:val="000000"/>
          <w:sz w:val="20"/>
          <w:lang w:val="en-US" w:eastAsia="en-US" w:bidi="ar-SA"/>
        </w:rPr>
        <w:t>Indian Act,</w:t>
      </w:r>
      <w:r>
        <w:rPr>
          <w:rFonts w:ascii="arial" w:eastAsia="arial" w:hAnsi="arial" w:cs="arial"/>
          <w:color w:val="000000"/>
          <w:sz w:val="20"/>
          <w:lang w:val="en-US" w:eastAsia="en-US" w:bidi="ar-SA"/>
        </w:rPr>
        <w:t xml:space="preserve"> R.S.C. 1952, c 149, s. 87; the </w:t>
      </w:r>
      <w:r>
        <w:rPr>
          <w:rFonts w:ascii="arial" w:eastAsia="arial" w:hAnsi="arial" w:cs="arial"/>
          <w:i/>
          <w:color w:val="000000"/>
          <w:sz w:val="20"/>
          <w:lang w:val="en-US" w:eastAsia="en-US" w:bidi="ar-SA"/>
        </w:rPr>
        <w:t>Indian Act,</w:t>
      </w:r>
      <w:r>
        <w:rPr>
          <w:rFonts w:ascii="arial" w:eastAsia="arial" w:hAnsi="arial" w:cs="arial"/>
          <w:color w:val="000000"/>
          <w:sz w:val="20"/>
          <w:lang w:val="en-US" w:eastAsia="en-US" w:bidi="ar-SA"/>
        </w:rPr>
        <w:t xml:space="preserve"> R.S.C. 1970, c. 1-6, s. 88, and the </w:t>
      </w:r>
      <w:r>
        <w:rPr>
          <w:rFonts w:ascii="arial" w:eastAsia="arial" w:hAnsi="arial" w:cs="arial"/>
          <w:i/>
          <w:color w:val="000000"/>
          <w:sz w:val="20"/>
          <w:lang w:val="en-US" w:eastAsia="en-US" w:bidi="ar-SA"/>
        </w:rPr>
        <w:t>Indian Act,</w:t>
      </w:r>
      <w:r>
        <w:rPr>
          <w:rFonts w:ascii="arial" w:eastAsia="arial" w:hAnsi="arial" w:cs="arial"/>
          <w:color w:val="000000"/>
          <w:sz w:val="20"/>
          <w:lang w:val="en-US" w:eastAsia="en-US" w:bidi="ar-SA"/>
        </w:rPr>
        <w:t xml:space="preserve"> R.S.C. 1985, c. 1-5, s. 88; and</w:t>
      </w:r>
    </w:p>
    <w:p>
      <w:pPr>
        <w:numPr>
          <w:numId w:val="27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 further alternative, upon the </w:t>
      </w:r>
      <w:r>
        <w:rPr>
          <w:rFonts w:ascii="arial" w:eastAsia="arial" w:hAnsi="arial" w:cs="arial"/>
          <w:i/>
          <w:color w:val="000000"/>
          <w:sz w:val="20"/>
          <w:lang w:val="en-US" w:eastAsia="en-US" w:bidi="ar-SA"/>
        </w:rPr>
        <w:t>Limitation Act, 1623</w:t>
      </w:r>
      <w:r>
        <w:rPr>
          <w:rFonts w:ascii="arial" w:eastAsia="arial" w:hAnsi="arial" w:cs="arial"/>
          <w:color w:val="000000"/>
          <w:sz w:val="20"/>
          <w:lang w:val="en-US" w:eastAsia="en-US" w:bidi="ar-SA"/>
        </w:rPr>
        <w:t xml:space="preserve"> (U.K.), 21 Jac. 1, c. 16, s. 3; the </w:t>
      </w:r>
      <w:r>
        <w:rPr>
          <w:rFonts w:ascii="arial" w:eastAsia="arial" w:hAnsi="arial" w:cs="arial"/>
          <w:i/>
          <w:color w:val="000000"/>
          <w:sz w:val="20"/>
          <w:lang w:val="en-US" w:eastAsia="en-US" w:bidi="ar-SA"/>
        </w:rPr>
        <w:t>Real Property Limitation Act, 1833</w:t>
      </w:r>
      <w:r>
        <w:rPr>
          <w:rFonts w:ascii="arial" w:eastAsia="arial" w:hAnsi="arial" w:cs="arial"/>
          <w:color w:val="000000"/>
          <w:sz w:val="20"/>
          <w:lang w:val="en-US" w:eastAsia="en-US" w:bidi="ar-SA"/>
        </w:rPr>
        <w:t xml:space="preserve"> (U.K.) 3 &amp; 4 Will. 4, c. 27, ss. 2, 17 and 34; the </w:t>
      </w:r>
      <w:r>
        <w:rPr>
          <w:rFonts w:ascii="arial" w:eastAsia="arial" w:hAnsi="arial" w:cs="arial"/>
          <w:i/>
          <w:color w:val="000000"/>
          <w:sz w:val="20"/>
          <w:lang w:val="en-US" w:eastAsia="en-US" w:bidi="ar-SA"/>
        </w:rPr>
        <w:t>English Law Ordinance, 1867,</w:t>
      </w:r>
      <w:r>
        <w:rPr>
          <w:rFonts w:ascii="arial" w:eastAsia="arial" w:hAnsi="arial" w:cs="arial"/>
          <w:color w:val="000000"/>
          <w:sz w:val="20"/>
          <w:lang w:val="en-US" w:eastAsia="en-US" w:bidi="ar-SA"/>
        </w:rPr>
        <w:t xml:space="preserve"> S.B.C. 1867, c. 7, s. 2; the </w:t>
      </w:r>
      <w:r>
        <w:rPr>
          <w:rFonts w:ascii="arial" w:eastAsia="arial" w:hAnsi="arial" w:cs="arial"/>
          <w:i/>
          <w:color w:val="000000"/>
          <w:sz w:val="20"/>
          <w:lang w:val="en-US" w:eastAsia="en-US" w:bidi="ar-SA"/>
        </w:rPr>
        <w:t>Constitution Act, 1867</w:t>
      </w:r>
      <w:r>
        <w:rPr>
          <w:rFonts w:ascii="arial" w:eastAsia="arial" w:hAnsi="arial" w:cs="arial"/>
          <w:color w:val="000000"/>
          <w:sz w:val="20"/>
          <w:lang w:val="en-US" w:eastAsia="en-US" w:bidi="ar-SA"/>
        </w:rPr>
        <w:t xml:space="preserve"> (U.K.), 30 &amp; 31 Vict., c. 3, s. 129; and the </w:t>
      </w:r>
      <w:r>
        <w:rPr>
          <w:rFonts w:ascii="arial" w:eastAsia="arial" w:hAnsi="arial" w:cs="arial"/>
          <w:i/>
          <w:color w:val="000000"/>
          <w:sz w:val="20"/>
          <w:lang w:val="en-US" w:eastAsia="en-US" w:bidi="ar-SA"/>
        </w:rPr>
        <w:t>British Columbia Terms of Union,</w:t>
      </w:r>
      <w:r>
        <w:rPr>
          <w:rFonts w:ascii="arial" w:eastAsia="arial" w:hAnsi="arial" w:cs="arial"/>
          <w:color w:val="000000"/>
          <w:sz w:val="20"/>
          <w:lang w:val="en-US" w:eastAsia="en-US" w:bidi="ar-SA"/>
        </w:rPr>
        <w:t xml:space="preserve"> 1871, s. 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1309</w:t>
      </w:r>
      <w:r>
        <w:rPr>
          <w:rFonts w:ascii="arial" w:eastAsia="arial" w:hAnsi="arial" w:cs="arial"/>
          <w:color w:val="000000"/>
          <w:sz w:val="20"/>
          <w:lang w:val="en-US" w:eastAsia="en-US" w:bidi="ar-SA"/>
        </w:rPr>
        <w:t>  British Columbia also pleads laches in response to the plaintiff's claims of infringement of Aboriginal title and Aboriginal rights, breaches of fiduciary duty and fiduciary obligations and the claim for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1310</w:t>
      </w:r>
      <w:r>
        <w:rPr>
          <w:rFonts w:ascii="arial" w:eastAsia="arial" w:hAnsi="arial" w:cs="arial"/>
          <w:color w:val="000000"/>
          <w:sz w:val="20"/>
          <w:lang w:val="en-US" w:eastAsia="en-US" w:bidi="ar-SA"/>
        </w:rPr>
        <w:t>  It is important to note that the limitations defence is limited to the plaintiff's claim for infringement of Aboriginal title and rights. The Crown immunity defence is limited to the claims for breach of fiduciary duty and fiduciary obligations. The laches defence is directed to all of the foregoing, as well as the claim for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 Limitations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1311</w:t>
      </w:r>
      <w:r>
        <w:rPr>
          <w:rFonts w:ascii="arial" w:eastAsia="arial" w:hAnsi="arial" w:cs="arial"/>
          <w:color w:val="000000"/>
          <w:sz w:val="20"/>
          <w:lang w:val="en-US" w:eastAsia="en-US" w:bidi="ar-SA"/>
        </w:rPr>
        <w:t xml:space="preserve">  British Columbia argues that provincial limitations legislation is constitutionally applicable to Indians as litigants and relies upon </w:t>
      </w:r>
      <w:r>
        <w:rPr>
          <w:rFonts w:ascii="arial" w:eastAsia="arial" w:hAnsi="arial" w:cs="arial"/>
          <w:b/>
          <w:i/>
          <w:color w:val="000000"/>
          <w:sz w:val="20"/>
          <w:lang w:val="en-US" w:eastAsia="en-US" w:bidi="ar-SA"/>
        </w:rPr>
        <w:t>M.M. v. Roman Catholic Church of Canada</w:t>
      </w:r>
      <w:r>
        <w:rPr>
          <w:rFonts w:ascii="arial" w:eastAsia="arial" w:hAnsi="arial" w:cs="arial"/>
          <w:color w:val="000000"/>
          <w:sz w:val="20"/>
          <w:lang w:val="en-US" w:eastAsia="en-US" w:bidi="ar-SA"/>
        </w:rPr>
        <w:t xml:space="preserve">, </w:t>
      </w:r>
      <w:hyperlink r:id="rId738" w:history="1">
        <w:r>
          <w:rPr>
            <w:rFonts w:ascii="arial" w:eastAsia="arial" w:hAnsi="arial" w:cs="arial"/>
            <w:i/>
            <w:color w:val="0077CC"/>
            <w:sz w:val="20"/>
            <w:u w:val="single"/>
            <w:shd w:val="clear" w:color="auto" w:fill="FFFFFF"/>
            <w:lang w:val="en-US" w:eastAsia="en-US" w:bidi="ar-SA"/>
          </w:rPr>
          <w:t>(2001), 205 D.L.R. (4th) 253</w:t>
        </w:r>
      </w:hyperlink>
      <w:r>
        <w:rPr>
          <w:rFonts w:ascii="arial" w:eastAsia="arial" w:hAnsi="arial" w:cs="arial"/>
          <w:color w:val="000000"/>
          <w:sz w:val="20"/>
          <w:lang w:val="en-US" w:eastAsia="en-US" w:bidi="ar-SA"/>
        </w:rPr>
        <w:t xml:space="preserve">, </w:t>
      </w:r>
      <w:hyperlink r:id="rId738" w:history="1">
        <w:r>
          <w:rPr>
            <w:rFonts w:ascii="arial" w:eastAsia="arial" w:hAnsi="arial" w:cs="arial"/>
            <w:i/>
            <w:color w:val="0077CC"/>
            <w:sz w:val="20"/>
            <w:u w:val="single"/>
            <w:shd w:val="clear" w:color="auto" w:fill="FFFFFF"/>
            <w:lang w:val="en-US" w:eastAsia="en-US" w:bidi="ar-SA"/>
          </w:rPr>
          <w:t>2001 MBCA 148</w:t>
        </w:r>
      </w:hyperlink>
      <w:r>
        <w:rPr>
          <w:rFonts w:ascii="arial" w:eastAsia="arial" w:hAnsi="arial" w:cs="arial"/>
          <w:color w:val="000000"/>
          <w:sz w:val="20"/>
          <w:lang w:val="en-US" w:eastAsia="en-US" w:bidi="ar-SA"/>
        </w:rPr>
        <w:t xml:space="preserve">, clarified </w:t>
      </w:r>
      <w:hyperlink r:id="rId739" w:history="1">
        <w:r>
          <w:rPr>
            <w:rFonts w:ascii="arial" w:eastAsia="arial" w:hAnsi="arial" w:cs="arial"/>
            <w:i/>
            <w:color w:val="0077CC"/>
            <w:sz w:val="20"/>
            <w:u w:val="single"/>
            <w:shd w:val="clear" w:color="auto" w:fill="FFFFFF"/>
            <w:lang w:val="en-US" w:eastAsia="en-US" w:bidi="ar-SA"/>
          </w:rPr>
          <w:t>(2002), 208 D.L.R. (4th) 190</w:t>
        </w:r>
      </w:hyperlink>
      <w:r>
        <w:rPr>
          <w:rFonts w:ascii="arial" w:eastAsia="arial" w:hAnsi="arial" w:cs="arial"/>
          <w:color w:val="000000"/>
          <w:sz w:val="20"/>
          <w:lang w:val="en-US" w:eastAsia="en-US" w:bidi="ar-SA"/>
        </w:rPr>
        <w:t xml:space="preserve">, </w:t>
      </w:r>
      <w:hyperlink r:id="rId739" w:history="1">
        <w:r>
          <w:rPr>
            <w:rFonts w:ascii="arial" w:eastAsia="arial" w:hAnsi="arial" w:cs="arial"/>
            <w:i/>
            <w:color w:val="0077CC"/>
            <w:sz w:val="20"/>
            <w:u w:val="single"/>
            <w:shd w:val="clear" w:color="auto" w:fill="FFFFFF"/>
            <w:lang w:val="en-US" w:eastAsia="en-US" w:bidi="ar-SA"/>
          </w:rPr>
          <w:t>2002 MBCA 12</w:t>
        </w:r>
      </w:hyperlink>
      <w:r>
        <w:rPr>
          <w:rFonts w:ascii="arial" w:eastAsia="arial" w:hAnsi="arial" w:cs="arial"/>
          <w:color w:val="000000"/>
          <w:sz w:val="20"/>
          <w:lang w:val="en-US" w:eastAsia="en-US" w:bidi="ar-SA"/>
        </w:rPr>
        <w:t xml:space="preserve">, leave to appeal to the Supreme Court of Canada denied October 24, 2002, </w:t>
      </w:r>
      <w:hyperlink r:id="rId740" w:history="1">
        <w:r>
          <w:rPr>
            <w:rFonts w:ascii="arial" w:eastAsia="arial" w:hAnsi="arial" w:cs="arial"/>
            <w:i/>
            <w:color w:val="0077CC"/>
            <w:sz w:val="20"/>
            <w:u w:val="single"/>
            <w:shd w:val="clear" w:color="auto" w:fill="FFFFFF"/>
            <w:lang w:val="en-US" w:eastAsia="en-US" w:bidi="ar-SA"/>
          </w:rPr>
          <w:t>[2002] S.C.C.A. No. 8</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Chippewas of Sarnia Band v. Canada (Attorney General)</w:t>
      </w:r>
      <w:r>
        <w:rPr>
          <w:rFonts w:ascii="arial" w:eastAsia="arial" w:hAnsi="arial" w:cs="arial"/>
          <w:color w:val="000000"/>
          <w:sz w:val="20"/>
          <w:lang w:val="en-US" w:eastAsia="en-US" w:bidi="ar-SA"/>
        </w:rPr>
        <w:t xml:space="preserve"> </w:t>
      </w:r>
      <w:hyperlink r:id="rId741" w:history="1">
        <w:r>
          <w:rPr>
            <w:rFonts w:ascii="arial" w:eastAsia="arial" w:hAnsi="arial" w:cs="arial"/>
            <w:i/>
            <w:color w:val="0077CC"/>
            <w:sz w:val="20"/>
            <w:u w:val="single"/>
            <w:shd w:val="clear" w:color="auto" w:fill="FFFFFF"/>
            <w:lang w:val="en-US" w:eastAsia="en-US" w:bidi="ar-SA"/>
          </w:rPr>
          <w:t>(2001), 51 O.R. (3d) 641</w:t>
        </w:r>
      </w:hyperlink>
      <w:r>
        <w:rPr>
          <w:rFonts w:ascii="arial" w:eastAsia="arial" w:hAnsi="arial" w:cs="arial"/>
          <w:color w:val="000000"/>
          <w:sz w:val="20"/>
          <w:lang w:val="en-US" w:eastAsia="en-US" w:bidi="ar-SA"/>
        </w:rPr>
        <w:t xml:space="preserve">, </w:t>
      </w:r>
      <w:hyperlink r:id="rId741" w:history="1">
        <w:r>
          <w:rPr>
            <w:rFonts w:ascii="arial" w:eastAsia="arial" w:hAnsi="arial" w:cs="arial"/>
            <w:i/>
            <w:color w:val="0077CC"/>
            <w:sz w:val="20"/>
            <w:u w:val="single"/>
            <w:shd w:val="clear" w:color="auto" w:fill="FFFFFF"/>
            <w:lang w:val="en-US" w:eastAsia="en-US" w:bidi="ar-SA"/>
          </w:rPr>
          <w:t>195 D.L.R. (4th) 135</w:t>
        </w:r>
      </w:hyperlink>
      <w:r>
        <w:rPr>
          <w:rFonts w:ascii="arial" w:eastAsia="arial" w:hAnsi="arial" w:cs="arial"/>
          <w:color w:val="000000"/>
          <w:sz w:val="20"/>
          <w:lang w:val="en-US" w:eastAsia="en-US" w:bidi="ar-SA"/>
        </w:rPr>
        <w:t xml:space="preserve"> (Ont. C.A.), at para. 241, leave to appeal to the Supreme Court of Canada denied, </w:t>
      </w:r>
      <w:hyperlink r:id="rId742" w:history="1">
        <w:r>
          <w:rPr>
            <w:rFonts w:ascii="arial" w:eastAsia="arial" w:hAnsi="arial" w:cs="arial"/>
            <w:i/>
            <w:color w:val="0077CC"/>
            <w:sz w:val="20"/>
            <w:u w:val="single"/>
            <w:shd w:val="clear" w:color="auto" w:fill="FFFFFF"/>
            <w:lang w:val="en-US" w:eastAsia="en-US" w:bidi="ar-SA"/>
          </w:rPr>
          <w:t>[2001] S.C.C.A. No. 63</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Stoney</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Tribal Council v. PanCanadian Petroleum Limited</w:t>
      </w:r>
      <w:r>
        <w:rPr>
          <w:rFonts w:ascii="arial" w:eastAsia="arial" w:hAnsi="arial" w:cs="arial"/>
          <w:color w:val="000000"/>
          <w:sz w:val="20"/>
          <w:lang w:val="en-US" w:eastAsia="en-US" w:bidi="ar-SA"/>
        </w:rPr>
        <w:t xml:space="preserve">, </w:t>
      </w:r>
      <w:hyperlink r:id="rId743" w:history="1">
        <w:r>
          <w:rPr>
            <w:rFonts w:ascii="arial" w:eastAsia="arial" w:hAnsi="arial" w:cs="arial"/>
            <w:i/>
            <w:color w:val="0077CC"/>
            <w:sz w:val="20"/>
            <w:u w:val="single"/>
            <w:shd w:val="clear" w:color="auto" w:fill="FFFFFF"/>
            <w:lang w:val="en-US" w:eastAsia="en-US" w:bidi="ar-SA"/>
          </w:rPr>
          <w:t>[2001], 2 W.W.R. 442</w:t>
        </w:r>
      </w:hyperlink>
      <w:r>
        <w:rPr>
          <w:rFonts w:ascii="arial" w:eastAsia="arial" w:hAnsi="arial" w:cs="arial"/>
          <w:color w:val="000000"/>
          <w:sz w:val="20"/>
          <w:lang w:val="en-US" w:eastAsia="en-US" w:bidi="ar-SA"/>
        </w:rPr>
        <w:t xml:space="preserve">, </w:t>
      </w:r>
      <w:hyperlink r:id="rId743" w:history="1">
        <w:r>
          <w:rPr>
            <w:rFonts w:ascii="arial" w:eastAsia="arial" w:hAnsi="arial" w:cs="arial"/>
            <w:i/>
            <w:color w:val="0077CC"/>
            <w:sz w:val="20"/>
            <w:u w:val="single"/>
            <w:shd w:val="clear" w:color="auto" w:fill="FFFFFF"/>
            <w:lang w:val="en-US" w:eastAsia="en-US" w:bidi="ar-SA"/>
          </w:rPr>
          <w:t>2000 ABCA 209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1312</w:t>
      </w:r>
      <w:r>
        <w:rPr>
          <w:rFonts w:ascii="arial" w:eastAsia="arial" w:hAnsi="arial" w:cs="arial"/>
          <w:color w:val="000000"/>
          <w:sz w:val="20"/>
          <w:lang w:val="en-US" w:eastAsia="en-US" w:bidi="ar-SA"/>
        </w:rPr>
        <w:t xml:space="preserve">  The issue here is whether the provincial limitations legislation is constitutionally applicable to a claim for infringement of Aboriginal title and rights. If the infringement can be justified, there is no claim and the limitation period will not apply. For this reason, the issue is narrowed to the application of the provisions of the </w:t>
      </w:r>
      <w:r>
        <w:rPr>
          <w:rFonts w:ascii="arial" w:eastAsia="arial" w:hAnsi="arial" w:cs="arial"/>
          <w:b/>
          <w:i/>
          <w:color w:val="000000"/>
          <w:sz w:val="20"/>
          <w:lang w:val="en-US" w:eastAsia="en-US" w:bidi="ar-SA"/>
        </w:rPr>
        <w:t>Limitation Act</w:t>
      </w:r>
      <w:r>
        <w:rPr>
          <w:rFonts w:ascii="arial" w:eastAsia="arial" w:hAnsi="arial" w:cs="arial"/>
          <w:color w:val="000000"/>
          <w:sz w:val="20"/>
          <w:lang w:val="en-US" w:eastAsia="en-US" w:bidi="ar-SA"/>
        </w:rPr>
        <w:t xml:space="preserve"> to claims for unjustified infringement of Aboriginal rights, including Aboriginal title.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1313</w:t>
      </w:r>
      <w:r>
        <w:rPr>
          <w:rFonts w:ascii="arial" w:eastAsia="arial" w:hAnsi="arial" w:cs="arial"/>
          <w:color w:val="000000"/>
          <w:sz w:val="20"/>
          <w:lang w:val="en-US" w:eastAsia="en-US" w:bidi="ar-SA"/>
        </w:rPr>
        <w:t xml:space="preserve">  The four-step analysis set out in </w:t>
      </w:r>
      <w:r>
        <w:rPr>
          <w:rFonts w:ascii="arial" w:eastAsia="arial" w:hAnsi="arial" w:cs="arial"/>
          <w:b/>
          <w:i/>
          <w:color w:val="000000"/>
          <w:sz w:val="20"/>
          <w:lang w:val="en-US" w:eastAsia="en-US" w:bidi="ar-SA"/>
        </w:rPr>
        <w:t>Morris</w:t>
      </w:r>
      <w:r>
        <w:rPr>
          <w:rFonts w:ascii="arial" w:eastAsia="arial" w:hAnsi="arial" w:cs="arial"/>
          <w:color w:val="000000"/>
          <w:sz w:val="20"/>
          <w:lang w:val="en-US" w:eastAsia="en-US" w:bidi="ar-SA"/>
        </w:rPr>
        <w:t xml:space="preserve">, discussed above in Section 19, is applicable to a consideration of the provisions of the </w:t>
      </w:r>
      <w:r>
        <w:rPr>
          <w:rFonts w:ascii="arial" w:eastAsia="arial" w:hAnsi="arial" w:cs="arial"/>
          <w:b/>
          <w:i/>
          <w:color w:val="000000"/>
          <w:sz w:val="20"/>
          <w:lang w:val="en-US" w:eastAsia="en-US" w:bidi="ar-SA"/>
        </w:rPr>
        <w:t>Limitation Act.</w:t>
      </w:r>
      <w:r>
        <w:rPr>
          <w:rFonts w:ascii="arial" w:eastAsia="arial" w:hAnsi="arial" w:cs="arial"/>
          <w:color w:val="000000"/>
          <w:sz w:val="20"/>
          <w:lang w:val="en-US" w:eastAsia="en-US" w:bidi="ar-SA"/>
        </w:rPr>
        <w:t xml:space="preserve"> With respect to step one, the </w:t>
      </w:r>
      <w:r>
        <w:rPr>
          <w:rFonts w:ascii="arial" w:eastAsia="arial" w:hAnsi="arial" w:cs="arial"/>
          <w:b/>
          <w:i/>
          <w:color w:val="000000"/>
          <w:sz w:val="20"/>
          <w:lang w:val="en-US" w:eastAsia="en-US" w:bidi="ar-SA"/>
        </w:rPr>
        <w:t>Limitation Act</w:t>
      </w:r>
      <w:r>
        <w:rPr>
          <w:rFonts w:ascii="arial" w:eastAsia="arial" w:hAnsi="arial" w:cs="arial"/>
          <w:color w:val="000000"/>
          <w:sz w:val="20"/>
          <w:lang w:val="en-US" w:eastAsia="en-US" w:bidi="ar-SA"/>
        </w:rPr>
        <w:t xml:space="preserve"> is valid provincial legislation and is not directed at any federal head of power. With respect to step two, there is no conflicting federal legislation. The real issue is whether the </w:t>
      </w:r>
      <w:r>
        <w:rPr>
          <w:rFonts w:ascii="arial" w:eastAsia="arial" w:hAnsi="arial" w:cs="arial"/>
          <w:b/>
          <w:i/>
          <w:color w:val="000000"/>
          <w:sz w:val="20"/>
          <w:lang w:val="en-US" w:eastAsia="en-US" w:bidi="ar-SA"/>
        </w:rPr>
        <w:t>Limitation Act</w:t>
      </w:r>
      <w:r>
        <w:rPr>
          <w:rFonts w:ascii="arial" w:eastAsia="arial" w:hAnsi="arial" w:cs="arial"/>
          <w:color w:val="000000"/>
          <w:sz w:val="20"/>
          <w:lang w:val="en-US" w:eastAsia="en-US" w:bidi="ar-SA"/>
        </w:rPr>
        <w:t xml:space="preserve"> affects the core of a federal head of power.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1314</w:t>
      </w:r>
      <w:r>
        <w:rPr>
          <w:rFonts w:ascii="arial" w:eastAsia="arial" w:hAnsi="arial" w:cs="arial"/>
          <w:color w:val="000000"/>
          <w:sz w:val="20"/>
          <w:lang w:val="en-US" w:eastAsia="en-US" w:bidi="ar-SA"/>
        </w:rPr>
        <w:t xml:space="preserve">  For the reasons I have already discussed in the section on constitutional issues, I conclude that British Columbia's </w:t>
      </w:r>
      <w:r>
        <w:rPr>
          <w:rFonts w:ascii="arial" w:eastAsia="arial" w:hAnsi="arial" w:cs="arial"/>
          <w:b/>
          <w:i/>
          <w:color w:val="000000"/>
          <w:sz w:val="20"/>
          <w:lang w:val="en-US" w:eastAsia="en-US" w:bidi="ar-SA"/>
        </w:rPr>
        <w:t>Limitation Act</w:t>
      </w:r>
      <w:r>
        <w:rPr>
          <w:rFonts w:ascii="arial" w:eastAsia="arial" w:hAnsi="arial" w:cs="arial"/>
          <w:color w:val="000000"/>
          <w:sz w:val="20"/>
          <w:lang w:val="en-US" w:eastAsia="en-US" w:bidi="ar-SA"/>
        </w:rPr>
        <w:t xml:space="preserve"> is constitutionally inapplicable to claims for unjustified infringement of Aboriginal title. To conclude that the </w:t>
      </w:r>
      <w:r>
        <w:rPr>
          <w:rFonts w:ascii="arial" w:eastAsia="arial" w:hAnsi="arial" w:cs="arial"/>
          <w:b/>
          <w:i/>
          <w:color w:val="000000"/>
          <w:sz w:val="20"/>
          <w:lang w:val="en-US" w:eastAsia="en-US" w:bidi="ar-SA"/>
        </w:rPr>
        <w:t>Limitation Act</w:t>
      </w:r>
      <w:r>
        <w:rPr>
          <w:rFonts w:ascii="arial" w:eastAsia="arial" w:hAnsi="arial" w:cs="arial"/>
          <w:color w:val="000000"/>
          <w:sz w:val="20"/>
          <w:lang w:val="en-US" w:eastAsia="en-US" w:bidi="ar-SA"/>
        </w:rPr>
        <w:t xml:space="preserve"> applies to such a claim would mean that with the passage of time and the application of the provisions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the Province could effectively extinguish Aboriginal title. Granting the Province the ability to extinguish Aboriginal title is contrary to law. Provincial laws that affect Aboriginal title lands go to the core of Indianness and do not apply to those lands. This is true even though the law purports to be of general application. In </w:t>
      </w:r>
      <w:r>
        <w:rPr>
          <w:rFonts w:ascii="arial" w:eastAsia="arial" w:hAnsi="arial" w:cs="arial"/>
          <w:b/>
          <w:i/>
          <w:color w:val="000000"/>
          <w:sz w:val="20"/>
          <w:lang w:val="en-US" w:eastAsia="en-US" w:bidi="ar-SA"/>
        </w:rPr>
        <w:t>Delgamuukw</w:t>
      </w:r>
      <w:r>
        <w:rPr>
          <w:rFonts w:ascii="arial" w:eastAsia="arial" w:hAnsi="arial" w:cs="arial"/>
          <w:color w:val="000000"/>
          <w:sz w:val="20"/>
          <w:lang w:val="en-US" w:eastAsia="en-US" w:bidi="ar-SA"/>
        </w:rPr>
        <w:t xml:space="preserve"> Lamer C.J.C. said at paras. 177-178: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extent of federal jurisdiction over Indians has not been definitively addressed by this Court. We have not needed to do so because the </w:t>
      </w:r>
      <w:r>
        <w:rPr>
          <w:rFonts w:ascii="arial" w:eastAsia="arial" w:hAnsi="arial" w:cs="arial"/>
          <w:i/>
          <w:color w:val="000000"/>
          <w:sz w:val="20"/>
          <w:lang w:val="en-US" w:eastAsia="en-US" w:bidi="ar-SA"/>
        </w:rPr>
        <w:t>vires</w:t>
      </w:r>
      <w:r>
        <w:rPr>
          <w:rFonts w:ascii="arial" w:eastAsia="arial" w:hAnsi="arial" w:cs="arial"/>
          <w:color w:val="000000"/>
          <w:sz w:val="20"/>
          <w:lang w:val="en-US" w:eastAsia="en-US" w:bidi="ar-SA"/>
        </w:rPr>
        <w:t xml:space="preserve"> of federal legislation with respect to Indians, under the division of powers, has never been at issue. The cases which have come before the Court under s. 91(24) have implicated the question of jurisdiction over Indians from the other direction - whether provincial laws which on their face apply to Indians intrude on federal jurisdiction and are inapplicable to Indians to the extent of that intrusion. As I explain below, the Court has held that s. 91(24) protects a "core" of Indianness from provincial intrusion, through the doctrine of interjurisdictional immunity.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follows, at the very least, that this core falls within the scope of federal jurisdiction over Indians. That core, for reasons I will develop, encompasses aboriginal rights, including the rights that are recognized and affirmed by s. 35(1). Laws which purport to extinguish those rights therefore touch the core of Indianness which lies at the heart of s. 91(24), and are beyond the legislative competence of the provinces to enact. The core of Indianness encompasses the whole range of aboriginal rights that are protected by s. 35(1). Those rights include rights in relation to land; that part of the core derives from s. 91(24)'s reference to "Lands reserved for the Indians". But those rights also encompass practices, customs and traditions which are not tied to land as well; that part of the core can be traced to federal jurisdiction over "Indians". Provincial governments are prevented from legislating in relation to both types of aboriginal rights.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1315</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Stoney Creek Indian Band v. British Columbia</w:t>
      </w:r>
      <w:r>
        <w:rPr>
          <w:rFonts w:ascii="arial" w:eastAsia="arial" w:hAnsi="arial" w:cs="arial"/>
          <w:color w:val="000000"/>
          <w:sz w:val="20"/>
          <w:lang w:val="en-US" w:eastAsia="en-US" w:bidi="ar-SA"/>
        </w:rPr>
        <w:t xml:space="preserve">, </w:t>
      </w:r>
      <w:hyperlink r:id="rId709" w:history="1">
        <w:r>
          <w:rPr>
            <w:rFonts w:ascii="arial" w:eastAsia="arial" w:hAnsi="arial" w:cs="arial"/>
            <w:i/>
            <w:color w:val="0077CC"/>
            <w:sz w:val="20"/>
            <w:u w:val="single"/>
            <w:shd w:val="clear" w:color="auto" w:fill="FFFFFF"/>
            <w:lang w:val="en-US" w:eastAsia="en-US" w:bidi="ar-SA"/>
          </w:rPr>
          <w:t>[1999] 1 C.N.L.R. 192</w:t>
        </w:r>
      </w:hyperlink>
      <w:r>
        <w:rPr>
          <w:rFonts w:ascii="arial" w:eastAsia="arial" w:hAnsi="arial" w:cs="arial"/>
          <w:color w:val="000000"/>
          <w:sz w:val="20"/>
          <w:lang w:val="en-US" w:eastAsia="en-US" w:bidi="ar-SA"/>
        </w:rPr>
        <w:t xml:space="preserve">, </w:t>
      </w:r>
      <w:hyperlink r:id="rId744" w:history="1">
        <w:r>
          <w:rPr>
            <w:rFonts w:ascii="arial" w:eastAsia="arial" w:hAnsi="arial" w:cs="arial"/>
            <w:i/>
            <w:color w:val="0077CC"/>
            <w:sz w:val="20"/>
            <w:u w:val="single"/>
            <w:shd w:val="clear" w:color="auto" w:fill="FFFFFF"/>
            <w:lang w:val="en-US" w:eastAsia="en-US" w:bidi="ar-SA"/>
          </w:rPr>
          <w:t>61 B.C.L.R. (3d) 131</w:t>
        </w:r>
      </w:hyperlink>
      <w:r>
        <w:rPr>
          <w:rFonts w:ascii="arial" w:eastAsia="arial" w:hAnsi="arial" w:cs="arial"/>
          <w:color w:val="000000"/>
          <w:sz w:val="20"/>
          <w:lang w:val="en-US" w:eastAsia="en-US" w:bidi="ar-SA"/>
        </w:rPr>
        <w:t xml:space="preserve"> (B.C.S.C.), Lysyk J. concluded that the </w:t>
      </w:r>
      <w:r>
        <w:rPr>
          <w:rFonts w:ascii="arial" w:eastAsia="arial" w:hAnsi="arial" w:cs="arial"/>
          <w:b/>
          <w:i/>
          <w:color w:val="000000"/>
          <w:sz w:val="20"/>
          <w:lang w:val="en-US" w:eastAsia="en-US" w:bidi="ar-SA"/>
        </w:rPr>
        <w:t>Limitation Act</w:t>
      </w:r>
      <w:r>
        <w:rPr>
          <w:rFonts w:ascii="arial" w:eastAsia="arial" w:hAnsi="arial" w:cs="arial"/>
          <w:color w:val="000000"/>
          <w:sz w:val="20"/>
          <w:lang w:val="en-US" w:eastAsia="en-US" w:bidi="ar-SA"/>
        </w:rPr>
        <w:t xml:space="preserve"> did not apply to a claim for damages made by an Indian band arising out of the construction of a road across reserve land. While acknowledging the law in this area was not settled, Lysyk J. said at para. 69: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right to claim damages for interference with Indian reserve lands not only rests upon the right to possession of those lands, but is sufficiently integral to such possession as to share the same characterization for constitutional purposes. Therefore, the provisions of the Act upon which Alcan relies are constitutionally inapplicable.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1316</w:t>
      </w:r>
      <w:r>
        <w:rPr>
          <w:rFonts w:ascii="arial" w:eastAsia="arial" w:hAnsi="arial" w:cs="arial"/>
          <w:color w:val="000000"/>
          <w:sz w:val="20"/>
          <w:lang w:val="en-US" w:eastAsia="en-US" w:bidi="ar-SA"/>
        </w:rPr>
        <w:t>  An appeal from this decision was allowed on the ground that it was not a proper case for disposition under the provisions of Rule 18A of the Rules of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1317</w:t>
      </w:r>
      <w:r>
        <w:rPr>
          <w:rFonts w:ascii="arial" w:eastAsia="arial" w:hAnsi="arial" w:cs="arial"/>
          <w:color w:val="000000"/>
          <w:sz w:val="20"/>
          <w:lang w:val="en-US" w:eastAsia="en-US" w:bidi="ar-SA"/>
        </w:rPr>
        <w:t xml:space="preserve">  The "scope of federal jurisdiction over Indians ... encompasses aboriginal rights, including the rights that are recognized and affirmed by s. 35(1)": </w:t>
      </w:r>
      <w:r>
        <w:rPr>
          <w:rFonts w:ascii="arial" w:eastAsia="arial" w:hAnsi="arial" w:cs="arial"/>
          <w:b/>
          <w:i/>
          <w:color w:val="000000"/>
          <w:sz w:val="20"/>
          <w:lang w:val="en-US" w:eastAsia="en-US" w:bidi="ar-SA"/>
        </w:rPr>
        <w:t>Delgamuukw</w:t>
      </w:r>
      <w:r>
        <w:rPr>
          <w:rFonts w:ascii="arial" w:eastAsia="arial" w:hAnsi="arial" w:cs="arial"/>
          <w:color w:val="000000"/>
          <w:sz w:val="20"/>
          <w:lang w:val="en-US" w:eastAsia="en-US" w:bidi="ar-SA"/>
        </w:rPr>
        <w:t xml:space="preserve"> (S.C.C.) at para. 178. It follows that an unjustified infringement of a constitutionally protected Aboriginal right falls under the same protective umbrella. For these reasons, I conclude that but for s. 88 of the </w:t>
      </w:r>
      <w:r>
        <w:rPr>
          <w:rFonts w:ascii="arial" w:eastAsia="arial" w:hAnsi="arial" w:cs="arial"/>
          <w:b/>
          <w:i/>
          <w:color w:val="000000"/>
          <w:sz w:val="20"/>
          <w:lang w:val="en-US" w:eastAsia="en-US" w:bidi="ar-SA"/>
        </w:rPr>
        <w:t>Indian Act</w:t>
      </w:r>
      <w:r>
        <w:rPr>
          <w:rFonts w:ascii="arial" w:eastAsia="arial" w:hAnsi="arial" w:cs="arial"/>
          <w:color w:val="000000"/>
          <w:sz w:val="20"/>
          <w:lang w:val="en-US" w:eastAsia="en-US" w:bidi="ar-SA"/>
        </w:rPr>
        <w:t xml:space="preserve">, the provincial </w:t>
      </w:r>
      <w:r>
        <w:rPr>
          <w:rFonts w:ascii="arial" w:eastAsia="arial" w:hAnsi="arial" w:cs="arial"/>
          <w:b/>
          <w:i/>
          <w:color w:val="000000"/>
          <w:sz w:val="20"/>
          <w:lang w:val="en-US" w:eastAsia="en-US" w:bidi="ar-SA"/>
        </w:rPr>
        <w:t>Limitation Act</w:t>
      </w:r>
      <w:r>
        <w:rPr>
          <w:rFonts w:ascii="arial" w:eastAsia="arial" w:hAnsi="arial" w:cs="arial"/>
          <w:color w:val="000000"/>
          <w:sz w:val="20"/>
          <w:lang w:val="en-US" w:eastAsia="en-US" w:bidi="ar-SA"/>
        </w:rPr>
        <w:t xml:space="preserve"> is constitutionally inapplicable to a claim for unjustified infringement of Aboriginal rights.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1318</w:t>
      </w:r>
      <w:r>
        <w:rPr>
          <w:rFonts w:ascii="arial" w:eastAsia="arial" w:hAnsi="arial" w:cs="arial"/>
          <w:color w:val="000000"/>
          <w:sz w:val="20"/>
          <w:lang w:val="en-US" w:eastAsia="en-US" w:bidi="ar-SA"/>
        </w:rPr>
        <w:t xml:space="preserve">  The final step in the </w:t>
      </w:r>
      <w:r>
        <w:rPr>
          <w:rFonts w:ascii="arial" w:eastAsia="arial" w:hAnsi="arial" w:cs="arial"/>
          <w:b/>
          <w:i/>
          <w:color w:val="000000"/>
          <w:sz w:val="20"/>
          <w:lang w:val="en-US" w:eastAsia="en-US" w:bidi="ar-SA"/>
        </w:rPr>
        <w:t>Morris</w:t>
      </w:r>
      <w:r>
        <w:rPr>
          <w:rFonts w:ascii="arial" w:eastAsia="arial" w:hAnsi="arial" w:cs="arial"/>
          <w:color w:val="000000"/>
          <w:sz w:val="20"/>
          <w:lang w:val="en-US" w:eastAsia="en-US" w:bidi="ar-SA"/>
        </w:rPr>
        <w:t xml:space="preserve"> analysis calls for a consideration of s. 88 of the </w:t>
      </w:r>
      <w:r>
        <w:rPr>
          <w:rFonts w:ascii="arial" w:eastAsia="arial" w:hAnsi="arial" w:cs="arial"/>
          <w:b/>
          <w:i/>
          <w:color w:val="000000"/>
          <w:sz w:val="20"/>
          <w:lang w:val="en-US" w:eastAsia="en-US" w:bidi="ar-SA"/>
        </w:rPr>
        <w:t>Indian Act</w:t>
      </w:r>
      <w:r>
        <w:rPr>
          <w:rFonts w:ascii="arial" w:eastAsia="arial" w:hAnsi="arial" w:cs="arial"/>
          <w:color w:val="000000"/>
          <w:sz w:val="20"/>
          <w:lang w:val="en-US" w:eastAsia="en-US" w:bidi="ar-SA"/>
        </w:rPr>
        <w:t xml:space="preserve">. For the reasons I have already discussed in Section 19 of this judgment, s. 88 of the </w:t>
      </w:r>
      <w:r>
        <w:rPr>
          <w:rFonts w:ascii="arial" w:eastAsia="arial" w:hAnsi="arial" w:cs="arial"/>
          <w:b/>
          <w:i/>
          <w:color w:val="000000"/>
          <w:sz w:val="20"/>
          <w:lang w:val="en-US" w:eastAsia="en-US" w:bidi="ar-SA"/>
        </w:rPr>
        <w:t>Indian Act</w:t>
      </w:r>
      <w:r>
        <w:rPr>
          <w:rFonts w:ascii="arial" w:eastAsia="arial" w:hAnsi="arial" w:cs="arial"/>
          <w:color w:val="000000"/>
          <w:sz w:val="20"/>
          <w:lang w:val="en-US" w:eastAsia="en-US" w:bidi="ar-SA"/>
        </w:rPr>
        <w:t xml:space="preserve"> does not apply to Aboriginal title, infringement of Aboriginal title or to compensation for infringement of Aboriginal title.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1319</w:t>
      </w:r>
      <w:r>
        <w:rPr>
          <w:rFonts w:ascii="arial" w:eastAsia="arial" w:hAnsi="arial" w:cs="arial"/>
          <w:color w:val="000000"/>
          <w:sz w:val="20"/>
          <w:lang w:val="en-US" w:eastAsia="en-US" w:bidi="ar-SA"/>
        </w:rPr>
        <w:t xml:space="preserve">  Aboriginal rights apart from title are a core federal matter under s. 91(24) of the </w:t>
      </w:r>
      <w:r>
        <w:rPr>
          <w:rFonts w:ascii="arial" w:eastAsia="arial" w:hAnsi="arial" w:cs="arial"/>
          <w:b/>
          <w:i/>
          <w:color w:val="000000"/>
          <w:sz w:val="20"/>
          <w:lang w:val="en-US" w:eastAsia="en-US" w:bidi="ar-SA"/>
        </w:rPr>
        <w:t>Constitution Act, 1867</w:t>
      </w:r>
      <w:r>
        <w:rPr>
          <w:rFonts w:ascii="arial" w:eastAsia="arial" w:hAnsi="arial" w:cs="arial"/>
          <w:color w:val="000000"/>
          <w:sz w:val="20"/>
          <w:lang w:val="en-US" w:eastAsia="en-US" w:bidi="ar-SA"/>
        </w:rPr>
        <w:t xml:space="preserve">. Section 88 of the </w:t>
      </w:r>
      <w:r>
        <w:rPr>
          <w:rFonts w:ascii="arial" w:eastAsia="arial" w:hAnsi="arial" w:cs="arial"/>
          <w:b/>
          <w:i/>
          <w:color w:val="000000"/>
          <w:sz w:val="20"/>
          <w:lang w:val="en-US" w:eastAsia="en-US" w:bidi="ar-SA"/>
        </w:rPr>
        <w:t>Indian Act</w:t>
      </w:r>
      <w:r>
        <w:rPr>
          <w:rFonts w:ascii="arial" w:eastAsia="arial" w:hAnsi="arial" w:cs="arial"/>
          <w:color w:val="000000"/>
          <w:sz w:val="20"/>
          <w:lang w:val="en-US" w:eastAsia="en-US" w:bidi="ar-SA"/>
        </w:rPr>
        <w:t xml:space="preserve"> makes provincial "laws of general application ... applicable to and in respect of Indians in the province ..." The exceptions referred to in s. 88 do not apply in this instance and accordingly, I conclude that s. 88 does constitutionally invigorate the </w:t>
      </w:r>
      <w:r>
        <w:rPr>
          <w:rFonts w:ascii="arial" w:eastAsia="arial" w:hAnsi="arial" w:cs="arial"/>
          <w:b/>
          <w:i/>
          <w:color w:val="000000"/>
          <w:sz w:val="20"/>
          <w:lang w:val="en-US" w:eastAsia="en-US" w:bidi="ar-SA"/>
        </w:rPr>
        <w:t>Limitation Act</w:t>
      </w:r>
      <w:r>
        <w:rPr>
          <w:rFonts w:ascii="arial" w:eastAsia="arial" w:hAnsi="arial" w:cs="arial"/>
          <w:color w:val="000000"/>
          <w:sz w:val="20"/>
          <w:lang w:val="en-US" w:eastAsia="en-US" w:bidi="ar-SA"/>
        </w:rPr>
        <w:t xml:space="preserve">. As a result, the </w:t>
      </w:r>
      <w:r>
        <w:rPr>
          <w:rFonts w:ascii="arial" w:eastAsia="arial" w:hAnsi="arial" w:cs="arial"/>
          <w:b/>
          <w:i/>
          <w:color w:val="000000"/>
          <w:sz w:val="20"/>
          <w:lang w:val="en-US" w:eastAsia="en-US" w:bidi="ar-SA"/>
        </w:rPr>
        <w:t>Limitation Act</w:t>
      </w:r>
      <w:r>
        <w:rPr>
          <w:rFonts w:ascii="arial" w:eastAsia="arial" w:hAnsi="arial" w:cs="arial"/>
          <w:color w:val="000000"/>
          <w:sz w:val="20"/>
          <w:lang w:val="en-US" w:eastAsia="en-US" w:bidi="ar-SA"/>
        </w:rPr>
        <w:t xml:space="preserve"> applies to claims of unjustified infringement of an Aboriginal right other than Aboriginal title. The principle of discoverability would be applicable and the limitation period would run only from the date when a party became aware of a cause of action. Accordingly, the period would begin to run from the time of the decision in </w:t>
      </w:r>
      <w:r>
        <w:rPr>
          <w:rFonts w:ascii="arial" w:eastAsia="arial" w:hAnsi="arial" w:cs="arial"/>
          <w:b/>
          <w:i/>
          <w:color w:val="000000"/>
          <w:sz w:val="20"/>
          <w:lang w:val="en-US" w:eastAsia="en-US" w:bidi="ar-SA"/>
        </w:rPr>
        <w:t>Sparrow,</w:t>
      </w:r>
      <w:r>
        <w:rPr>
          <w:rFonts w:ascii="arial" w:eastAsia="arial" w:hAnsi="arial" w:cs="arial"/>
          <w:color w:val="000000"/>
          <w:sz w:val="20"/>
          <w:lang w:val="en-US" w:eastAsia="en-US" w:bidi="ar-SA"/>
        </w:rPr>
        <w:t xml:space="preserve"> namely May 31, 1990.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1320</w:t>
      </w:r>
      <w:r>
        <w:rPr>
          <w:rFonts w:ascii="arial" w:eastAsia="arial" w:hAnsi="arial" w:cs="arial"/>
          <w:color w:val="000000"/>
          <w:sz w:val="20"/>
          <w:lang w:val="en-US" w:eastAsia="en-US" w:bidi="ar-SA"/>
        </w:rPr>
        <w:t xml:space="preserve">  Section 3(5) of the </w:t>
      </w:r>
      <w:r>
        <w:rPr>
          <w:rFonts w:ascii="arial" w:eastAsia="arial" w:hAnsi="arial" w:cs="arial"/>
          <w:b/>
          <w:i/>
          <w:color w:val="000000"/>
          <w:sz w:val="20"/>
          <w:lang w:val="en-US" w:eastAsia="en-US" w:bidi="ar-SA"/>
        </w:rPr>
        <w:t>Limitation Act</w:t>
      </w:r>
      <w:r>
        <w:rPr>
          <w:rFonts w:ascii="arial" w:eastAsia="arial" w:hAnsi="arial" w:cs="arial"/>
          <w:color w:val="000000"/>
          <w:sz w:val="20"/>
          <w:lang w:val="en-US" w:eastAsia="en-US" w:bidi="ar-SA"/>
        </w:rPr>
        <w:t xml:space="preserve"> sets out the applicable limitation period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Any other action not specifically provided for in this Act or any other Act may not be brought after the expiration of 6 years after the date on which the right to do so arose.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1321</w:t>
      </w:r>
      <w:r>
        <w:rPr>
          <w:rFonts w:ascii="arial" w:eastAsia="arial" w:hAnsi="arial" w:cs="arial"/>
          <w:color w:val="000000"/>
          <w:sz w:val="20"/>
          <w:lang w:val="en-US" w:eastAsia="en-US" w:bidi="ar-SA"/>
        </w:rPr>
        <w:t>  Accordingly, the claims advanced in this case for unjustified infringement of Tsilhqot'in Aboriginal rights in the Trapline Territory are not statute barred because the action with respect to those claims was brought before the expiration of the limitation period. As the Brittany Triangle Action was not commenced until December 18, 1998, any claim for unjustified infringement of Tsilhqot'in Aboriginal rights in Tachelach'ed (Brittany Triangle) that arose prior to December 17, 1992 are statute barred.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1322</w:t>
      </w:r>
      <w:r>
        <w:rPr>
          <w:rFonts w:ascii="arial" w:eastAsia="arial" w:hAnsi="arial" w:cs="arial"/>
          <w:color w:val="000000"/>
          <w:sz w:val="20"/>
          <w:lang w:val="en-US" w:eastAsia="en-US" w:bidi="ar-SA"/>
        </w:rPr>
        <w:t xml:space="preserve">  The decisions relied on by British Columbia, </w:t>
      </w:r>
      <w:r>
        <w:rPr>
          <w:rFonts w:ascii="arial" w:eastAsia="arial" w:hAnsi="arial" w:cs="arial"/>
          <w:b/>
          <w:i/>
          <w:color w:val="000000"/>
          <w:sz w:val="20"/>
          <w:lang w:val="en-US" w:eastAsia="en-US" w:bidi="ar-SA"/>
        </w:rPr>
        <w:t>M.M.</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Stoney Tribal Council</w:t>
      </w:r>
      <w:r>
        <w:rPr>
          <w:rFonts w:ascii="arial" w:eastAsia="arial" w:hAnsi="arial" w:cs="arial"/>
          <w:color w:val="000000"/>
          <w:sz w:val="20"/>
          <w:lang w:val="en-US" w:eastAsia="en-US" w:bidi="ar-SA"/>
        </w:rPr>
        <w:t>, do not address Aboriginal title or Aboriginal rights. The first was an action for damages, the second, an action for an accounting and judgment for monies found to be due and owing. Neither went to any issues touching on the core of Indianness.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1323</w:t>
      </w:r>
      <w:r>
        <w:rPr>
          <w:rFonts w:ascii="arial" w:eastAsia="arial" w:hAnsi="arial" w:cs="arial"/>
          <w:color w:val="000000"/>
          <w:sz w:val="20"/>
          <w:lang w:val="en-US" w:eastAsia="en-US" w:bidi="ar-SA"/>
        </w:rPr>
        <w:t>  </w:t>
      </w:r>
      <w:r>
        <w:rPr>
          <w:rFonts w:ascii="arial" w:eastAsia="arial" w:hAnsi="arial" w:cs="arial"/>
          <w:b/>
          <w:i/>
          <w:color w:val="000000"/>
          <w:sz w:val="20"/>
          <w:lang w:val="en-US" w:eastAsia="en-US" w:bidi="ar-SA"/>
        </w:rPr>
        <w:t>Chippewas of Sarnia</w:t>
      </w:r>
      <w:r>
        <w:rPr>
          <w:rFonts w:ascii="arial" w:eastAsia="arial" w:hAnsi="arial" w:cs="arial"/>
          <w:color w:val="000000"/>
          <w:sz w:val="20"/>
          <w:lang w:val="en-US" w:eastAsia="en-US" w:bidi="ar-SA"/>
        </w:rPr>
        <w:t xml:space="preserve"> is not an authority for the general proposition which British Columbia asserts. In </w:t>
      </w:r>
      <w:r>
        <w:rPr>
          <w:rFonts w:ascii="arial" w:eastAsia="arial" w:hAnsi="arial" w:cs="arial"/>
          <w:b/>
          <w:i/>
          <w:color w:val="000000"/>
          <w:sz w:val="20"/>
          <w:lang w:val="en-US" w:eastAsia="en-US" w:bidi="ar-SA"/>
        </w:rPr>
        <w:t>Chippewas of Sarnia</w:t>
      </w:r>
      <w:r>
        <w:rPr>
          <w:rFonts w:ascii="arial" w:eastAsia="arial" w:hAnsi="arial" w:cs="arial"/>
          <w:color w:val="000000"/>
          <w:sz w:val="20"/>
          <w:lang w:val="en-US" w:eastAsia="en-US" w:bidi="ar-SA"/>
        </w:rPr>
        <w:t xml:space="preserve">, the Ontario Court of Appeal stated in </w:t>
      </w:r>
      <w:r>
        <w:rPr>
          <w:rFonts w:ascii="arial" w:eastAsia="arial" w:hAnsi="arial" w:cs="arial"/>
          <w:i/>
          <w:color w:val="000000"/>
          <w:sz w:val="20"/>
          <w:lang w:val="en-US" w:eastAsia="en-US" w:bidi="ar-SA"/>
        </w:rPr>
        <w:t>obiter</w:t>
      </w:r>
      <w:r>
        <w:rPr>
          <w:rFonts w:ascii="arial" w:eastAsia="arial" w:hAnsi="arial" w:cs="arial"/>
          <w:color w:val="000000"/>
          <w:sz w:val="20"/>
          <w:lang w:val="en-US" w:eastAsia="en-US" w:bidi="ar-SA"/>
        </w:rPr>
        <w:t xml:space="preserve"> that a general limitations statute could bar a claim for damages arising from the loss of Aboriginal or treaty rights, citing </w:t>
      </w:r>
      <w:r>
        <w:rPr>
          <w:rFonts w:ascii="arial" w:eastAsia="arial" w:hAnsi="arial" w:cs="arial"/>
          <w:b/>
          <w:i/>
          <w:color w:val="000000"/>
          <w:sz w:val="20"/>
          <w:lang w:val="en-US" w:eastAsia="en-US" w:bidi="ar-SA"/>
        </w:rPr>
        <w:t>Blueberry River Indian Band</w:t>
      </w:r>
      <w:r>
        <w:rPr>
          <w:rFonts w:ascii="arial" w:eastAsia="arial" w:hAnsi="arial" w:cs="arial"/>
          <w:color w:val="000000"/>
          <w:sz w:val="20"/>
          <w:lang w:val="en-US" w:eastAsia="en-US" w:bidi="ar-SA"/>
        </w:rPr>
        <w:t>. The Court went on to hold that the limitations statute at issue did not and could not extinguish the Aboriginal title or treaty rights of the Chippewas because it did not evidence a clear and plain intent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1324</w:t>
      </w:r>
      <w:r>
        <w:rPr>
          <w:rFonts w:ascii="arial" w:eastAsia="arial" w:hAnsi="arial" w:cs="arial"/>
          <w:color w:val="000000"/>
          <w:sz w:val="20"/>
          <w:lang w:val="en-US" w:eastAsia="en-US" w:bidi="ar-SA"/>
        </w:rPr>
        <w:t xml:space="preserve">  I do not agree that the </w:t>
      </w:r>
      <w:r>
        <w:rPr>
          <w:rFonts w:ascii="arial" w:eastAsia="arial" w:hAnsi="arial" w:cs="arial"/>
          <w:b/>
          <w:i/>
          <w:color w:val="000000"/>
          <w:sz w:val="20"/>
          <w:lang w:val="en-US" w:eastAsia="en-US" w:bidi="ar-SA"/>
        </w:rPr>
        <w:t>Blueberry River Indian Band</w:t>
      </w:r>
      <w:r>
        <w:rPr>
          <w:rFonts w:ascii="arial" w:eastAsia="arial" w:hAnsi="arial" w:cs="arial"/>
          <w:color w:val="000000"/>
          <w:sz w:val="20"/>
          <w:lang w:val="en-US" w:eastAsia="en-US" w:bidi="ar-SA"/>
        </w:rPr>
        <w:t xml:space="preserve"> case supports the proposition that the British Columbia </w:t>
      </w:r>
      <w:r>
        <w:rPr>
          <w:rFonts w:ascii="arial" w:eastAsia="arial" w:hAnsi="arial" w:cs="arial"/>
          <w:b/>
          <w:i/>
          <w:color w:val="000000"/>
          <w:sz w:val="20"/>
          <w:lang w:val="en-US" w:eastAsia="en-US" w:bidi="ar-SA"/>
        </w:rPr>
        <w:t>Limitation Act</w:t>
      </w:r>
      <w:r>
        <w:rPr>
          <w:rFonts w:ascii="arial" w:eastAsia="arial" w:hAnsi="arial" w:cs="arial"/>
          <w:color w:val="000000"/>
          <w:sz w:val="20"/>
          <w:lang w:val="en-US" w:eastAsia="en-US" w:bidi="ar-SA"/>
        </w:rPr>
        <w:t xml:space="preserve"> is constitutionally applicable to Tsilhqot'in title lands. Although the Court found the provisions of the </w:t>
      </w:r>
      <w:r>
        <w:rPr>
          <w:rFonts w:ascii="arial" w:eastAsia="arial" w:hAnsi="arial" w:cs="arial"/>
          <w:b/>
          <w:i/>
          <w:color w:val="000000"/>
          <w:sz w:val="20"/>
          <w:lang w:val="en-US" w:eastAsia="en-US" w:bidi="ar-SA"/>
        </w:rPr>
        <w:t>Limitation Act</w:t>
      </w:r>
      <w:r>
        <w:rPr>
          <w:rFonts w:ascii="arial" w:eastAsia="arial" w:hAnsi="arial" w:cs="arial"/>
          <w:color w:val="000000"/>
          <w:sz w:val="20"/>
          <w:lang w:val="en-US" w:eastAsia="en-US" w:bidi="ar-SA"/>
        </w:rPr>
        <w:t xml:space="preserve"> applied to the dispute between the Band and the federal government, that case was brought in Federal Court. There, s. 39 of the </w:t>
      </w:r>
      <w:r>
        <w:rPr>
          <w:rFonts w:ascii="arial" w:eastAsia="arial" w:hAnsi="arial" w:cs="arial"/>
          <w:b/>
          <w:i/>
          <w:color w:val="000000"/>
          <w:sz w:val="20"/>
          <w:lang w:val="en-US" w:eastAsia="en-US" w:bidi="ar-SA"/>
        </w:rPr>
        <w:t>Federal Courts Act</w:t>
      </w:r>
      <w:r>
        <w:rPr>
          <w:rFonts w:ascii="arial" w:eastAsia="arial" w:hAnsi="arial" w:cs="arial"/>
          <w:color w:val="000000"/>
          <w:sz w:val="20"/>
          <w:lang w:val="en-US" w:eastAsia="en-US" w:bidi="ar-SA"/>
        </w:rPr>
        <w:t xml:space="preserve">, </w:t>
      </w:r>
      <w:hyperlink r:id="rId745" w:history="1">
        <w:r>
          <w:rPr>
            <w:rFonts w:ascii="arial" w:eastAsia="arial" w:hAnsi="arial" w:cs="arial"/>
            <w:i/>
            <w:color w:val="0077CC"/>
            <w:sz w:val="20"/>
            <w:u w:val="single"/>
            <w:shd w:val="clear" w:color="auto" w:fill="FFFFFF"/>
            <w:lang w:val="en-US" w:eastAsia="en-US" w:bidi="ar-SA"/>
          </w:rPr>
          <w:t>R.S.C. 1985, c. F-7</w:t>
        </w:r>
      </w:hyperlink>
      <w:r>
        <w:rPr>
          <w:rFonts w:ascii="arial" w:eastAsia="arial" w:hAnsi="arial" w:cs="arial"/>
          <w:color w:val="000000"/>
          <w:sz w:val="20"/>
          <w:lang w:val="en-US" w:eastAsia="en-US" w:bidi="ar-SA"/>
        </w:rPr>
        <w:t>, expressly incorporates provincial limitation legislation into actions brought in Federal Court. Section 39(1)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Except as expressly provided by any other Act, the laws relating to prescription and the limitation of actions in force in a province between subject and subject apply to any proceedings in the Federal Court of Appeal or the Federal Court in respect of any cause of action arising in that province.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1325</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Wewaykum Indian Band v. Canada</w:t>
      </w:r>
      <w:r>
        <w:rPr>
          <w:rFonts w:ascii="arial" w:eastAsia="arial" w:hAnsi="arial" w:cs="arial"/>
          <w:color w:val="000000"/>
          <w:sz w:val="20"/>
          <w:lang w:val="en-US" w:eastAsia="en-US" w:bidi="ar-SA"/>
        </w:rPr>
        <w:t xml:space="preserve"> </w:t>
      </w:r>
      <w:hyperlink r:id="rId746" w:history="1">
        <w:r>
          <w:rPr>
            <w:rFonts w:ascii="arial" w:eastAsia="arial" w:hAnsi="arial" w:cs="arial"/>
            <w:i/>
            <w:color w:val="0077CC"/>
            <w:sz w:val="20"/>
            <w:u w:val="single"/>
            <w:shd w:val="clear" w:color="auto" w:fill="FFFFFF"/>
            <w:lang w:val="en-US" w:eastAsia="en-US" w:bidi="ar-SA"/>
          </w:rPr>
          <w:t>(1999), 27 R.P.R. (3d) 157</w:t>
        </w:r>
      </w:hyperlink>
      <w:r>
        <w:rPr>
          <w:rFonts w:ascii="arial" w:eastAsia="arial" w:hAnsi="arial" w:cs="arial"/>
          <w:color w:val="000000"/>
          <w:sz w:val="20"/>
          <w:lang w:val="en-US" w:eastAsia="en-US" w:bidi="ar-SA"/>
        </w:rPr>
        <w:t xml:space="preserve"> (F.C.A.), Issac C.J. explained at para. 28: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that when Parliament incorporates the law of another legislative jurisdiction by reference in its own legislation, the law so incorporated becomes Federal law and is to be applied as such, provided that all the conditions precedent to incorporation have been satisfied. Thus, in these actions, when subsection 39(1) directs that "the laws relating to prescription and the limitation in force in any province between subject and subject apply to any proceedings in the Court in respect of any cause of action arising in that province, the reference here must be to the relevant provisions of the </w:t>
      </w:r>
      <w:r>
        <w:rPr>
          <w:rFonts w:ascii="arial" w:eastAsia="arial" w:hAnsi="arial" w:cs="arial"/>
          <w:i/>
          <w:color w:val="000000"/>
          <w:sz w:val="20"/>
          <w:lang w:val="en-US" w:eastAsia="en-US" w:bidi="ar-SA"/>
        </w:rPr>
        <w:t>B.C. Limitation Act</w:t>
      </w:r>
      <w:r>
        <w:rPr>
          <w:rFonts w:ascii="arial" w:eastAsia="arial" w:hAnsi="arial" w:cs="arial"/>
          <w:color w:val="000000"/>
          <w:sz w:val="20"/>
          <w:lang w:val="en-US" w:eastAsia="en-US" w:bidi="ar-SA"/>
        </w:rPr>
        <w:t xml:space="preserve">. This Court is required to apply the </w:t>
      </w:r>
      <w:r>
        <w:rPr>
          <w:rFonts w:ascii="arial" w:eastAsia="arial" w:hAnsi="arial" w:cs="arial"/>
          <w:i/>
          <w:color w:val="000000"/>
          <w:sz w:val="20"/>
          <w:lang w:val="en-US" w:eastAsia="en-US" w:bidi="ar-SA"/>
        </w:rPr>
        <w:t>B.C. Limitation Act</w:t>
      </w:r>
      <w:r>
        <w:rPr>
          <w:rFonts w:ascii="arial" w:eastAsia="arial" w:hAnsi="arial" w:cs="arial"/>
          <w:color w:val="000000"/>
          <w:sz w:val="20"/>
          <w:lang w:val="en-US" w:eastAsia="en-US" w:bidi="ar-SA"/>
        </w:rPr>
        <w:t>, not as provincial law, but as federal law. This must be so, because the land in respect of which the actions have been brought are situated wholly within the province of British Columbia and the cause of action in each case is alleged to have arisen in that province. [Footnotes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1326</w:t>
      </w:r>
      <w:r>
        <w:rPr>
          <w:rFonts w:ascii="arial" w:eastAsia="arial" w:hAnsi="arial" w:cs="arial"/>
          <w:color w:val="000000"/>
          <w:sz w:val="20"/>
          <w:lang w:val="en-US" w:eastAsia="en-US" w:bidi="ar-SA"/>
        </w:rPr>
        <w:t xml:space="preserve">  For this reason, the constitutional applicability of the provincial </w:t>
      </w:r>
      <w:r>
        <w:rPr>
          <w:rFonts w:ascii="arial" w:eastAsia="arial" w:hAnsi="arial" w:cs="arial"/>
          <w:b/>
          <w:i/>
          <w:color w:val="000000"/>
          <w:sz w:val="20"/>
          <w:lang w:val="en-US" w:eastAsia="en-US" w:bidi="ar-SA"/>
        </w:rPr>
        <w:t>Limitation Act</w:t>
      </w:r>
      <w:r>
        <w:rPr>
          <w:rFonts w:ascii="arial" w:eastAsia="arial" w:hAnsi="arial" w:cs="arial"/>
          <w:color w:val="000000"/>
          <w:sz w:val="20"/>
          <w:lang w:val="en-US" w:eastAsia="en-US" w:bidi="ar-SA"/>
        </w:rPr>
        <w:t xml:space="preserve"> did not arise in the </w:t>
      </w:r>
      <w:r>
        <w:rPr>
          <w:rFonts w:ascii="arial" w:eastAsia="arial" w:hAnsi="arial" w:cs="arial"/>
          <w:b/>
          <w:i/>
          <w:color w:val="000000"/>
          <w:sz w:val="20"/>
          <w:lang w:val="en-US" w:eastAsia="en-US" w:bidi="ar-SA"/>
        </w:rPr>
        <w:t>Blueberry River</w:t>
      </w:r>
      <w:r>
        <w:rPr>
          <w:rFonts w:ascii="arial" w:eastAsia="arial" w:hAnsi="arial" w:cs="arial"/>
          <w:color w:val="000000"/>
          <w:sz w:val="20"/>
          <w:lang w:val="en-US" w:eastAsia="en-US" w:bidi="ar-SA"/>
        </w:rPr>
        <w:t xml:space="preserv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1327</w:t>
      </w:r>
      <w:r>
        <w:rPr>
          <w:rFonts w:ascii="arial" w:eastAsia="arial" w:hAnsi="arial" w:cs="arial"/>
          <w:color w:val="000000"/>
          <w:sz w:val="20"/>
          <w:lang w:val="en-US" w:eastAsia="en-US" w:bidi="ar-SA"/>
        </w:rPr>
        <w:t xml:space="preserve">  Nor was the question answered in </w:t>
      </w:r>
      <w:r>
        <w:rPr>
          <w:rFonts w:ascii="arial" w:eastAsia="arial" w:hAnsi="arial" w:cs="arial"/>
          <w:b/>
          <w:i/>
          <w:color w:val="000000"/>
          <w:sz w:val="20"/>
          <w:lang w:val="en-US" w:eastAsia="en-US" w:bidi="ar-SA"/>
        </w:rPr>
        <w:t>Wewaykum</w:t>
      </w:r>
      <w:r>
        <w:rPr>
          <w:rFonts w:ascii="arial" w:eastAsia="arial" w:hAnsi="arial" w:cs="arial"/>
          <w:color w:val="000000"/>
          <w:sz w:val="20"/>
          <w:lang w:val="en-US" w:eastAsia="en-US" w:bidi="ar-SA"/>
        </w:rPr>
        <w:t xml:space="preserve">. In that case, the Federal Court of Appeal expressly declined to decide whether a provincial court in British Columbia trying an Aboriginal title claim could properly apply the </w:t>
      </w:r>
      <w:r>
        <w:rPr>
          <w:rFonts w:ascii="arial" w:eastAsia="arial" w:hAnsi="arial" w:cs="arial"/>
          <w:b/>
          <w:i/>
          <w:color w:val="000000"/>
          <w:sz w:val="20"/>
          <w:lang w:val="en-US" w:eastAsia="en-US" w:bidi="ar-SA"/>
        </w:rPr>
        <w:t>Limitation Act</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Wewaykum</w:t>
      </w:r>
      <w:r>
        <w:rPr>
          <w:rFonts w:ascii="arial" w:eastAsia="arial" w:hAnsi="arial" w:cs="arial"/>
          <w:color w:val="000000"/>
          <w:sz w:val="20"/>
          <w:lang w:val="en-US" w:eastAsia="en-US" w:bidi="ar-SA"/>
        </w:rPr>
        <w:t xml:space="preserve"> (S.C.C.) at para. 114, the Court affirmed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Section 39(1) effectively incorporates by reference the applicable British Columbia limitation legislation, but the relevant provisions apply as federal law not as provincial law: </w:t>
      </w:r>
      <w:r>
        <w:rPr>
          <w:rFonts w:ascii="arial" w:eastAsia="arial" w:hAnsi="arial" w:cs="arial"/>
          <w:i/>
          <w:color w:val="000000"/>
          <w:sz w:val="20"/>
          <w:lang w:val="en-US" w:eastAsia="en-US" w:bidi="ar-SA"/>
        </w:rPr>
        <w:t>Blueberry River</w:t>
      </w:r>
      <w:r>
        <w:rPr>
          <w:rFonts w:ascii="arial" w:eastAsia="arial" w:hAnsi="arial" w:cs="arial"/>
          <w:color w:val="000000"/>
          <w:sz w:val="20"/>
          <w:lang w:val="en-US" w:eastAsia="en-US" w:bidi="ar-SA"/>
        </w:rPr>
        <w:t>, supra, at para. 107.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1328</w:t>
      </w:r>
      <w:r>
        <w:rPr>
          <w:rFonts w:ascii="arial" w:eastAsia="arial" w:hAnsi="arial" w:cs="arial"/>
          <w:color w:val="000000"/>
          <w:sz w:val="20"/>
          <w:lang w:val="en-US" w:eastAsia="en-US" w:bidi="ar-SA"/>
        </w:rPr>
        <w:t xml:space="preserve">  In response to the Bands' argument that a provincial law could not extinguish an Aboriginal interest, a matter of exclusive federal legislative competence, the Court in </w:t>
      </w:r>
      <w:r>
        <w:rPr>
          <w:rFonts w:ascii="arial" w:eastAsia="arial" w:hAnsi="arial" w:cs="arial"/>
          <w:b/>
          <w:i/>
          <w:color w:val="000000"/>
          <w:sz w:val="20"/>
          <w:lang w:val="en-US" w:eastAsia="en-US" w:bidi="ar-SA"/>
        </w:rPr>
        <w:t>Wewaykum</w:t>
      </w:r>
      <w:r>
        <w:rPr>
          <w:rFonts w:ascii="arial" w:eastAsia="arial" w:hAnsi="arial" w:cs="arial"/>
          <w:color w:val="000000"/>
          <w:sz w:val="20"/>
          <w:lang w:val="en-US" w:eastAsia="en-US" w:bidi="ar-SA"/>
        </w:rPr>
        <w:t xml:space="preserve"> (S.C.C.) stated at paras. 115-116: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Section 9 of the B.C.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provides for extinguishment of the cause of action, but, as stated, it applies as federal law.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Parliament is entitled to adopt, in the exercise of its exclusive legislative power, the legislation of another jurisdictional body, as it may from time to time exist: </w:t>
      </w:r>
      <w:r>
        <w:rPr>
          <w:rFonts w:ascii="arial" w:eastAsia="arial" w:hAnsi="arial" w:cs="arial"/>
          <w:i/>
          <w:color w:val="000000"/>
          <w:sz w:val="20"/>
          <w:lang w:val="en-US" w:eastAsia="en-US" w:bidi="ar-SA"/>
        </w:rPr>
        <w:t>Coughlin v. Ontario (Highway Transport Board)</w:t>
      </w:r>
      <w:r>
        <w:rPr>
          <w:rFonts w:ascii="arial" w:eastAsia="arial" w:hAnsi="arial" w:cs="arial"/>
          <w:color w:val="000000"/>
          <w:sz w:val="20"/>
          <w:lang w:val="en-US" w:eastAsia="en-US" w:bidi="ar-SA"/>
        </w:rPr>
        <w:t xml:space="preserve">, </w:t>
      </w:r>
      <w:hyperlink r:id="rId747" w:history="1">
        <w:r>
          <w:rPr>
            <w:rFonts w:ascii="arial" w:eastAsia="arial" w:hAnsi="arial" w:cs="arial"/>
            <w:i/>
            <w:color w:val="0077CC"/>
            <w:sz w:val="20"/>
            <w:u w:val="single"/>
            <w:shd w:val="clear" w:color="auto" w:fill="FFFFFF"/>
            <w:lang w:val="en-US" w:eastAsia="en-US" w:bidi="ar-SA"/>
          </w:rPr>
          <w:t>[1968] S.C.R. 569</w:t>
        </w:r>
      </w:hyperlink>
      <w:r>
        <w:rPr>
          <w:rFonts w:ascii="arial" w:eastAsia="arial" w:hAnsi="arial" w:cs="arial"/>
          <w:color w:val="000000"/>
          <w:sz w:val="20"/>
          <w:lang w:val="en-US" w:eastAsia="en-US" w:bidi="ar-SA"/>
        </w:rPr>
        <w:t xml:space="preserve"> (S.C.C.); </w:t>
      </w:r>
      <w:r>
        <w:rPr>
          <w:rFonts w:ascii="arial" w:eastAsia="arial" w:hAnsi="arial" w:cs="arial"/>
          <w:i/>
          <w:color w:val="000000"/>
          <w:sz w:val="20"/>
          <w:lang w:val="en-US" w:eastAsia="en-US" w:bidi="ar-SA"/>
        </w:rPr>
        <w:t>Ontario (Attorney General) v. Scott (1955)</w:t>
      </w:r>
      <w:r>
        <w:rPr>
          <w:rFonts w:ascii="arial" w:eastAsia="arial" w:hAnsi="arial" w:cs="arial"/>
          <w:color w:val="000000"/>
          <w:sz w:val="20"/>
          <w:lang w:val="en-US" w:eastAsia="en-US" w:bidi="ar-SA"/>
        </w:rPr>
        <w:t xml:space="preserve">, </w:t>
      </w:r>
      <w:hyperlink r:id="rId748" w:history="1">
        <w:r>
          <w:rPr>
            <w:rFonts w:ascii="arial" w:eastAsia="arial" w:hAnsi="arial" w:cs="arial"/>
            <w:i/>
            <w:color w:val="0077CC"/>
            <w:sz w:val="20"/>
            <w:u w:val="single"/>
            <w:shd w:val="clear" w:color="auto" w:fill="FFFFFF"/>
            <w:lang w:val="en-US" w:eastAsia="en-US" w:bidi="ar-SA"/>
          </w:rPr>
          <w:t>[1956] S.C.R. 137</w:t>
        </w:r>
      </w:hyperlink>
      <w:r>
        <w:rPr>
          <w:rFonts w:ascii="arial" w:eastAsia="arial" w:hAnsi="arial" w:cs="arial"/>
          <w:color w:val="000000"/>
          <w:sz w:val="20"/>
          <w:lang w:val="en-US" w:eastAsia="en-US" w:bidi="ar-SA"/>
        </w:rPr>
        <w:t xml:space="preserve"> (S.C.C.). This is precisely what Parliament did when it enacted what is now s. 39(1) of the </w:t>
      </w:r>
      <w:r>
        <w:rPr>
          <w:rFonts w:ascii="arial" w:eastAsia="arial" w:hAnsi="arial" w:cs="arial"/>
          <w:i/>
          <w:color w:val="000000"/>
          <w:sz w:val="20"/>
          <w:lang w:val="en-US" w:eastAsia="en-US" w:bidi="ar-SA"/>
        </w:rPr>
        <w:t>Federal Court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1329</w:t>
      </w:r>
      <w:r>
        <w:rPr>
          <w:rFonts w:ascii="arial" w:eastAsia="arial" w:hAnsi="arial" w:cs="arial"/>
          <w:color w:val="000000"/>
          <w:sz w:val="20"/>
          <w:lang w:val="en-US" w:eastAsia="en-US" w:bidi="ar-SA"/>
        </w:rPr>
        <w:t xml:space="preserve">  In summary, I conclude that the British Columbia </w:t>
      </w:r>
      <w:r>
        <w:rPr>
          <w:rFonts w:ascii="arial" w:eastAsia="arial" w:hAnsi="arial" w:cs="arial"/>
          <w:b/>
          <w:i/>
          <w:color w:val="000000"/>
          <w:sz w:val="20"/>
          <w:lang w:val="en-US" w:eastAsia="en-US" w:bidi="ar-SA"/>
        </w:rPr>
        <w:t>Limitation Act</w:t>
      </w:r>
      <w:r>
        <w:rPr>
          <w:rFonts w:ascii="arial" w:eastAsia="arial" w:hAnsi="arial" w:cs="arial"/>
          <w:color w:val="000000"/>
          <w:sz w:val="20"/>
          <w:lang w:val="en-US" w:eastAsia="en-US" w:bidi="ar-SA"/>
        </w:rPr>
        <w:t xml:space="preserve"> is constitutionally inapplicable to the plaintiff's claims of unjustified infringement of Aboriginal title and to any claim for damages arising out of an unjustified infringement of Aboriginal title. The </w:t>
      </w:r>
      <w:r>
        <w:rPr>
          <w:rFonts w:ascii="arial" w:eastAsia="arial" w:hAnsi="arial" w:cs="arial"/>
          <w:b/>
          <w:i/>
          <w:color w:val="000000"/>
          <w:sz w:val="20"/>
          <w:lang w:val="en-US" w:eastAsia="en-US" w:bidi="ar-SA"/>
        </w:rPr>
        <w:t>Limitation Act</w:t>
      </w:r>
      <w:r>
        <w:rPr>
          <w:rFonts w:ascii="arial" w:eastAsia="arial" w:hAnsi="arial" w:cs="arial"/>
          <w:color w:val="000000"/>
          <w:sz w:val="20"/>
          <w:lang w:val="en-US" w:eastAsia="en-US" w:bidi="ar-SA"/>
        </w:rPr>
        <w:t xml:space="preserve"> does apply to the plaintiff's claims of unjustified infringement of Aboriginal rights by way of s. 88 of the </w:t>
      </w:r>
      <w:r>
        <w:rPr>
          <w:rFonts w:ascii="arial" w:eastAsia="arial" w:hAnsi="arial" w:cs="arial"/>
          <w:b/>
          <w:i/>
          <w:color w:val="000000"/>
          <w:sz w:val="20"/>
          <w:lang w:val="en-US" w:eastAsia="en-US" w:bidi="ar-SA"/>
        </w:rPr>
        <w:t>Indian Act</w:t>
      </w:r>
      <w:r>
        <w:rPr>
          <w:rFonts w:ascii="arial" w:eastAsia="arial" w:hAnsi="arial" w:cs="arial"/>
          <w:color w:val="000000"/>
          <w:sz w:val="20"/>
          <w:lang w:val="en-US" w:eastAsia="en-US" w:bidi="ar-SA"/>
        </w:rPr>
        <w:t xml:space="preserve">. The plaintiff's claims with respect to unjustified infringements of Aboriginal rights in the Trapline Territories are not barred by the passage of time as I find that the limitation period was postponed until the Supreme Court of Canada's decision in </w:t>
      </w:r>
      <w:r>
        <w:rPr>
          <w:rFonts w:ascii="arial" w:eastAsia="arial" w:hAnsi="arial" w:cs="arial"/>
          <w:b/>
          <w:i/>
          <w:color w:val="000000"/>
          <w:sz w:val="20"/>
          <w:lang w:val="en-US" w:eastAsia="en-US" w:bidi="ar-SA"/>
        </w:rPr>
        <w:t>Sparrow</w:t>
      </w:r>
      <w:r>
        <w:rPr>
          <w:rFonts w:ascii="arial" w:eastAsia="arial" w:hAnsi="arial" w:cs="arial"/>
          <w:color w:val="000000"/>
          <w:sz w:val="20"/>
          <w:lang w:val="en-US" w:eastAsia="en-US" w:bidi="ar-SA"/>
        </w:rPr>
        <w:t>. The plaintiff's claims with respect to unjustified infringements of Aboriginal rights in Tachelach'ed occurring prior to prior to December 17, 1992 are statute barred.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 Laches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1330</w:t>
      </w:r>
      <w:r>
        <w:rPr>
          <w:rFonts w:ascii="arial" w:eastAsia="arial" w:hAnsi="arial" w:cs="arial"/>
          <w:color w:val="000000"/>
          <w:sz w:val="20"/>
          <w:lang w:val="en-US" w:eastAsia="en-US" w:bidi="ar-SA"/>
        </w:rPr>
        <w:t xml:space="preserve">  British Columbia has pleaded laches in its statement of defence. No argument was advanced by British Columbia in support of that plea at the conclusion of the trial. I conclude that, on the whole of the evidence, a plea of laches cannot succeed. The plaintiff could not reasonably have brought these claims for Aboriginal title, infringement of Aboriginal title, and compensation for infringement of Aboriginal title, if the courts still considered that Aboriginal title throughout British Columbia was extinguished in the Colonial period prior to 1871. That was the view taken by the British Columbia courts and not varied by the Supreme Court of Canada in </w:t>
      </w:r>
      <w:r>
        <w:rPr>
          <w:rFonts w:ascii="arial" w:eastAsia="arial" w:hAnsi="arial" w:cs="arial"/>
          <w:b/>
          <w:i/>
          <w:color w:val="000000"/>
          <w:sz w:val="20"/>
          <w:lang w:val="en-US" w:eastAsia="en-US" w:bidi="ar-SA"/>
        </w:rPr>
        <w:t>Calder</w:t>
      </w:r>
      <w:r>
        <w:rPr>
          <w:rFonts w:ascii="arial" w:eastAsia="arial" w:hAnsi="arial" w:cs="arial"/>
          <w:color w:val="000000"/>
          <w:sz w:val="20"/>
          <w:lang w:val="en-US" w:eastAsia="en-US" w:bidi="ar-SA"/>
        </w:rPr>
        <w:t xml:space="preserve"> through to and including the judgment of the trial judge in </w:t>
      </w:r>
      <w:r>
        <w:rPr>
          <w:rFonts w:ascii="arial" w:eastAsia="arial" w:hAnsi="arial" w:cs="arial"/>
          <w:b/>
          <w:i/>
          <w:color w:val="000000"/>
          <w:sz w:val="20"/>
          <w:lang w:val="en-US" w:eastAsia="en-US" w:bidi="ar-SA"/>
        </w:rPr>
        <w:t>Delgamuukw</w:t>
      </w:r>
      <w:r>
        <w:rPr>
          <w:rFonts w:ascii="arial" w:eastAsia="arial" w:hAnsi="arial" w:cs="arial"/>
          <w:color w:val="000000"/>
          <w:sz w:val="20"/>
          <w:lang w:val="en-US" w:eastAsia="en-US" w:bidi="ar-SA"/>
        </w:rPr>
        <w:t xml:space="preserve">. The tide began to turn with the judgment of the B.C. Court of Appeal in </w:t>
      </w:r>
      <w:r>
        <w:rPr>
          <w:rFonts w:ascii="arial" w:eastAsia="arial" w:hAnsi="arial" w:cs="arial"/>
          <w:b/>
          <w:i/>
          <w:color w:val="000000"/>
          <w:sz w:val="20"/>
          <w:lang w:val="en-US" w:eastAsia="en-US" w:bidi="ar-SA"/>
        </w:rPr>
        <w:t>Delgamuukw</w:t>
      </w:r>
      <w:r>
        <w:rPr>
          <w:rFonts w:ascii="arial" w:eastAsia="arial" w:hAnsi="arial" w:cs="arial"/>
          <w:color w:val="000000"/>
          <w:sz w:val="20"/>
          <w:lang w:val="en-US" w:eastAsia="en-US" w:bidi="ar-SA"/>
        </w:rPr>
        <w:t>, overruling the trial judge on this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1331</w:t>
      </w:r>
      <w:r>
        <w:rPr>
          <w:rFonts w:ascii="arial" w:eastAsia="arial" w:hAnsi="arial" w:cs="arial"/>
          <w:color w:val="000000"/>
          <w:sz w:val="20"/>
          <w:lang w:val="en-US" w:eastAsia="en-US" w:bidi="ar-SA"/>
        </w:rPr>
        <w:t>  The plaintiff has not engaged in prolonged, inordinate or inexcusable delay, nor has the plaintiff acquiesced in the abandonment of Aboriginal title, nor given any grounds for belief that he and all Tsilhqot'in people ever abandoned their Aboriginal title. Finally, there is no evidence of prejudice to British Columbia occasioned by anything done or said by the plaintiff or the Tsilhqot'in people in relation to the Aboriginal title they have claimed.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 Crown Immunity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1332</w:t>
      </w:r>
      <w:r>
        <w:rPr>
          <w:rFonts w:ascii="arial" w:eastAsia="arial" w:hAnsi="arial" w:cs="arial"/>
          <w:color w:val="000000"/>
          <w:sz w:val="20"/>
          <w:lang w:val="en-US" w:eastAsia="en-US" w:bidi="ar-SA"/>
        </w:rPr>
        <w:t xml:space="preserve">  British Columbia argues that the Crown was immune from suit in respect of all causes of action in existence prior to August 1, 1974. Prior to 1974, a party seeking a remedy against the Crown was required to file a petition of right under the </w:t>
      </w:r>
      <w:r>
        <w:rPr>
          <w:rFonts w:ascii="arial" w:eastAsia="arial" w:hAnsi="arial" w:cs="arial"/>
          <w:b/>
          <w:i/>
          <w:color w:val="000000"/>
          <w:sz w:val="20"/>
          <w:lang w:val="en-US" w:eastAsia="en-US" w:bidi="ar-SA"/>
        </w:rPr>
        <w:t>Crown Procedure Act</w:t>
      </w:r>
      <w:r>
        <w:rPr>
          <w:rFonts w:ascii="arial" w:eastAsia="arial" w:hAnsi="arial" w:cs="arial"/>
          <w:color w:val="000000"/>
          <w:sz w:val="20"/>
          <w:lang w:val="en-US" w:eastAsia="en-US" w:bidi="ar-SA"/>
        </w:rPr>
        <w:t xml:space="preserve">, R.S.B.C. 1960, c. 89. The Lieutenant Governor had discretion to grant a fiat allowing the claim to proceed. British Columbia says that </w:t>
      </w:r>
      <w:r>
        <w:rPr>
          <w:rFonts w:ascii="arial" w:eastAsia="arial" w:hAnsi="arial" w:cs="arial"/>
          <w:b/>
          <w:i/>
          <w:color w:val="000000"/>
          <w:sz w:val="20"/>
          <w:lang w:val="en-US" w:eastAsia="en-US" w:bidi="ar-SA"/>
        </w:rPr>
        <w:t>Calder</w:t>
      </w:r>
      <w:r>
        <w:rPr>
          <w:rFonts w:ascii="arial" w:eastAsia="arial" w:hAnsi="arial" w:cs="arial"/>
          <w:color w:val="000000"/>
          <w:sz w:val="20"/>
          <w:lang w:val="en-US" w:eastAsia="en-US" w:bidi="ar-SA"/>
        </w:rPr>
        <w:t xml:space="preserve"> is authority for the application of this principle to a case like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1333</w:t>
      </w:r>
      <w:r>
        <w:rPr>
          <w:rFonts w:ascii="arial" w:eastAsia="arial" w:hAnsi="arial" w:cs="arial"/>
          <w:color w:val="000000"/>
          <w:sz w:val="20"/>
          <w:lang w:val="en-US" w:eastAsia="en-US" w:bidi="ar-SA"/>
        </w:rPr>
        <w:t>  The pleadings limit the plea of Crown immunity to the claims for breach of fiduciary duty and fiduciary obligations. I have declined to consider the issue of breach of fiduciary duty, favouring instead an analysis of the honour of the Crown and the Crown's duty to consult. In these circumstances the issue of Crown immunity does not arise.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1334</w:t>
      </w:r>
      <w:r>
        <w:rPr>
          <w:rFonts w:ascii="arial" w:eastAsia="arial" w:hAnsi="arial" w:cs="arial"/>
          <w:color w:val="000000"/>
          <w:sz w:val="20"/>
          <w:lang w:val="en-US" w:eastAsia="en-US" w:bidi="ar-SA"/>
        </w:rPr>
        <w:t>  The plaintiff claims damages against British Columbia under two main heads of compensation:</w:t>
      </w:r>
      <w:r>
        <w:rPr>
          <w:rFonts w:ascii="arial" w:eastAsia="arial" w:hAnsi="arial" w:cs="arial"/>
          <w:sz w:val="20"/>
          <w:lang w:val="en-US" w:eastAsia="en-US" w:bidi="ar-SA"/>
        </w:rPr>
        <w:cr/>
      </w:r>
    </w:p>
    <w:p>
      <w:pPr>
        <w:numPr>
          <w:numId w:val="27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Compensation for infringements of Aboriginal title resulting from the authorization of timber harvesting activities which have taken place in the Claim Area. The plaintiff says that a resource has been removed from Tsilhqot'in Aboriginal title land and he seeks recovery for these pecuniary losses.</w:t>
      </w:r>
    </w:p>
    <w:p>
      <w:pPr>
        <w:numPr>
          <w:numId w:val="27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Compensation for the infringement of Tsilhqot'in Aboriginal title resulting from British Columbia's imposition of a forestry regime on the Claim Area. The plaintiff says this regime is antithetical to the land management vision which Tsilhqot'in people have sought to implement. Further, that scheme has left Tsilhqot'in people under a constant threat of exploitation for which they are entitled to recover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1335</w:t>
      </w:r>
      <w:r>
        <w:rPr>
          <w:rFonts w:ascii="arial" w:eastAsia="arial" w:hAnsi="arial" w:cs="arial"/>
          <w:color w:val="000000"/>
          <w:sz w:val="20"/>
          <w:lang w:val="en-US" w:eastAsia="en-US" w:bidi="ar-SA"/>
        </w:rPr>
        <w:t>  Given my inability to make a declaration of Tsilhqot'in Aboriginal title, the damage claim must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1336</w:t>
      </w:r>
      <w:r>
        <w:rPr>
          <w:rFonts w:ascii="arial" w:eastAsia="arial" w:hAnsi="arial" w:cs="arial"/>
          <w:color w:val="000000"/>
          <w:sz w:val="20"/>
          <w:lang w:val="en-US" w:eastAsia="en-US" w:bidi="ar-SA"/>
        </w:rPr>
        <w:t>  I have found there is land inside and outside the Claim Area over which Tsilhqot'in Aboriginal title would prevail. Thus, any dismissal of the claim for damages is without prejudice to the right to renew these claims specific to Tsilhqot'in Aboriginal title land. The resources on Aboriginal title land belong to the Tsilhqot'in people and the unjustified removal of these resources would be a matter for appropriate compensation. It is not my intention to dismiss a valid claim for compensation where such a claim can be tied to Tsilhqot'in title 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1337</w:t>
      </w:r>
      <w:r>
        <w:rPr>
          <w:rFonts w:ascii="arial" w:eastAsia="arial" w:hAnsi="arial" w:cs="arial"/>
          <w:color w:val="000000"/>
          <w:sz w:val="20"/>
          <w:lang w:val="en-US" w:eastAsia="en-US" w:bidi="ar-SA"/>
        </w:rPr>
        <w:t>  Reconciliation must take these claims into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 RECONCILIATION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1338</w:t>
      </w:r>
      <w:r>
        <w:rPr>
          <w:rFonts w:ascii="arial" w:eastAsia="arial" w:hAnsi="arial" w:cs="arial"/>
          <w:color w:val="000000"/>
          <w:sz w:val="20"/>
          <w:lang w:val="en-US" w:eastAsia="en-US" w:bidi="ar-SA"/>
        </w:rPr>
        <w:t>  Throughout the course of the trial and over the long months of preparing this judgment, my consistent hope has been that, whatever the outcome, it would ultimately lead to an early and honourable reconciliation with Tsilhqot'in people. After a trial of this scope and duration, it would be tragic if reconciliation with Tsilhqot'in people were postponed through seemingly endless appeals. The time to reach an honourable resolution and reconciliation is with us today.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1339</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Black's Law Dictionary</w:t>
      </w:r>
      <w:r>
        <w:rPr>
          <w:rFonts w:ascii="arial" w:eastAsia="arial" w:hAnsi="arial" w:cs="arial"/>
          <w:color w:val="000000"/>
          <w:sz w:val="20"/>
          <w:lang w:val="en-US" w:eastAsia="en-US" w:bidi="ar-SA"/>
        </w:rPr>
        <w:t>, 8th ed., defines reconciliation as: "Restoration of harmony between persons or things that had been in conflict". The relationship between Aboriginal and non-Aboriginal Canadians has a troubled history. Fuelled by the promise of s. 35(1), the early part of this century has brought significant changes in government policies at both the provincial and federal levels. Thus, there is a kindling of hope and expectation that a just and honourable reconciliation with First Nations people will be achieved by this generation of Canadians.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1340</w:t>
      </w:r>
      <w:r>
        <w:rPr>
          <w:rFonts w:ascii="arial" w:eastAsia="arial" w:hAnsi="arial" w:cs="arial"/>
          <w:color w:val="000000"/>
          <w:sz w:val="20"/>
          <w:lang w:val="en-US" w:eastAsia="en-US" w:bidi="ar-SA"/>
        </w:rPr>
        <w:t xml:space="preserve">  Unfortunately, the initial reluctance of governments to acknowledge the full impact of s. 35(1) has placed the question of reconciliation in the courtroom - one of our most adversarial settings. Courts struggle with the meaning of reconciliation when Aboriginal and non-Aboriginal litigants seek a determination regarding the existence and implications of Aboriginal rights. Lloyd Barber, speaking as Commissioner of the Indian Claims Commission, is quoted on this issue in </w:t>
      </w:r>
      <w:r>
        <w:rPr>
          <w:rFonts w:ascii="arial" w:eastAsia="arial" w:hAnsi="arial" w:cs="arial"/>
          <w:i/>
          <w:color w:val="000000"/>
          <w:sz w:val="20"/>
          <w:lang w:val="en-US" w:eastAsia="en-US" w:bidi="ar-SA"/>
        </w:rPr>
        <w:t>Report of the Royal Commission on Aboriginal Peoples: Looking Forward, Looking Back,</w:t>
      </w:r>
      <w:r>
        <w:rPr>
          <w:rFonts w:ascii="arial" w:eastAsia="arial" w:hAnsi="arial" w:cs="arial"/>
          <w:color w:val="000000"/>
          <w:sz w:val="20"/>
          <w:lang w:val="en-US" w:eastAsia="en-US" w:bidi="ar-SA"/>
        </w:rPr>
        <w:t xml:space="preserve"> vol. 1 (Ottawa: Supply and Services Canada, 1996) at p. 203, quoting </w:t>
      </w:r>
      <w:r>
        <w:rPr>
          <w:rFonts w:ascii="arial" w:eastAsia="arial" w:hAnsi="arial" w:cs="arial"/>
          <w:i/>
          <w:color w:val="000000"/>
          <w:sz w:val="20"/>
          <w:lang w:val="en-US" w:eastAsia="en-US" w:bidi="ar-SA"/>
        </w:rPr>
        <w:t>A Report: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Statements and Submissions</w:t>
      </w:r>
      <w:r>
        <w:rPr>
          <w:rFonts w:ascii="arial" w:eastAsia="arial" w:hAnsi="arial" w:cs="arial"/>
          <w:color w:val="000000"/>
          <w:sz w:val="20"/>
          <w:lang w:val="en-US" w:eastAsia="en-US" w:bidi="ar-SA"/>
        </w:rPr>
        <w:t xml:space="preserve"> (Ottawa: Queen's Printer, 1977) at p. 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clear that most Indian claims are not simple issues of contractual dispute to be resolved through conventional methods of arbitration and adjudication. They are the most visible part of the much, much more complex question of the relationship between the original inhabitants of this land and the powerful cultures which moved in upon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1341</w:t>
      </w:r>
      <w:r>
        <w:rPr>
          <w:rFonts w:ascii="arial" w:eastAsia="arial" w:hAnsi="arial" w:cs="arial"/>
          <w:color w:val="000000"/>
          <w:sz w:val="20"/>
          <w:lang w:val="en-US" w:eastAsia="en-US" w:bidi="ar-SA"/>
        </w:rPr>
        <w:t xml:space="preserve">  Courts are obliged to address this complex question in the context of their constitutional obligations. David Stack describes the nature of this obligation in "The Impact of the RCAP on the Judiciary: Bringing Aboriginal Perspectives into the Courtroom" </w:t>
      </w:r>
      <w:hyperlink r:id="rId749" w:history="1">
        <w:r>
          <w:rPr>
            <w:rFonts w:ascii="arial" w:eastAsia="arial" w:hAnsi="arial" w:cs="arial"/>
            <w:i/>
            <w:color w:val="0077CC"/>
            <w:sz w:val="20"/>
            <w:u w:val="single"/>
            <w:shd w:val="clear" w:color="auto" w:fill="FFFFFF"/>
            <w:lang w:val="en-US" w:eastAsia="en-US" w:bidi="ar-SA"/>
          </w:rPr>
          <w:t>(1999) 62 Sask. L. Rev. 471</w:t>
        </w:r>
      </w:hyperlink>
      <w:r>
        <w:rPr>
          <w:rFonts w:ascii="arial" w:eastAsia="arial" w:hAnsi="arial" w:cs="arial"/>
          <w:color w:val="000000"/>
          <w:sz w:val="20"/>
          <w:lang w:val="en-US" w:eastAsia="en-US" w:bidi="ar-SA"/>
        </w:rPr>
        <w:t>, at para. 44 (QL):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courts' opportunity to advance the larger vision of justice [recognition of Aboriginal rights and self-government] comes from their constitutional obligation to interpret and enforce the Constitution, specifically s. 35(1) which reads: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existing aboriginal and treaty rights of the aboriginal peoples of Canada are hereby recognized and affirmed.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These words leave the courts with a wide discretion to protect, define, and recognize the rights of Aboriginals. In many cases, this gives courts the unenviable task of determining the kind of relationships that rights-bearing Aboriginals are to have with the larger non-Aboriginal society.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1342</w:t>
      </w:r>
      <w:r>
        <w:rPr>
          <w:rFonts w:ascii="arial" w:eastAsia="arial" w:hAnsi="arial" w:cs="arial"/>
          <w:color w:val="000000"/>
          <w:sz w:val="20"/>
          <w:lang w:val="en-US" w:eastAsia="en-US" w:bidi="ar-SA"/>
        </w:rPr>
        <w:t xml:space="preserve">  Some authors have been critical of how Canadian courts have defined the process of reconciliation. For example, John Borrows in "Domesticating Doctrines: Aboriginal Peoples after the Royal Commission" </w:t>
      </w:r>
      <w:hyperlink r:id="rId750" w:history="1">
        <w:r>
          <w:rPr>
            <w:rFonts w:ascii="arial" w:eastAsia="arial" w:hAnsi="arial" w:cs="arial"/>
            <w:i/>
            <w:color w:val="0077CC"/>
            <w:sz w:val="20"/>
            <w:u w:val="single"/>
            <w:shd w:val="clear" w:color="auto" w:fill="FFFFFF"/>
            <w:lang w:val="en-US" w:eastAsia="en-US" w:bidi="ar-SA"/>
          </w:rPr>
          <w:t>(2001) 46 McGill L.J. 615</w:t>
        </w:r>
      </w:hyperlink>
      <w:r>
        <w:rPr>
          <w:rFonts w:ascii="arial" w:eastAsia="arial" w:hAnsi="arial" w:cs="arial"/>
          <w:color w:val="000000"/>
          <w:sz w:val="20"/>
          <w:lang w:val="en-US" w:eastAsia="en-US" w:bidi="ar-SA"/>
        </w:rPr>
        <w:t xml:space="preserve"> (QL) states at para. 64: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Courts have read Aboriginal rights to lands and resources as requiring a reconciliation that asks much more of Aboriginal peoples than it does of Canadians. Reconciliation should not be a front for assimilation.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Reconciliation should be embraced as an approach to Aboriginal-Canadian relations that also requires Canada to accede in many areas. Yet both legislatures and courts have been pursuing a course that, by and large, asks change only of Aboriginal peoples. Canadian institutions have been employing domesticating doctrines in their response to the [Royal Commission on Aboriginal Peoples]. This approach hinders Aboriginal choice in the development of their lands and resources, rather than enhancing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1343</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Sparrow</w:t>
      </w:r>
      <w:r>
        <w:rPr>
          <w:rFonts w:ascii="arial" w:eastAsia="arial" w:hAnsi="arial" w:cs="arial"/>
          <w:color w:val="000000"/>
          <w:sz w:val="20"/>
          <w:lang w:val="en-US" w:eastAsia="en-US" w:bidi="ar-SA"/>
        </w:rPr>
        <w:t xml:space="preserve"> Dickson C.J.C. and La Forest J. introduced the concept of reconciliation between Aboriginal peoples of Canada and the Crown in this way: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There is no explicit language in the provision [s. 35(1)] that authorizes this Court or any court to assess the legitimacy of any government legislation that restricts aboriginal rights. Yet, we find that the words "recognition and affirmation" incorporate the fiduciary relationship referred to earlier and so import some restraint on the exercise of sovereign power. Rights that are recognized and affirmed are not absolute. Federal legislative powers continue, including, of course, the right to legislate with respect to Indians pursuant to s. 91(24) of the </w:t>
      </w:r>
      <w:r>
        <w:rPr>
          <w:rFonts w:ascii="arial" w:eastAsia="arial" w:hAnsi="arial" w:cs="arial"/>
          <w:i/>
          <w:color w:val="000000"/>
          <w:sz w:val="20"/>
          <w:lang w:val="en-US" w:eastAsia="en-US" w:bidi="ar-SA"/>
        </w:rPr>
        <w:t>Constitution Act, 1867</w:t>
      </w:r>
      <w:r>
        <w:rPr>
          <w:rFonts w:ascii="arial" w:eastAsia="arial" w:hAnsi="arial" w:cs="arial"/>
          <w:color w:val="000000"/>
          <w:sz w:val="20"/>
          <w:lang w:val="en-US" w:eastAsia="en-US" w:bidi="ar-SA"/>
        </w:rPr>
        <w:t xml:space="preserve">. These powers must, however, now be read together with s. 35(1). </w:t>
      </w:r>
      <w:r>
        <w:rPr>
          <w:rFonts w:ascii="arial" w:eastAsia="arial" w:hAnsi="arial" w:cs="arial"/>
          <w:i/>
          <w:color w:val="000000"/>
          <w:sz w:val="20"/>
          <w:lang w:val="en-US" w:eastAsia="en-US" w:bidi="ar-SA"/>
        </w:rPr>
        <w:t>In other words, federal power must be reconciled with federal duty and the best way to achieve that reconciliation is to demand the justification of any government regulation that infringes upon or denies aboriginal rights.</w:t>
      </w:r>
      <w:r>
        <w:rPr>
          <w:rFonts w:ascii="arial" w:eastAsia="arial" w:hAnsi="arial" w:cs="arial"/>
          <w:color w:val="000000"/>
          <w:sz w:val="20"/>
          <w:lang w:val="en-US" w:eastAsia="en-US" w:bidi="ar-SA"/>
        </w:rPr>
        <w:t xml:space="preserve">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1344</w:t>
      </w:r>
      <w:r>
        <w:rPr>
          <w:rFonts w:ascii="arial" w:eastAsia="arial" w:hAnsi="arial" w:cs="arial"/>
          <w:color w:val="000000"/>
          <w:sz w:val="20"/>
          <w:lang w:val="en-US" w:eastAsia="en-US" w:bidi="ar-SA"/>
        </w:rPr>
        <w:t xml:space="preserve">  As addressed elsewhere in these reasons for judgment, the </w:t>
      </w:r>
      <w:r>
        <w:rPr>
          <w:rFonts w:ascii="arial" w:eastAsia="arial" w:hAnsi="arial" w:cs="arial"/>
          <w:b/>
          <w:i/>
          <w:color w:val="000000"/>
          <w:sz w:val="20"/>
          <w:lang w:val="en-US" w:eastAsia="en-US" w:bidi="ar-SA"/>
        </w:rPr>
        <w:t>Sparrow</w:t>
      </w:r>
      <w:r>
        <w:rPr>
          <w:rFonts w:ascii="arial" w:eastAsia="arial" w:hAnsi="arial" w:cs="arial"/>
          <w:color w:val="000000"/>
          <w:sz w:val="20"/>
          <w:lang w:val="en-US" w:eastAsia="en-US" w:bidi="ar-SA"/>
        </w:rPr>
        <w:t xml:space="preserve"> test for justification of infringement of Aboriginal rights requires the Crown to prove both a valid legislative objective and respect for the Crown's fiduciary obligations to Aboriginal peoples: </w:t>
      </w:r>
      <w:r>
        <w:rPr>
          <w:rFonts w:ascii="arial" w:eastAsia="arial" w:hAnsi="arial" w:cs="arial"/>
          <w:b/>
          <w:i/>
          <w:color w:val="000000"/>
          <w:sz w:val="20"/>
          <w:lang w:val="en-US" w:eastAsia="en-US" w:bidi="ar-SA"/>
        </w:rPr>
        <w:t>Sparrow</w:t>
      </w:r>
      <w:r>
        <w:rPr>
          <w:rFonts w:ascii="arial" w:eastAsia="arial" w:hAnsi="arial" w:cs="arial"/>
          <w:color w:val="000000"/>
          <w:sz w:val="20"/>
          <w:lang w:val="en-US" w:eastAsia="en-US" w:bidi="ar-SA"/>
        </w:rPr>
        <w:t xml:space="preserve"> at pp. 1113-1115. In other words, the concept of reconciliation introduced in </w:t>
      </w:r>
      <w:r>
        <w:rPr>
          <w:rFonts w:ascii="arial" w:eastAsia="arial" w:hAnsi="arial" w:cs="arial"/>
          <w:b/>
          <w:i/>
          <w:color w:val="000000"/>
          <w:sz w:val="20"/>
          <w:lang w:val="en-US" w:eastAsia="en-US" w:bidi="ar-SA"/>
        </w:rPr>
        <w:t>Sparrow</w:t>
      </w:r>
      <w:r>
        <w:rPr>
          <w:rFonts w:ascii="arial" w:eastAsia="arial" w:hAnsi="arial" w:cs="arial"/>
          <w:color w:val="000000"/>
          <w:sz w:val="20"/>
          <w:lang w:val="en-US" w:eastAsia="en-US" w:bidi="ar-SA"/>
        </w:rPr>
        <w:t xml:space="preserve"> focused on working out a new relationship between federal power and federal duty as a result of the Crown's fiduciary relationship with Aboriginal peoples.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1345</w:t>
      </w:r>
      <w:r>
        <w:rPr>
          <w:rFonts w:ascii="arial" w:eastAsia="arial" w:hAnsi="arial" w:cs="arial"/>
          <w:color w:val="000000"/>
          <w:sz w:val="20"/>
          <w:lang w:val="en-US" w:eastAsia="en-US" w:bidi="ar-SA"/>
        </w:rPr>
        <w:t xml:space="preserve">  The Court revisited its theory of reconciliation in the </w:t>
      </w:r>
      <w:r>
        <w:rPr>
          <w:rFonts w:ascii="arial" w:eastAsia="arial" w:hAnsi="arial" w:cs="arial"/>
          <w:b/>
          <w:i/>
          <w:color w:val="000000"/>
          <w:sz w:val="20"/>
          <w:lang w:val="en-US" w:eastAsia="en-US" w:bidi="ar-SA"/>
        </w:rPr>
        <w:t>Van der Peet</w:t>
      </w:r>
      <w:r>
        <w:rPr>
          <w:rFonts w:ascii="arial" w:eastAsia="arial" w:hAnsi="arial" w:cs="arial"/>
          <w:color w:val="000000"/>
          <w:sz w:val="20"/>
          <w:lang w:val="en-US" w:eastAsia="en-US" w:bidi="ar-SA"/>
        </w:rPr>
        <w:t xml:space="preserve"> trilogy: </w:t>
      </w:r>
      <w:r>
        <w:rPr>
          <w:rFonts w:ascii="arial" w:eastAsia="arial" w:hAnsi="arial" w:cs="arial"/>
          <w:b/>
          <w:i/>
          <w:color w:val="000000"/>
          <w:sz w:val="20"/>
          <w:lang w:val="en-US" w:eastAsia="en-US" w:bidi="ar-SA"/>
        </w:rPr>
        <w:t>Van der Peet</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Gladstone</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Smokehouse</w:t>
      </w:r>
      <w:r>
        <w:rPr>
          <w:rFonts w:ascii="arial" w:eastAsia="arial" w:hAnsi="arial" w:cs="arial"/>
          <w:color w:val="000000"/>
          <w:sz w:val="20"/>
          <w:lang w:val="en-US" w:eastAsia="en-US" w:bidi="ar-SA"/>
        </w:rPr>
        <w:t xml:space="preserve">. In defining the scope of Aboriginal rights protected by s. 35(1), Lamer C.J.C. re-interpreted the </w:t>
      </w:r>
      <w:r>
        <w:rPr>
          <w:rFonts w:ascii="arial" w:eastAsia="arial" w:hAnsi="arial" w:cs="arial"/>
          <w:b/>
          <w:i/>
          <w:color w:val="000000"/>
          <w:sz w:val="20"/>
          <w:lang w:val="en-US" w:eastAsia="en-US" w:bidi="ar-SA"/>
        </w:rPr>
        <w:t>Sparrow</w:t>
      </w:r>
      <w:r>
        <w:rPr>
          <w:rFonts w:ascii="arial" w:eastAsia="arial" w:hAnsi="arial" w:cs="arial"/>
          <w:color w:val="000000"/>
          <w:sz w:val="20"/>
          <w:lang w:val="en-US" w:eastAsia="en-US" w:bidi="ar-SA"/>
        </w:rPr>
        <w:t xml:space="preserve"> theory of reconciliation (a means to reconcile constitutional recognition of Aboriginal rights with federal legislative power) as a means to work out the appropriate place of Aboriginal people within the Canadian 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1346</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Gladstone</w:t>
      </w:r>
      <w:r>
        <w:rPr>
          <w:rFonts w:ascii="arial" w:eastAsia="arial" w:hAnsi="arial" w:cs="arial"/>
          <w:color w:val="000000"/>
          <w:sz w:val="20"/>
          <w:lang w:val="en-US" w:eastAsia="en-US" w:bidi="ar-SA"/>
        </w:rPr>
        <w:t xml:space="preserve">, Lamer C.J.C. considered what kinds of legislative objectives might be sufficiently compelling and substantial to justify infringement. After quoting from </w:t>
      </w:r>
      <w:r>
        <w:rPr>
          <w:rFonts w:ascii="arial" w:eastAsia="arial" w:hAnsi="arial" w:cs="arial"/>
          <w:b/>
          <w:i/>
          <w:color w:val="000000"/>
          <w:sz w:val="20"/>
          <w:lang w:val="en-US" w:eastAsia="en-US" w:bidi="ar-SA"/>
        </w:rPr>
        <w:t>Van der Peet</w:t>
      </w:r>
      <w:r>
        <w:rPr>
          <w:rFonts w:ascii="arial" w:eastAsia="arial" w:hAnsi="arial" w:cs="arial"/>
          <w:color w:val="000000"/>
          <w:sz w:val="20"/>
          <w:lang w:val="en-US" w:eastAsia="en-US" w:bidi="ar-SA"/>
        </w:rPr>
        <w:t xml:space="preserve">, Chief Justice Lamer stated the following in </w:t>
      </w:r>
      <w:r>
        <w:rPr>
          <w:rFonts w:ascii="arial" w:eastAsia="arial" w:hAnsi="arial" w:cs="arial"/>
          <w:b/>
          <w:i/>
          <w:color w:val="000000"/>
          <w:sz w:val="20"/>
          <w:lang w:val="en-US" w:eastAsia="en-US" w:bidi="ar-SA"/>
        </w:rPr>
        <w:t>Gladstone</w:t>
      </w:r>
      <w:r>
        <w:rPr>
          <w:rFonts w:ascii="arial" w:eastAsia="arial" w:hAnsi="arial" w:cs="arial"/>
          <w:color w:val="000000"/>
          <w:sz w:val="20"/>
          <w:lang w:val="en-US" w:eastAsia="en-US" w:bidi="ar-SA"/>
        </w:rPr>
        <w:t>, at para. 72: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 context of the objectives which can be said to be compelling and substantial under the first branch of the </w:t>
      </w:r>
      <w:r>
        <w:rPr>
          <w:rFonts w:ascii="arial" w:eastAsia="arial" w:hAnsi="arial" w:cs="arial"/>
          <w:i/>
          <w:color w:val="000000"/>
          <w:sz w:val="20"/>
          <w:lang w:val="en-US" w:eastAsia="en-US" w:bidi="ar-SA"/>
        </w:rPr>
        <w:t>Sparrow</w:t>
      </w:r>
      <w:r>
        <w:rPr>
          <w:rFonts w:ascii="arial" w:eastAsia="arial" w:hAnsi="arial" w:cs="arial"/>
          <w:color w:val="000000"/>
          <w:sz w:val="20"/>
          <w:lang w:val="en-US" w:eastAsia="en-US" w:bidi="ar-SA"/>
        </w:rPr>
        <w:t xml:space="preserve"> justification test, the import of these purposes is that their objectives which can be said to be compelling and substantial will be those directed at either the recognition of the prior occupation of North America by aboriginal peoples or - and at the level of justification it is this purpose which may well be most relevant - at the reconciliation of aboriginal prior occupation with the assertion of sovereignty by the Crown.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1347</w:t>
      </w:r>
      <w:r>
        <w:rPr>
          <w:rFonts w:ascii="arial" w:eastAsia="arial" w:hAnsi="arial" w:cs="arial"/>
          <w:color w:val="000000"/>
          <w:sz w:val="20"/>
          <w:lang w:val="en-US" w:eastAsia="en-US" w:bidi="ar-SA"/>
        </w:rPr>
        <w:t xml:space="preserve">  This revised theory of reconciliation provided the rationale for the wide range of legislative objectives that could meet the compelling and substantial requirement laid down in </w:t>
      </w:r>
      <w:r>
        <w:rPr>
          <w:rFonts w:ascii="arial" w:eastAsia="arial" w:hAnsi="arial" w:cs="arial"/>
          <w:b/>
          <w:i/>
          <w:color w:val="000000"/>
          <w:sz w:val="20"/>
          <w:lang w:val="en-US" w:eastAsia="en-US" w:bidi="ar-SA"/>
        </w:rPr>
        <w:t>Sparrow</w:t>
      </w:r>
      <w:r>
        <w:rPr>
          <w:rFonts w:ascii="arial" w:eastAsia="arial" w:hAnsi="arial" w:cs="arial"/>
          <w:color w:val="000000"/>
          <w:sz w:val="20"/>
          <w:lang w:val="en-US" w:eastAsia="en-US" w:bidi="ar-SA"/>
        </w:rPr>
        <w:t>. Lamer C.J.C. continued at para. 73: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Because ... distinctive aboriginal societies exist within, and are a part of, a broader social, political and economic community, over which the Crown is sovereign, there are circumstances in which, in order to pursue objectives of compelling and substantial importance to that community as a whole (taking into account the fact that aboriginal societies are part of that community), some limitation of those rights will be justifiable. Aboriginal rights are a necessary part of the reconciliation of aboriginal societies with the broader political community of which they are a part; limits placed on those rights are, where the objectives furthered by those limits are of sufficient importance to the broader community as a whole, </w:t>
      </w:r>
      <w:r>
        <w:rPr>
          <w:rFonts w:ascii="arial" w:eastAsia="arial" w:hAnsi="arial" w:cs="arial"/>
          <w:color w:val="000000"/>
          <w:sz w:val="20"/>
          <w:u w:val="single"/>
          <w:lang w:val="en-US" w:eastAsia="en-US" w:bidi="ar-SA"/>
        </w:rPr>
        <w:t>equally</w:t>
      </w:r>
      <w:r>
        <w:rPr>
          <w:rFonts w:ascii="arial" w:eastAsia="arial" w:hAnsi="arial" w:cs="arial"/>
          <w:color w:val="000000"/>
          <w:sz w:val="20"/>
          <w:lang w:val="en-US" w:eastAsia="en-US" w:bidi="ar-SA"/>
        </w:rPr>
        <w:t xml:space="preserve"> a necessary part of that reconciliation.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1348</w:t>
      </w:r>
      <w:r>
        <w:rPr>
          <w:rFonts w:ascii="arial" w:eastAsia="arial" w:hAnsi="arial" w:cs="arial"/>
          <w:color w:val="000000"/>
          <w:sz w:val="20"/>
          <w:lang w:val="en-US" w:eastAsia="en-US" w:bidi="ar-SA"/>
        </w:rPr>
        <w:t xml:space="preserve">  The minority opinions of McLachlin J. (as she then was) in </w:t>
      </w:r>
      <w:r>
        <w:rPr>
          <w:rFonts w:ascii="arial" w:eastAsia="arial" w:hAnsi="arial" w:cs="arial"/>
          <w:b/>
          <w:i/>
          <w:color w:val="000000"/>
          <w:sz w:val="20"/>
          <w:lang w:val="en-US" w:eastAsia="en-US" w:bidi="ar-SA"/>
        </w:rPr>
        <w:t>Van der Peet</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Gladstone</w:t>
      </w:r>
      <w:r>
        <w:rPr>
          <w:rFonts w:ascii="arial" w:eastAsia="arial" w:hAnsi="arial" w:cs="arial"/>
          <w:color w:val="000000"/>
          <w:sz w:val="20"/>
          <w:lang w:val="en-US" w:eastAsia="en-US" w:bidi="ar-SA"/>
        </w:rPr>
        <w:t xml:space="preserve"> address some of the more problematic aspects of Lamer C.J.C.'s judgments in the </w:t>
      </w:r>
      <w:r>
        <w:rPr>
          <w:rFonts w:ascii="arial" w:eastAsia="arial" w:hAnsi="arial" w:cs="arial"/>
          <w:b/>
          <w:i/>
          <w:color w:val="000000"/>
          <w:sz w:val="20"/>
          <w:lang w:val="en-US" w:eastAsia="en-US" w:bidi="ar-SA"/>
        </w:rPr>
        <w:t>Van der Peet</w:t>
      </w:r>
      <w:r>
        <w:rPr>
          <w:rFonts w:ascii="arial" w:eastAsia="arial" w:hAnsi="arial" w:cs="arial"/>
          <w:color w:val="000000"/>
          <w:sz w:val="20"/>
          <w:lang w:val="en-US" w:eastAsia="en-US" w:bidi="ar-SA"/>
        </w:rPr>
        <w:t xml:space="preserve"> trilogy. McLachlin J. characterized Lamer C.J.C.'s view of the purpose of s. 35(1) to achieve reconciliation as incomplete. In </w:t>
      </w:r>
      <w:r>
        <w:rPr>
          <w:rFonts w:ascii="arial" w:eastAsia="arial" w:hAnsi="arial" w:cs="arial"/>
          <w:b/>
          <w:i/>
          <w:color w:val="000000"/>
          <w:sz w:val="20"/>
          <w:lang w:val="en-US" w:eastAsia="en-US" w:bidi="ar-SA"/>
        </w:rPr>
        <w:t>Van der Peet</w:t>
      </w:r>
      <w:r>
        <w:rPr>
          <w:rFonts w:ascii="arial" w:eastAsia="arial" w:hAnsi="arial" w:cs="arial"/>
          <w:color w:val="000000"/>
          <w:sz w:val="20"/>
          <w:lang w:val="en-US" w:eastAsia="en-US" w:bidi="ar-SA"/>
        </w:rPr>
        <w:t>, McLachlin J. stated at para. 230: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Sec. 35(1) recognizes not only prior aboriginal occupation, but also a prior legal regime giving rise to aboriginal rights which persist, absent extinguishment. And it seeks not only to reconcile these claims with European settlement and sovereignty but also to reconcile them in a way that provides the basis for a just and lasting settlement of aboriginal claims consistent with the high standard which the law imposes on the Crown in its dealings with aboriginal peoples. McLachlin J. went on to state at para. 310: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My third observation is that the proposed departure from the principle of justification elaborated in </w:t>
      </w:r>
      <w:r>
        <w:rPr>
          <w:rFonts w:ascii="arial" w:eastAsia="arial" w:hAnsi="arial" w:cs="arial"/>
          <w:i/>
          <w:color w:val="000000"/>
          <w:sz w:val="20"/>
          <w:lang w:val="en-US" w:eastAsia="en-US" w:bidi="ar-SA"/>
        </w:rPr>
        <w:t>Sparrow</w:t>
      </w:r>
      <w:r>
        <w:rPr>
          <w:rFonts w:ascii="arial" w:eastAsia="arial" w:hAnsi="arial" w:cs="arial"/>
          <w:color w:val="000000"/>
          <w:sz w:val="20"/>
          <w:lang w:val="en-US" w:eastAsia="en-US" w:bidi="ar-SA"/>
        </w:rPr>
        <w:t xml:space="preserve"> is unnecessary to provide the "reconciliation" of aboriginal and non-aboriginal interests which is said to require it. The Chief Justice correctly identifies reconciliation between aboriginal and non-aboriginal communities as a goal of fundamental importance. The desire for reconciliation, in many cases long overdue, lay behind the adoption of s. 35(1) of the </w:t>
      </w:r>
      <w:r>
        <w:rPr>
          <w:rFonts w:ascii="arial" w:eastAsia="arial" w:hAnsi="arial" w:cs="arial"/>
          <w:i/>
          <w:color w:val="000000"/>
          <w:sz w:val="20"/>
          <w:lang w:val="en-US" w:eastAsia="en-US" w:bidi="ar-SA"/>
        </w:rPr>
        <w:t>Constitution Act, 1982</w:t>
      </w:r>
      <w:r>
        <w:rPr>
          <w:rFonts w:ascii="arial" w:eastAsia="arial" w:hAnsi="arial" w:cs="arial"/>
          <w:color w:val="000000"/>
          <w:sz w:val="20"/>
          <w:lang w:val="en-US" w:eastAsia="en-US" w:bidi="ar-SA"/>
        </w:rPr>
        <w:t xml:space="preserve">. As </w:t>
      </w:r>
      <w:r>
        <w:rPr>
          <w:rFonts w:ascii="arial" w:eastAsia="arial" w:hAnsi="arial" w:cs="arial"/>
          <w:i/>
          <w:color w:val="000000"/>
          <w:sz w:val="20"/>
          <w:lang w:val="en-US" w:eastAsia="en-US" w:bidi="ar-SA"/>
        </w:rPr>
        <w:t>Sparrow</w:t>
      </w:r>
      <w:r>
        <w:rPr>
          <w:rFonts w:ascii="arial" w:eastAsia="arial" w:hAnsi="arial" w:cs="arial"/>
          <w:color w:val="000000"/>
          <w:sz w:val="20"/>
          <w:lang w:val="en-US" w:eastAsia="en-US" w:bidi="ar-SA"/>
        </w:rPr>
        <w:t xml:space="preserve"> recognized, one of the two fundamental purposes of s. 35(1) was the achievement of a just and lasting settlement of aboriginal claims. The Chief Justice also correctly notes that such a settlement must be founded on reconciliation of aboriginal rights with the larger non-aboriginal culture in which they must, of necessity, find their exercise ... The question is how this reconciliation of the different legal cultures of aboriginal and non-aboriginal peoples is to be accomplished. More particularly, does the goal of reconciliation of aboriginal and non-aboriginal interests require that we permit the Crown to require a judicially authorized transfer of the aboriginal right to non-aboriginals without the consent of the aboriginal people, without treaty, and without compensation? I cannot think it does.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1349</w:t>
      </w:r>
      <w:r>
        <w:rPr>
          <w:rFonts w:ascii="arial" w:eastAsia="arial" w:hAnsi="arial" w:cs="arial"/>
          <w:color w:val="000000"/>
          <w:sz w:val="20"/>
          <w:lang w:val="en-US" w:eastAsia="en-US" w:bidi="ar-SA"/>
        </w:rPr>
        <w:t xml:space="preserve">  In the view of McLachlin J., reconciliation between Aboriginal and non-Aboriginal peoples could be achieved in a way that was more respectful of constitutional principles. She noted that Aboriginal and non-Aboriginal perspectives have historically been reconciled through treaties. McLachlin J. argued for reconciliation through negotiated settlements. In </w:t>
      </w:r>
      <w:r>
        <w:rPr>
          <w:rFonts w:ascii="arial" w:eastAsia="arial" w:hAnsi="arial" w:cs="arial"/>
          <w:b/>
          <w:i/>
          <w:color w:val="000000"/>
          <w:sz w:val="20"/>
          <w:lang w:val="en-US" w:eastAsia="en-US" w:bidi="ar-SA"/>
        </w:rPr>
        <w:t>Van der Peet</w:t>
      </w:r>
      <w:r>
        <w:rPr>
          <w:rFonts w:ascii="arial" w:eastAsia="arial" w:hAnsi="arial" w:cs="arial"/>
          <w:color w:val="000000"/>
          <w:sz w:val="20"/>
          <w:lang w:val="en-US" w:eastAsia="en-US" w:bidi="ar-SA"/>
        </w:rPr>
        <w:t xml:space="preserve"> at para. 313, she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for the aboriginal peoples and other peoples of Canada to work out a just accommodation of the recognized aboriginal rights. This process - definition of the rights guaranteed by s. 35(1) followed by negotiated settlements - is the means envisaged in </w:t>
      </w:r>
      <w:r>
        <w:rPr>
          <w:rFonts w:ascii="arial" w:eastAsia="arial" w:hAnsi="arial" w:cs="arial"/>
          <w:i/>
          <w:color w:val="000000"/>
          <w:sz w:val="20"/>
          <w:lang w:val="en-US" w:eastAsia="en-US" w:bidi="ar-SA"/>
        </w:rPr>
        <w:t>Sparrow</w:t>
      </w:r>
      <w:r>
        <w:rPr>
          <w:rFonts w:ascii="arial" w:eastAsia="arial" w:hAnsi="arial" w:cs="arial"/>
          <w:color w:val="000000"/>
          <w:sz w:val="20"/>
          <w:lang w:val="en-US" w:eastAsia="en-US" w:bidi="ar-SA"/>
        </w:rPr>
        <w:t>, as I perceive it, for reconciling the aboriginal and non-aboriginal perspectives. It has not as yet been tried in the case of the Sto:lo. A century and one-half after European settlement, the Crown has yet to conclude a treaty with them. Until we have exhausted the traditional means by which aboriginal and non-aboriginal legal perspectives may be reconciled, it seems difficult to assert that it is necessary for the courts to suggest more radical methods of reconciliation possessing the potential to erode aboriginal rights seriously.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1350</w:t>
      </w:r>
      <w:r>
        <w:rPr>
          <w:rFonts w:ascii="arial" w:eastAsia="arial" w:hAnsi="arial" w:cs="arial"/>
          <w:color w:val="000000"/>
          <w:sz w:val="20"/>
          <w:lang w:val="en-US" w:eastAsia="en-US" w:bidi="ar-SA"/>
        </w:rPr>
        <w:t xml:space="preserve">  The Court is clearly concerned with developing a theory of reconciliation that accords with Canada's identity as a constitutional democracy. However, the majority's link between it's theory of reconciliation and the justification of infringements test described in </w:t>
      </w:r>
      <w:r>
        <w:rPr>
          <w:rFonts w:ascii="arial" w:eastAsia="arial" w:hAnsi="arial" w:cs="arial"/>
          <w:b/>
          <w:i/>
          <w:color w:val="000000"/>
          <w:sz w:val="20"/>
          <w:lang w:val="en-US" w:eastAsia="en-US" w:bidi="ar-SA"/>
        </w:rPr>
        <w:t>Van der Peet</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Gladstone</w:t>
      </w:r>
      <w:r>
        <w:rPr>
          <w:rFonts w:ascii="arial" w:eastAsia="arial" w:hAnsi="arial" w:cs="arial"/>
          <w:color w:val="000000"/>
          <w:sz w:val="20"/>
          <w:lang w:val="en-US" w:eastAsia="en-US" w:bidi="ar-SA"/>
        </w:rPr>
        <w:t xml:space="preserve"> would appear to effectively place Aboriginal rights under a </w:t>
      </w:r>
      <w:r>
        <w:rPr>
          <w:rFonts w:ascii="arial" w:eastAsia="arial" w:hAnsi="arial" w:cs="arial"/>
          <w:b/>
          <w:i/>
          <w:color w:val="000000"/>
          <w:sz w:val="20"/>
          <w:lang w:val="en-US" w:eastAsia="en-US" w:bidi="ar-SA"/>
        </w:rPr>
        <w:t>Charter</w:t>
      </w:r>
      <w:r>
        <w:rPr>
          <w:rFonts w:ascii="arial" w:eastAsia="arial" w:hAnsi="arial" w:cs="arial"/>
          <w:color w:val="000000"/>
          <w:sz w:val="20"/>
          <w:lang w:val="en-US" w:eastAsia="en-US" w:bidi="ar-SA"/>
        </w:rPr>
        <w:t xml:space="preserve"> s. 1 analysis. As McLachlin J. points out, this is contrary to the constitutional document, and arguably contrary to the objectives behind s. 35(1). The result is that the interests of the broader Canadian community, as opposed to the constitutionally entrenched rights of Aboriginal peoples, are to be foremost in the consideration of the Court. In that type of analysis, reconciliation does not focus on the historical injustices suffered by Aboriginal peoples. It is reconciliation on terms imposed by the needs of the colonizer.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1351</w:t>
      </w:r>
      <w:r>
        <w:rPr>
          <w:rFonts w:ascii="arial" w:eastAsia="arial" w:hAnsi="arial" w:cs="arial"/>
          <w:color w:val="000000"/>
          <w:sz w:val="20"/>
          <w:lang w:val="en-US" w:eastAsia="en-US" w:bidi="ar-SA"/>
        </w:rPr>
        <w:t>  Lisa Dufraimont, in "From Regulation to Recolonization: Justifiable Infringement of Aboriginal Rights at the Supreme Court of Canada" (2000) 58 U.T. Fac. L. Rev. (QL) explains at para. 24: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Like the broadening test for justification of infringement it informs, the discussion of reconciliation in </w:t>
      </w:r>
      <w:r>
        <w:rPr>
          <w:rFonts w:ascii="arial" w:eastAsia="arial" w:hAnsi="arial" w:cs="arial"/>
          <w:i/>
          <w:color w:val="000000"/>
          <w:sz w:val="20"/>
          <w:lang w:val="en-US" w:eastAsia="en-US" w:bidi="ar-SA"/>
        </w:rPr>
        <w:t>Gladstone</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Delgamuukw</w:t>
      </w:r>
      <w:r>
        <w:rPr>
          <w:rFonts w:ascii="arial" w:eastAsia="arial" w:hAnsi="arial" w:cs="arial"/>
          <w:color w:val="000000"/>
          <w:sz w:val="20"/>
          <w:lang w:val="en-US" w:eastAsia="en-US" w:bidi="ar-SA"/>
        </w:rPr>
        <w:t xml:space="preserve"> suggests that Aboriginal rights must give way when they conflict with public goals and interests. This idea of reconciliation is simply not a plausible articulation of the purpose of s. 35(1). Governments do not recognize and affirm minority rights for the benefit of the majority. Rather, the purpose of s. 35(1), as suggested in Sparrow, is remedial. Aboriginal rights have been constitutionalized precisely in order to promote a just settlement for Aboriginal peoples by strengthening and legitimizing their claims against the Crown.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1352</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Delgamuukw</w:t>
      </w:r>
      <w:r>
        <w:rPr>
          <w:rFonts w:ascii="arial" w:eastAsia="arial" w:hAnsi="arial" w:cs="arial"/>
          <w:color w:val="000000"/>
          <w:sz w:val="20"/>
          <w:lang w:val="en-US" w:eastAsia="en-US" w:bidi="ar-SA"/>
        </w:rPr>
        <w:t xml:space="preserve">, Lamer C.J.C. affirmed and applied the </w:t>
      </w:r>
      <w:r>
        <w:rPr>
          <w:rFonts w:ascii="arial" w:eastAsia="arial" w:hAnsi="arial" w:cs="arial"/>
          <w:b/>
          <w:i/>
          <w:color w:val="000000"/>
          <w:sz w:val="20"/>
          <w:lang w:val="en-US" w:eastAsia="en-US" w:bidi="ar-SA"/>
        </w:rPr>
        <w:t>Gladstone</w:t>
      </w:r>
      <w:r>
        <w:rPr>
          <w:rFonts w:ascii="arial" w:eastAsia="arial" w:hAnsi="arial" w:cs="arial"/>
          <w:color w:val="000000"/>
          <w:sz w:val="20"/>
          <w:lang w:val="en-US" w:eastAsia="en-US" w:bidi="ar-SA"/>
        </w:rPr>
        <w:t xml:space="preserve"> justification test to infringements of Aboriginal title. La Forest J. and L'Heureux-Dubé J. concurring, arrived at the same result in a separate judgment. McLachlin J. concurred with Lamer C.J.C., adding that she was "also in substantial agreement with the comments of Justice La Forest". In his judgment in </w:t>
      </w:r>
      <w:r>
        <w:rPr>
          <w:rFonts w:ascii="arial" w:eastAsia="arial" w:hAnsi="arial" w:cs="arial"/>
          <w:b/>
          <w:i/>
          <w:color w:val="000000"/>
          <w:sz w:val="20"/>
          <w:lang w:val="en-US" w:eastAsia="en-US" w:bidi="ar-SA"/>
        </w:rPr>
        <w:t>Delgamuukw</w:t>
      </w:r>
      <w:r>
        <w:rPr>
          <w:rFonts w:ascii="arial" w:eastAsia="arial" w:hAnsi="arial" w:cs="arial"/>
          <w:color w:val="000000"/>
          <w:sz w:val="20"/>
          <w:lang w:val="en-US" w:eastAsia="en-US" w:bidi="ar-SA"/>
        </w:rPr>
        <w:t>, Lamer C.J.C. expanded the list of justifiable infringements of Aboriginal title at para. 165: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 wake of </w:t>
      </w:r>
      <w:r>
        <w:rPr>
          <w:rFonts w:ascii="arial" w:eastAsia="arial" w:hAnsi="arial" w:cs="arial"/>
          <w:i/>
          <w:color w:val="000000"/>
          <w:sz w:val="20"/>
          <w:lang w:val="en-US" w:eastAsia="en-US" w:bidi="ar-SA"/>
        </w:rPr>
        <w:t>Gladstone</w:t>
      </w:r>
      <w:r>
        <w:rPr>
          <w:rFonts w:ascii="arial" w:eastAsia="arial" w:hAnsi="arial" w:cs="arial"/>
          <w:color w:val="000000"/>
          <w:sz w:val="20"/>
          <w:lang w:val="en-US" w:eastAsia="en-US" w:bidi="ar-SA"/>
        </w:rPr>
        <w:t xml:space="preserve">, the range of legislative objectives that can justify the infringement of aboriginal title is fairly broad. Most of those objectives can be traced to the </w:t>
      </w:r>
      <w:r>
        <w:rPr>
          <w:rFonts w:ascii="arial" w:eastAsia="arial" w:hAnsi="arial" w:cs="arial"/>
          <w:color w:val="000000"/>
          <w:sz w:val="20"/>
          <w:u w:val="single"/>
          <w:lang w:val="en-US" w:eastAsia="en-US" w:bidi="ar-SA"/>
        </w:rPr>
        <w:t>reconciliation</w:t>
      </w:r>
      <w:r>
        <w:rPr>
          <w:rFonts w:ascii="arial" w:eastAsia="arial" w:hAnsi="arial" w:cs="arial"/>
          <w:color w:val="000000"/>
          <w:sz w:val="20"/>
          <w:lang w:val="en-US" w:eastAsia="en-US" w:bidi="ar-SA"/>
        </w:rPr>
        <w:t xml:space="preserve"> of the prior occupation of North America by aboriginal peoples with the assertion of Crown sovereignty, which entails the recognition that "distinctive aboriginal societies exist within, and are a part of, a broader social, political and economic community" (at para. 73). In my opinion, the development of agriculture, forestry, mining, and hydroelectric power, the general economic development of the interior of British Columbia, protection of the environment or endangered species, the building of infrastructure and the settlement of foreign populations to support those aims, are the kinds of objectives that are consistent with this purpose and, in principle, can justify the infringement of aboriginal title.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1353</w:t>
      </w:r>
      <w:r>
        <w:rPr>
          <w:rFonts w:ascii="arial" w:eastAsia="arial" w:hAnsi="arial" w:cs="arial"/>
          <w:color w:val="000000"/>
          <w:sz w:val="20"/>
          <w:lang w:val="en-US" w:eastAsia="en-US" w:bidi="ar-SA"/>
        </w:rPr>
        <w:t xml:space="preserve">  McLachlin C.J.C. wrote the unanimous judgment in </w:t>
      </w:r>
      <w:r>
        <w:rPr>
          <w:rFonts w:ascii="arial" w:eastAsia="arial" w:hAnsi="arial" w:cs="arial"/>
          <w:b/>
          <w:i/>
          <w:color w:val="000000"/>
          <w:sz w:val="20"/>
          <w:lang w:val="en-US" w:eastAsia="en-US" w:bidi="ar-SA"/>
        </w:rPr>
        <w:t>Haida Nation</w:t>
      </w:r>
      <w:r>
        <w:rPr>
          <w:rFonts w:ascii="arial" w:eastAsia="arial" w:hAnsi="arial" w:cs="arial"/>
          <w:color w:val="000000"/>
          <w:sz w:val="20"/>
          <w:lang w:val="en-US" w:eastAsia="en-US" w:bidi="ar-SA"/>
        </w:rPr>
        <w:t>. At para. 20, she revisited her vision of reconciliation through negotiated settlements, stating: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Treaties serve to reconcile pre-existing Aboriginal sovereignty with assumed Crown sovereignty, and to define Aboriginal rights guaranteed by s. 35 of the </w:t>
      </w:r>
      <w:r>
        <w:rPr>
          <w:rFonts w:ascii="arial" w:eastAsia="arial" w:hAnsi="arial" w:cs="arial"/>
          <w:i/>
          <w:color w:val="000000"/>
          <w:sz w:val="20"/>
          <w:lang w:val="en-US" w:eastAsia="en-US" w:bidi="ar-SA"/>
        </w:rPr>
        <w:t>Constitution Act, 1982</w:t>
      </w:r>
      <w:r>
        <w:rPr>
          <w:rFonts w:ascii="arial" w:eastAsia="arial" w:hAnsi="arial" w:cs="arial"/>
          <w:color w:val="000000"/>
          <w:sz w:val="20"/>
          <w:lang w:val="en-US" w:eastAsia="en-US" w:bidi="ar-SA"/>
        </w:rPr>
        <w:t>. Section 35 represents a promise of rights recognition and "[i]t is always assumed that the Crown intends to fulfil its promises" (</w:t>
      </w:r>
      <w:r>
        <w:rPr>
          <w:rFonts w:ascii="arial" w:eastAsia="arial" w:hAnsi="arial" w:cs="arial"/>
          <w:i/>
          <w:color w:val="000000"/>
          <w:sz w:val="20"/>
          <w:lang w:val="en-US" w:eastAsia="en-US" w:bidi="ar-SA"/>
        </w:rPr>
        <w:t>Badger, supra</w:t>
      </w:r>
      <w:r>
        <w:rPr>
          <w:rFonts w:ascii="arial" w:eastAsia="arial" w:hAnsi="arial" w:cs="arial"/>
          <w:color w:val="000000"/>
          <w:sz w:val="20"/>
          <w:lang w:val="en-US" w:eastAsia="en-US" w:bidi="ar-SA"/>
        </w:rPr>
        <w:t>, at para. 41). This promise is realized and sovereignty claims reconciled through the process of honourable negotiation. It is a corollary of s. 35 that the Crown act honourably in defining the rights it guarantees and in reconciling them with other rights and interests. This, in turn, implies a duty to consult and, if appropriate, accommodate.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1354</w:t>
      </w:r>
      <w:r>
        <w:rPr>
          <w:rFonts w:ascii="arial" w:eastAsia="arial" w:hAnsi="arial" w:cs="arial"/>
          <w:color w:val="000000"/>
          <w:sz w:val="20"/>
          <w:lang w:val="en-US" w:eastAsia="en-US" w:bidi="ar-SA"/>
        </w:rPr>
        <w:t xml:space="preserve">  McLachlin C.J.C. describes her vision of reconciliation at para. 32: The jurisprudence of this Court supports the view that the duty to consult and accommodate is part of a process of fair dealing and reconciliation that begins with the assertion of sovereignty and continues beyond formal claims resolution. Reconciliation is not a final legal remedy in the usual sense. Rather it is a process flowing from rights guaranteed by s. 35(1) of the </w:t>
      </w:r>
      <w:r>
        <w:rPr>
          <w:rFonts w:ascii="arial" w:eastAsia="arial" w:hAnsi="arial" w:cs="arial"/>
          <w:i/>
          <w:color w:val="000000"/>
          <w:sz w:val="20"/>
          <w:lang w:val="en-US" w:eastAsia="en-US" w:bidi="ar-SA"/>
        </w:rPr>
        <w:t>Constitution Act, 1982</w:t>
      </w:r>
      <w:r>
        <w:rPr>
          <w:rFonts w:ascii="arial" w:eastAsia="arial" w:hAnsi="arial" w:cs="arial"/>
          <w:color w:val="000000"/>
          <w:sz w:val="20"/>
          <w:lang w:val="en-US" w:eastAsia="en-US" w:bidi="ar-SA"/>
        </w:rPr>
        <w:t xml:space="preserve">. This process of reconciliation flows from the Crown's duty of honourable dealing toward Aboriginal peoples, which arises in turn from the Crown's assertion of sovereignty over an Aboriginal people and </w:t>
      </w:r>
      <w:r>
        <w:rPr>
          <w:rFonts w:ascii="arial" w:eastAsia="arial" w:hAnsi="arial" w:cs="arial"/>
          <w:i/>
          <w:color w:val="000000"/>
          <w:sz w:val="20"/>
          <w:lang w:val="en-US" w:eastAsia="en-US" w:bidi="ar-SA"/>
        </w:rPr>
        <w:t>de facto</w:t>
      </w:r>
      <w:r>
        <w:rPr>
          <w:rFonts w:ascii="arial" w:eastAsia="arial" w:hAnsi="arial" w:cs="arial"/>
          <w:color w:val="000000"/>
          <w:sz w:val="20"/>
          <w:lang w:val="en-US" w:eastAsia="en-US" w:bidi="ar-SA"/>
        </w:rPr>
        <w:t xml:space="preserve"> control of land and resources that were formerly in the control of that people. As stated in </w:t>
      </w:r>
      <w:r>
        <w:rPr>
          <w:rFonts w:ascii="arial" w:eastAsia="arial" w:hAnsi="arial" w:cs="arial"/>
          <w:i/>
          <w:color w:val="000000"/>
          <w:sz w:val="20"/>
          <w:lang w:val="en-US" w:eastAsia="en-US" w:bidi="ar-SA"/>
        </w:rPr>
        <w:t>Mitchell v. M.N.R.</w:t>
      </w:r>
      <w:r>
        <w:rPr>
          <w:rFonts w:ascii="arial" w:eastAsia="arial" w:hAnsi="arial" w:cs="arial"/>
          <w:color w:val="000000"/>
          <w:sz w:val="20"/>
          <w:lang w:val="en-US" w:eastAsia="en-US" w:bidi="ar-SA"/>
        </w:rPr>
        <w:t xml:space="preserve">, </w:t>
      </w:r>
      <w:hyperlink r:id="rId659" w:history="1">
        <w:r>
          <w:rPr>
            <w:rFonts w:ascii="arial" w:eastAsia="arial" w:hAnsi="arial" w:cs="arial"/>
            <w:i/>
            <w:color w:val="0077CC"/>
            <w:sz w:val="20"/>
            <w:u w:val="single"/>
            <w:shd w:val="clear" w:color="auto" w:fill="FFFFFF"/>
            <w:lang w:val="en-US" w:eastAsia="en-US" w:bidi="ar-SA"/>
          </w:rPr>
          <w:t>[2001] 1 S.C.R. 911</w:t>
        </w:r>
      </w:hyperlink>
      <w:r>
        <w:rPr>
          <w:rFonts w:ascii="arial" w:eastAsia="arial" w:hAnsi="arial" w:cs="arial"/>
          <w:color w:val="000000"/>
          <w:sz w:val="20"/>
          <w:lang w:val="en-US" w:eastAsia="en-US" w:bidi="ar-SA"/>
        </w:rPr>
        <w:t xml:space="preserve">, </w:t>
      </w:r>
      <w:hyperlink r:id="rId659" w:history="1">
        <w:r>
          <w:rPr>
            <w:rFonts w:ascii="arial" w:eastAsia="arial" w:hAnsi="arial" w:cs="arial"/>
            <w:i/>
            <w:color w:val="0077CC"/>
            <w:sz w:val="20"/>
            <w:u w:val="single"/>
            <w:shd w:val="clear" w:color="auto" w:fill="FFFFFF"/>
            <w:lang w:val="en-US" w:eastAsia="en-US" w:bidi="ar-SA"/>
          </w:rPr>
          <w:t>2001 SCC 33</w:t>
        </w:r>
      </w:hyperlink>
      <w:r>
        <w:rPr>
          <w:rFonts w:ascii="arial" w:eastAsia="arial" w:hAnsi="arial" w:cs="arial"/>
          <w:color w:val="000000"/>
          <w:sz w:val="20"/>
          <w:lang w:val="en-US" w:eastAsia="en-US" w:bidi="ar-SA"/>
        </w:rPr>
        <w:t xml:space="preserve">, at para. 9, </w:t>
      </w:r>
      <w:r>
        <w:rPr>
          <w:rFonts w:ascii="arial" w:eastAsia="arial" w:hAnsi="arial" w:cs="arial"/>
          <w:color w:val="000000"/>
          <w:sz w:val="20"/>
          <w:u w:val="single"/>
          <w:lang w:val="en-US" w:eastAsia="en-US" w:bidi="ar-SA"/>
        </w:rPr>
        <w:t>"[w]ith this assertion [sovereignty]</w:t>
      </w:r>
      <w:r>
        <w:rPr>
          <w:rFonts w:ascii="arial" w:eastAsia="arial" w:hAnsi="arial" w:cs="arial"/>
          <w:color w:val="000000"/>
          <w:sz w:val="20"/>
          <w:lang w:val="en-US" w:eastAsia="en-US" w:bidi="ar-SA"/>
        </w:rPr>
        <w:t xml:space="preserve"> arose an obligation to treat aboriginal peoples fairly and honourably, and to protect them from exploitation"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1355</w:t>
      </w:r>
      <w:r>
        <w:rPr>
          <w:rFonts w:ascii="arial" w:eastAsia="arial" w:hAnsi="arial" w:cs="arial"/>
          <w:color w:val="000000"/>
          <w:sz w:val="20"/>
          <w:lang w:val="en-US" w:eastAsia="en-US" w:bidi="ar-SA"/>
        </w:rPr>
        <w:t>  Referring to the Court's earlier ideas on the role of reconciliation, she stated at para. 33: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 limit reconciliation to the post-proof sphere risks treating reconciliation as a distant legalistic goal, devoid of the "meaningful content" mandated by the "solemn commitment" made by the Crown in recognizing and affirming Aboriginal rights and title: </w:t>
      </w:r>
      <w:r>
        <w:rPr>
          <w:rFonts w:ascii="arial" w:eastAsia="arial" w:hAnsi="arial" w:cs="arial"/>
          <w:i/>
          <w:color w:val="000000"/>
          <w:sz w:val="20"/>
          <w:lang w:val="en-US" w:eastAsia="en-US" w:bidi="ar-SA"/>
        </w:rPr>
        <w:t>Sparrow, supra</w:t>
      </w:r>
      <w:r>
        <w:rPr>
          <w:rFonts w:ascii="arial" w:eastAsia="arial" w:hAnsi="arial" w:cs="arial"/>
          <w:color w:val="000000"/>
          <w:sz w:val="20"/>
          <w:lang w:val="en-US" w:eastAsia="en-US" w:bidi="ar-SA"/>
        </w:rPr>
        <w:t>, at p. 1108. It also risks unfortunate consequences. When the distant goal of proof is finally reached, the Aboriginal peoples may find their land and resources changed and denuded. This is not reconciliation. Nor is it honourable.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1356</w:t>
      </w:r>
      <w:r>
        <w:rPr>
          <w:rFonts w:ascii="arial" w:eastAsia="arial" w:hAnsi="arial" w:cs="arial"/>
          <w:color w:val="000000"/>
          <w:sz w:val="20"/>
          <w:lang w:val="en-US" w:eastAsia="en-US" w:bidi="ar-SA"/>
        </w:rPr>
        <w:t xml:space="preserve">  McLachlin C.J.C.'s concerns echo her dissent in </w:t>
      </w:r>
      <w:r>
        <w:rPr>
          <w:rFonts w:ascii="arial" w:eastAsia="arial" w:hAnsi="arial" w:cs="arial"/>
          <w:b/>
          <w:i/>
          <w:color w:val="000000"/>
          <w:sz w:val="20"/>
          <w:lang w:val="en-US" w:eastAsia="en-US" w:bidi="ar-SA"/>
        </w:rPr>
        <w:t>Van der Peet</w:t>
      </w:r>
      <w:r>
        <w:rPr>
          <w:rFonts w:ascii="arial" w:eastAsia="arial" w:hAnsi="arial" w:cs="arial"/>
          <w:color w:val="000000"/>
          <w:sz w:val="20"/>
          <w:lang w:val="en-US" w:eastAsia="en-US" w:bidi="ar-SA"/>
        </w:rPr>
        <w:t xml:space="preserve">, where she disagreed that the goal of reconciliation permits the Crown to require a judicially authorized transfer of an Aboriginal right to non-Aboriginal people without the consent of Aboriginal people, without treaty and without compensation: see </w:t>
      </w:r>
      <w:r>
        <w:rPr>
          <w:rFonts w:ascii="arial" w:eastAsia="arial" w:hAnsi="arial" w:cs="arial"/>
          <w:b/>
          <w:i/>
          <w:color w:val="000000"/>
          <w:sz w:val="20"/>
          <w:lang w:val="en-US" w:eastAsia="en-US" w:bidi="ar-SA"/>
        </w:rPr>
        <w:t>Van der Peet</w:t>
      </w:r>
      <w:r>
        <w:rPr>
          <w:rFonts w:ascii="arial" w:eastAsia="arial" w:hAnsi="arial" w:cs="arial"/>
          <w:color w:val="000000"/>
          <w:sz w:val="20"/>
          <w:lang w:val="en-US" w:eastAsia="en-US" w:bidi="ar-SA"/>
        </w:rPr>
        <w:t xml:space="preserve"> at para. 310. McLachlin C.J.C.'s judgment in </w:t>
      </w:r>
      <w:r>
        <w:rPr>
          <w:rFonts w:ascii="arial" w:eastAsia="arial" w:hAnsi="arial" w:cs="arial"/>
          <w:b/>
          <w:i/>
          <w:color w:val="000000"/>
          <w:sz w:val="20"/>
          <w:lang w:val="en-US" w:eastAsia="en-US" w:bidi="ar-SA"/>
        </w:rPr>
        <w:t>Haida Nation</w:t>
      </w:r>
      <w:r>
        <w:rPr>
          <w:rFonts w:ascii="arial" w:eastAsia="arial" w:hAnsi="arial" w:cs="arial"/>
          <w:color w:val="000000"/>
          <w:sz w:val="20"/>
          <w:lang w:val="en-US" w:eastAsia="en-US" w:bidi="ar-SA"/>
        </w:rPr>
        <w:t xml:space="preserve"> returns the focus to a theory of reconciliation which acknowledges the historical injustices suffered by Aboriginal peoples and places limits on the ability of the Crown to alter the content of the right claimed in the pre-proof stage. It is logical to conclude that, in the post-proof stage, the Crown's ability to alter or infringe upon an Aboriginal right would be faced with severe restrictions.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1357</w:t>
      </w:r>
      <w:r>
        <w:rPr>
          <w:rFonts w:ascii="arial" w:eastAsia="arial" w:hAnsi="arial" w:cs="arial"/>
          <w:color w:val="000000"/>
          <w:sz w:val="20"/>
          <w:lang w:val="en-US" w:eastAsia="en-US" w:bidi="ar-SA"/>
        </w:rPr>
        <w:t>  In an ideal world, the process of reconciliation would take place outside the adversarial milieu of a courtroom. This case demonstrates how the Court, confined by the issues raised in the pleadings and the jurisprudence on Aboriginal rights and title, is ill equipped to effect a reconciliation of competing interests. That must be reserved for a treaty negotiation process. Despite this fact, the question remains: how can this Court participate in the process of reconciliation between Tsilhqot'in people, Canada and British Columbia in these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1358</w:t>
      </w:r>
      <w:r>
        <w:rPr>
          <w:rFonts w:ascii="arial" w:eastAsia="arial" w:hAnsi="arial" w:cs="arial"/>
          <w:color w:val="000000"/>
          <w:sz w:val="20"/>
          <w:lang w:val="en-US" w:eastAsia="en-US" w:bidi="ar-SA"/>
        </w:rPr>
        <w:t>  Gordon Christie's comments on this issue, in "Aboriginality and Normativity, Judicial Justification of Recent Developments in Aboriginal Law" (2002) 17 No. 2 C.J.L.S. 41 at pp. 69-70, are particularly thought provoking and helpful: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What role, in particular, should the judiciary be playing in this matter? The way forward is clear enough, if unpalatable to the judiciary. A Section One-like approach to justifying legislative interference with Aboriginal rights should never have been contemplated. The judiciary simply cannot justify this change to the law as it applies to Aboriginal peoples and their rights. Appeals to the need for the application of the rule of law are empty, as are notions that the Court requires such an approach to operate appropriately in a balanced constitutional democracy. As unpleasant as the resulting situation may be, Aboriginal rights, at this point in the process of reconciliation, must be accorded the sort of legal protection they demand - that of 'sure and unavoidable' rights. These would be the sorts of rights which operate to protect essential Aboriginal interests - in living according to the good ways, knowledge of which has been handed down from generation to generation.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practical outcome of this should be clear - this would bring the governments of Canada to the negotiating table, and would give Aboriginal peoples the sort of strength they need to work out a fair accommodation, a resolution of the ills caused by centuries of colonialism. This is as it should be, for from the perspective of the theory and principles underlying the superstructure of Canadian society and Canadian law there is no other way to work out an appropriate place for Aboriginal peoples in contemporary society. For Canada to advance to maturity, for the social compact to welcome within all those currently living within Canada's geographic boundaries, Aboriginal peoples must be able to bargain their way into a fair constitutional contract. This can only be accomplished with recognition on the Canadian side of the table of the position occupied by Aboriginal peoples: they come to these negotiations in the same state they were in 500 years ago, as organized societies existing 'prior' to the assertion of Crown sovereignty, societies organized according to separate and distinct conceptions of the good and of how to lead good lives.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1359</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Mikisew Cree</w:t>
      </w:r>
      <w:r>
        <w:rPr>
          <w:rFonts w:ascii="arial" w:eastAsia="arial" w:hAnsi="arial" w:cs="arial"/>
          <w:color w:val="000000"/>
          <w:sz w:val="20"/>
          <w:lang w:val="en-US" w:eastAsia="en-US" w:bidi="ar-SA"/>
        </w:rPr>
        <w:t xml:space="preserve"> Binnie J. emphasized the importance of reconciliation at para. 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fundamental objective of the modern law of aboriginal and treaty rights is the reconciliation of aboriginal peoples and non-aboriginal peoples and their respective claims, interests and ambitions. The management of these relationships takes place in the shadow of a long history of grievances and misunderstanding. The multitude of smaller grievances created by the indifference of some government officials to aboriginal people's concerns, and the lack of respect inherent in that indifference has been as destructive of the process of reconciliation as some of the larger and more explosive controversies.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1360</w:t>
      </w:r>
      <w:r>
        <w:rPr>
          <w:rFonts w:ascii="arial" w:eastAsia="arial" w:hAnsi="arial" w:cs="arial"/>
          <w:color w:val="000000"/>
          <w:sz w:val="20"/>
          <w:lang w:val="en-US" w:eastAsia="en-US" w:bidi="ar-SA"/>
        </w:rPr>
        <w:t>  Courts are not accustomed to taking into account "claims, interests and ambitions" in the process of reconciliation. In the course of a trial, a court will examine an entire body of evidence in an attempt to establish the factual truth in an objective manner. In an adversarial system, claims are dealt with to produce a win/lose result. Interest negotiations, designed to take opposing interests into account, have the potential to achieve a win/win result. Such an approach, in the context of consensual treaty negotiation, would provide the forum for a fair and just reconciliation.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1361</w:t>
      </w:r>
      <w:r>
        <w:rPr>
          <w:rFonts w:ascii="arial" w:eastAsia="arial" w:hAnsi="arial" w:cs="arial"/>
          <w:color w:val="000000"/>
          <w:sz w:val="20"/>
          <w:lang w:val="en-US" w:eastAsia="en-US" w:bidi="ar-SA"/>
        </w:rPr>
        <w:t xml:space="preserve">  The inquiry into the modern expression of Aboriginal rights requires a court to look at contemporary practices and land use and then determine how this relates to pre-contact or pre-sovereignty practices. In </w:t>
      </w:r>
      <w:r>
        <w:rPr>
          <w:rFonts w:ascii="arial" w:eastAsia="arial" w:hAnsi="arial" w:cs="arial"/>
          <w:b/>
          <w:i/>
          <w:color w:val="000000"/>
          <w:sz w:val="20"/>
          <w:lang w:val="en-US" w:eastAsia="en-US" w:bidi="ar-SA"/>
        </w:rPr>
        <w:t>Marshall; Bernard,</w:t>
      </w:r>
      <w:r>
        <w:rPr>
          <w:rFonts w:ascii="arial" w:eastAsia="arial" w:hAnsi="arial" w:cs="arial"/>
          <w:color w:val="000000"/>
          <w:sz w:val="20"/>
          <w:lang w:val="en-US" w:eastAsia="en-US" w:bidi="ar-SA"/>
        </w:rPr>
        <w:t xml:space="preserve"> McLachlin C.J.C. suggested that the Court look to the pre-contact practice and then translate that practice into a modern right. Through this approach, some (but not all) of an Aboriginal group's contemporary interests will be considered.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1362</w:t>
      </w:r>
      <w:r>
        <w:rPr>
          <w:rFonts w:ascii="arial" w:eastAsia="arial" w:hAnsi="arial" w:cs="arial"/>
          <w:color w:val="000000"/>
          <w:sz w:val="20"/>
          <w:lang w:val="en-US" w:eastAsia="en-US" w:bidi="ar-SA"/>
        </w:rPr>
        <w:t>  The Aboriginal interests considered by the courts are necessarily confined to the pleadings. The court must also take into account the interests and needs of the broader society which are not confined to the pleadings. This is what the test of justification requires. Regrettably, the adversarial system restricts the examination of Aboriginal interests that is needed to achieve a fair and just reconciliation.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1363</w:t>
      </w:r>
      <w:r>
        <w:rPr>
          <w:rFonts w:ascii="arial" w:eastAsia="arial" w:hAnsi="arial" w:cs="arial"/>
          <w:color w:val="000000"/>
          <w:sz w:val="20"/>
          <w:lang w:val="en-US" w:eastAsia="en-US" w:bidi="ar-SA"/>
        </w:rPr>
        <w:t>  Earlier in these Reasons for Judgment, I referred to an article by Professor Brian Slattery entitled "The Metamorphosis of Aboriginal Title" (2006) 85 Can. Bar Rev. 255. In this article, Professor Slattery argues for the "Principles of Recognition and Reconciliation". He notes at p. 283 that "reconciliation must strike a balance between the need to remedy past injustices and the need to accommodate contemporary interests."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1364</w:t>
      </w:r>
      <w:r>
        <w:rPr>
          <w:rFonts w:ascii="arial" w:eastAsia="arial" w:hAnsi="arial" w:cs="arial"/>
          <w:color w:val="000000"/>
          <w:sz w:val="20"/>
          <w:lang w:val="en-US" w:eastAsia="en-US" w:bidi="ar-SA"/>
        </w:rPr>
        <w:t>  I agree entirely with the views expressed by Professor Slattery at p. 286: In other words, section 35 does not simply recognize a static body of aboriginal rights, whose contours may be ascertained by the application of general legal criteria to historical circumstances - what we have called historical rights. Rather, the section recognizes a body of generative rights, which bind the Crown to take positive steps to identify aboriginal rights in a contemporary form, with the participation and consent of the Indigenous peoples concerned.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1365</w:t>
      </w:r>
      <w:r>
        <w:rPr>
          <w:rFonts w:ascii="arial" w:eastAsia="arial" w:hAnsi="arial" w:cs="arial"/>
          <w:color w:val="000000"/>
          <w:sz w:val="20"/>
          <w:lang w:val="en-US" w:eastAsia="en-US" w:bidi="ar-SA"/>
        </w:rPr>
        <w:t>  Professor Slattery points out at p. 281 that reconciliation cannot be achieved by the current process of translating an historical right into one that corresponds with a modern common law right. He writes, "such a process artificially constrains and distorts the true character of aboriginal title and risks compounding the historical injustices visited on Indigenous peoples". This case serves as an example of that conclusion. I fear, as he foretold, that "[f]ar from reconciling Indigenous peoples with the Crown," the conclusions I am driven to reach seem more "likely to exacerbate existing conflicts and grievances": Slattery at p. 281.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1366</w:t>
      </w:r>
      <w:r>
        <w:rPr>
          <w:rFonts w:ascii="arial" w:eastAsia="arial" w:hAnsi="arial" w:cs="arial"/>
          <w:color w:val="000000"/>
          <w:sz w:val="20"/>
          <w:lang w:val="en-US" w:eastAsia="en-US" w:bidi="ar-SA"/>
        </w:rPr>
        <w:t>  Professor Slattery further argues that historical title "provides the point of departure for any modern inquiry and a benchmark for assessing the actions of colonial governments and the scope of Indigenous dispossession": Slattery at pp. 281-282. In his view, a number of "</w:t>
      </w:r>
      <w:r>
        <w:rPr>
          <w:rFonts w:ascii="arial" w:eastAsia="arial" w:hAnsi="arial" w:cs="arial"/>
          <w:i/>
          <w:color w:val="000000"/>
          <w:sz w:val="20"/>
          <w:lang w:val="en-US" w:eastAsia="en-US" w:bidi="ar-SA"/>
        </w:rPr>
        <w:t>Principles of Reconciliation</w:t>
      </w:r>
      <w:r>
        <w:rPr>
          <w:rFonts w:ascii="arial" w:eastAsia="arial" w:hAnsi="arial" w:cs="arial"/>
          <w:color w:val="000000"/>
          <w:sz w:val="20"/>
          <w:lang w:val="en-US" w:eastAsia="en-US" w:bidi="ar-SA"/>
        </w:rPr>
        <w:t xml:space="preserve"> govern the legal effect of aboriginal title in modern times." He writes that these principles: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take as their starting point the historical title of the Indigenous group, ... but they also take into account a range of other factors, such as the subsequent history of the lands in question, the Indigenous group's contemporary interests, and the interests of third parties and the larger society. So doing, they posit that historical aboriginal title has been transformed into a </w:t>
      </w:r>
      <w:r>
        <w:rPr>
          <w:rFonts w:ascii="arial" w:eastAsia="arial" w:hAnsi="arial" w:cs="arial"/>
          <w:i/>
          <w:color w:val="000000"/>
          <w:sz w:val="20"/>
          <w:lang w:val="en-US" w:eastAsia="en-US" w:bidi="ar-SA"/>
        </w:rPr>
        <w:t>generative right,</w:t>
      </w:r>
      <w:r>
        <w:rPr>
          <w:rFonts w:ascii="arial" w:eastAsia="arial" w:hAnsi="arial" w:cs="arial"/>
          <w:color w:val="000000"/>
          <w:sz w:val="20"/>
          <w:lang w:val="en-US" w:eastAsia="en-US" w:bidi="ar-SA"/>
        </w:rPr>
        <w:t xml:space="preserve"> which can be partially implemented by the courts but whose full implementation requires the recognition of modern treaties.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1367</w:t>
      </w:r>
      <w:r>
        <w:rPr>
          <w:rFonts w:ascii="arial" w:eastAsia="arial" w:hAnsi="arial" w:cs="arial"/>
          <w:color w:val="000000"/>
          <w:sz w:val="20"/>
          <w:lang w:val="en-US" w:eastAsia="en-US" w:bidi="ar-SA"/>
        </w:rPr>
        <w:t>  He continues by suggesting that the actions of courts have the potential to diminish the possibility of reconciliation ever occurring. He concludes at p. 282: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successful settlement of aboriginal claims must involve </w:t>
      </w:r>
      <w:r>
        <w:rPr>
          <w:rFonts w:ascii="arial" w:eastAsia="arial" w:hAnsi="arial" w:cs="arial"/>
          <w:i/>
          <w:color w:val="000000"/>
          <w:sz w:val="20"/>
          <w:lang w:val="en-US" w:eastAsia="en-US" w:bidi="ar-SA"/>
        </w:rPr>
        <w:t>the full and unstinting recognition of the historical reality of aboriginal title, the true scope and effects of Indigenous dispossession, and the continuing links between an Indigenous people and its traditional lands.</w:t>
      </w:r>
      <w:r>
        <w:rPr>
          <w:rFonts w:ascii="arial" w:eastAsia="arial" w:hAnsi="arial" w:cs="arial"/>
          <w:color w:val="000000"/>
          <w:sz w:val="20"/>
          <w:lang w:val="en-US" w:eastAsia="en-US" w:bidi="ar-SA"/>
        </w:rPr>
        <w:t xml:space="preserve"> So, for example, to maintain that "nomadic" or "semi-nomadic" peoples had historical aboriginal title to only a fraction of the ancestral hunting territories, or to hold that aboriginal title could be extinguished simply by Crown grant, is to rub salt into open wounds. However, by the same token, </w:t>
      </w:r>
      <w:r>
        <w:rPr>
          <w:rFonts w:ascii="arial" w:eastAsia="arial" w:hAnsi="arial" w:cs="arial"/>
          <w:i/>
          <w:color w:val="000000"/>
          <w:sz w:val="20"/>
          <w:lang w:val="en-US" w:eastAsia="en-US" w:bidi="ar-SA"/>
        </w:rPr>
        <w:t>the recognition of historical title, while a necessary precondition for modern reconciliation, is not in itself a sufficient basis for reconciliation, which must take into account a range of other factors</w:t>
      </w:r>
      <w:r>
        <w:rPr>
          <w:rFonts w:ascii="arial" w:eastAsia="arial" w:hAnsi="arial" w:cs="arial"/>
          <w:color w:val="000000"/>
          <w:sz w:val="20"/>
          <w:lang w:val="en-US" w:eastAsia="en-US" w:bidi="ar-SA"/>
        </w:rPr>
        <w:t>. So, for example, to suggest that historical aboriginal title gives rise to modern rights that automatically trump third party and public interests constitutes an attempt to remedy one grave injustice by committing another.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1368</w:t>
      </w:r>
      <w:r>
        <w:rPr>
          <w:rFonts w:ascii="arial" w:eastAsia="arial" w:hAnsi="arial" w:cs="arial"/>
          <w:color w:val="000000"/>
          <w:sz w:val="20"/>
          <w:lang w:val="en-US" w:eastAsia="en-US" w:bidi="ar-SA"/>
        </w:rPr>
        <w:t>  Courts should not be placed in this invidious position merely because governments at all levels, for successive generations, have failed in the discharge of their constitutional obligations. Inevitably this decision and others like it run the risk of rubbing salt into open wounds.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1369</w:t>
      </w:r>
      <w:r>
        <w:rPr>
          <w:rFonts w:ascii="arial" w:eastAsia="arial" w:hAnsi="arial" w:cs="arial"/>
          <w:color w:val="000000"/>
          <w:sz w:val="20"/>
          <w:lang w:val="en-US" w:eastAsia="en-US" w:bidi="ar-SA"/>
        </w:rPr>
        <w:t>  The narrow role this court can play in defining Tsilhqot'in Aboriginal rights in the Claim Area lies in an application of the jurisprudence to the facts of this case. I can only hope that it will assist the parties in finding a contemporary solution that will balance Tsilhqot'in interests and needs with the interests and needs of the broader society.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1370</w:t>
      </w:r>
      <w:r>
        <w:rPr>
          <w:rFonts w:ascii="arial" w:eastAsia="arial" w:hAnsi="arial" w:cs="arial"/>
          <w:color w:val="000000"/>
          <w:sz w:val="20"/>
          <w:lang w:val="en-US" w:eastAsia="en-US" w:bidi="ar-SA"/>
        </w:rPr>
        <w:t>  The application of Professor Slattery's "Principles of Recognition and Reconciliation" may assist in this process. At pp. 283-284, Professor Slattery suggests that the "Principles of Recognition" should have certain basic characteristics:</w:t>
      </w:r>
      <w:r>
        <w:rPr>
          <w:rFonts w:ascii="arial" w:eastAsia="arial" w:hAnsi="arial" w:cs="arial"/>
          <w:sz w:val="20"/>
          <w:lang w:val="en-US" w:eastAsia="en-US" w:bidi="ar-SA"/>
        </w:rPr>
        <w:cr/>
      </w:r>
    </w:p>
    <w:p>
      <w:pPr>
        <w:numPr>
          <w:numId w:val="28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They should acknowledge the historical reality that "when the settlers came, the Indians were there, organized in societies and occupying the land as their forefathers had done for centuries," as Judson J. observed in the </w:t>
      </w:r>
      <w:r>
        <w:rPr>
          <w:rFonts w:ascii="arial" w:eastAsia="arial" w:hAnsi="arial" w:cs="arial"/>
          <w:i/>
          <w:color w:val="000000"/>
          <w:sz w:val="20"/>
          <w:lang w:val="en-US" w:eastAsia="en-US" w:bidi="ar-SA"/>
        </w:rPr>
        <w:t>Calder</w:t>
      </w:r>
      <w:r>
        <w:rPr>
          <w:rFonts w:ascii="arial" w:eastAsia="arial" w:hAnsi="arial" w:cs="arial"/>
          <w:color w:val="000000"/>
          <w:sz w:val="20"/>
          <w:lang w:val="en-US" w:eastAsia="en-US" w:bidi="ar-SA"/>
        </w:rPr>
        <w:t xml:space="preserve"> case. They should not draw arbitrary distinctions between "settled", "nomadic", and "semi-nomadic" peoples but accept that </w:t>
      </w:r>
      <w:r>
        <w:rPr>
          <w:rFonts w:ascii="arial" w:eastAsia="arial" w:hAnsi="arial" w:cs="arial"/>
          <w:i/>
          <w:color w:val="000000"/>
          <w:sz w:val="20"/>
          <w:lang w:val="en-US" w:eastAsia="en-US" w:bidi="ar-SA"/>
        </w:rPr>
        <w:t>all</w:t>
      </w:r>
      <w:r>
        <w:rPr>
          <w:rFonts w:ascii="arial" w:eastAsia="arial" w:hAnsi="arial" w:cs="arial"/>
          <w:color w:val="000000"/>
          <w:sz w:val="20"/>
          <w:lang w:val="en-US" w:eastAsia="en-US" w:bidi="ar-SA"/>
        </w:rPr>
        <w:t xml:space="preserve"> of the Indigenous peoples in Canada had historical rights to their ancestral homelands - the lands from which they drew their material livelihood, social identity, and spiritual nourishment - regardless whether they had developed conceptions of "ownership," "property," of "exclusivity," and without forcing their practices into conceptual boxes derived from English or French law.</w:t>
      </w:r>
    </w:p>
    <w:p>
      <w:pPr>
        <w:numPr>
          <w:numId w:val="28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They should take account of the long history of relations between Indigenous peoples and the British Crown, and the body of inter-societal law that emerged from those relations.</w:t>
      </w:r>
    </w:p>
    <w:p>
      <w:pPr>
        <w:numPr>
          <w:numId w:val="2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They should draw inspiration from fundamental principles of international law and justice, principles that are truly universal, and not grounded simply in rules that European imperial powers formulated to suit their own convenience, such as the supposed "principle of discovery".</w:t>
      </w:r>
    </w:p>
    <w:p>
      <w:pPr>
        <w:numPr>
          <w:numId w:val="28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They should envisage the continuing operation of customary law within the Indigenous group concerned. At the same time, they should explain the way in which the collective title of an Indigenous group relates to the titles of other Indigenous groups and to rights held under the general land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1371</w:t>
      </w:r>
      <w:r>
        <w:rPr>
          <w:rFonts w:ascii="arial" w:eastAsia="arial" w:hAnsi="arial" w:cs="arial"/>
          <w:color w:val="000000"/>
          <w:sz w:val="20"/>
          <w:lang w:val="en-US" w:eastAsia="en-US" w:bidi="ar-SA"/>
        </w:rPr>
        <w:t>  This is, of course, not a task for a court. However, in the context of treaty negotiation, it strikes me as a convenient starting point. Recognition that Aboriginal people have historical rights to their ancestral homelands regardless of whether they had developed conceptions of "ownership," "property," or "exclusivity" quickly moves the debate to the real question: what interests are at stake and how are they to be reconciled?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1372</w:t>
      </w:r>
      <w:r>
        <w:rPr>
          <w:rFonts w:ascii="arial" w:eastAsia="arial" w:hAnsi="arial" w:cs="arial"/>
          <w:color w:val="000000"/>
          <w:sz w:val="20"/>
          <w:lang w:val="en-US" w:eastAsia="en-US" w:bidi="ar-SA"/>
        </w:rPr>
        <w:t>  Professor Slattery further describes the "Principles of Reconciliation", as follows at pp. 284-285:</w:t>
      </w:r>
      <w:r>
        <w:rPr>
          <w:rFonts w:ascii="arial" w:eastAsia="arial" w:hAnsi="arial" w:cs="arial"/>
          <w:sz w:val="20"/>
          <w:lang w:val="en-US" w:eastAsia="en-US" w:bidi="ar-SA"/>
        </w:rPr>
        <w:cr/>
      </w:r>
    </w:p>
    <w:p>
      <w:pPr>
        <w:numPr>
          <w:numId w:val="28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They should acknowledge the historical rights of Indigenous peoples to their ancestral lands under Principles of Recognition, as the essential starting point for any modern settlement.</w:t>
      </w:r>
    </w:p>
    <w:p>
      <w:pPr>
        <w:numPr>
          <w:numId w:val="28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They should explain how historical aboriginal rights were transformed into generative rights with the passage of time, and explain the rise of third party and other societal interests.</w:t>
      </w:r>
    </w:p>
    <w:p>
      <w:pPr>
        <w:numPr>
          <w:numId w:val="28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They should draw a distinction in principle between the "inner core" of generative aboriginal rights that may be implemented without negotiation in modern times, and a "penumbra" or "outer layer" that needs to be articulated in treaties concluded between the Indigenous people and the Crown.</w:t>
      </w:r>
    </w:p>
    <w:p>
      <w:pPr>
        <w:numPr>
          <w:numId w:val="28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They should provide guidelines governing the accommodation of rights and interests held by third parties within the historical territories of Indigenous peoples.</w:t>
      </w:r>
    </w:p>
    <w:p>
      <w:pPr>
        <w:numPr>
          <w:numId w:val="28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They should create strong incentives for negotiated settlements to be reached within a reasonable period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1373</w:t>
      </w:r>
      <w:r>
        <w:rPr>
          <w:rFonts w:ascii="arial" w:eastAsia="arial" w:hAnsi="arial" w:cs="arial"/>
          <w:color w:val="000000"/>
          <w:sz w:val="20"/>
          <w:lang w:val="en-US" w:eastAsia="en-US" w:bidi="ar-SA"/>
        </w:rPr>
        <w:t>  I confess that early in this trial, perhaps in a moment of self pity, I looked out at the legions of counsel and asked if someone would soon be standing up to admit that Tsilhqot'in people had been in the Claim Area for over 200 years, leaving the real question to be answered. My view at this early stage of the trial was that the real question concerned the consequences that would follow such an admission. I was assured that it was necessary to continue the course we were set upon. My view has not been altered since I first raised the issue almost five years ago.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1374</w:t>
      </w:r>
      <w:r>
        <w:rPr>
          <w:rFonts w:ascii="arial" w:eastAsia="arial" w:hAnsi="arial" w:cs="arial"/>
          <w:color w:val="000000"/>
          <w:sz w:val="20"/>
          <w:lang w:val="en-US" w:eastAsia="en-US" w:bidi="ar-SA"/>
        </w:rPr>
        <w:t>  At the end of the trial, a concession concerning an Aboriginal hunting and trapping right in the Claim Area was made by both defendants. As I have already noted, that concession brings with it an admission of the presence of Tsilhqot'in people in the Claim Area for over 200 years. This leaves the central question unanswered: what are the consequences of this centuries old occupation in the short term and in the long term, for Tsilhqot'in and Xeni Gwet'in people?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1375</w:t>
      </w:r>
      <w:r>
        <w:rPr>
          <w:rFonts w:ascii="arial" w:eastAsia="arial" w:hAnsi="arial" w:cs="arial"/>
          <w:color w:val="000000"/>
          <w:sz w:val="20"/>
          <w:lang w:val="en-US" w:eastAsia="en-US" w:bidi="ar-SA"/>
        </w:rPr>
        <w:t>  I have come to see the Court's role as one step in the process of reconciliation. For that reason, I have taken the opportunity to decide issues that did not need to be decided. For example, I have been unable to make a declaration of Tsilhqot'in Aboriginal title. However, I have expressed an opinion that the parties are free to use in the negotiations that must follow.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1376</w:t>
      </w:r>
      <w:r>
        <w:rPr>
          <w:rFonts w:ascii="arial" w:eastAsia="arial" w:hAnsi="arial" w:cs="arial"/>
          <w:color w:val="000000"/>
          <w:sz w:val="20"/>
          <w:lang w:val="en-US" w:eastAsia="en-US" w:bidi="ar-SA"/>
        </w:rPr>
        <w:t>  What is clear to me is that the impoverished view of Aboriginal title advanced by Canada and British Columbia, characterized by the plaintiff as a "postage stamp" approach to title, cannot be allowed to pervade and inhibit genuine negotiations. A tract of land is not just a hunting blind or a favourite fishing hole. Individual sites such as hunting blinds and fishing holes are but a part of the land that has provided "cultural security and continuity" to Tsilhqot'in people for better than two centuries.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1377</w:t>
      </w:r>
      <w:r>
        <w:rPr>
          <w:rFonts w:ascii="arial" w:eastAsia="arial" w:hAnsi="arial" w:cs="arial"/>
          <w:color w:val="000000"/>
          <w:sz w:val="20"/>
          <w:lang w:val="en-US" w:eastAsia="en-US" w:bidi="ar-SA"/>
        </w:rPr>
        <w:t>  A tract of land is intended to describe land over which Indigenous people roamed on a regular basis; land that ultimately defined and sustained them as a people. The recognition of the long-standing presence of Tsilhqot'in people in the Claim Area is a simple, straightforward acknowledgement of an historical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1378</w:t>
      </w:r>
      <w:r>
        <w:rPr>
          <w:rFonts w:ascii="arial" w:eastAsia="arial" w:hAnsi="arial" w:cs="arial"/>
          <w:color w:val="000000"/>
          <w:sz w:val="20"/>
          <w:lang w:val="en-US" w:eastAsia="en-US" w:bidi="ar-SA"/>
        </w:rPr>
        <w:t>  Given this basic recognition, how are the needs of a modern, rural, Indigenous people to be met? How can their contemporary needs and interests be balanced with the needs and interests of the broader society? That is the challenge that lies in the immediate future for Tsilhqot'in people, Canada and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1379</w:t>
      </w:r>
      <w:r>
        <w:rPr>
          <w:rFonts w:ascii="arial" w:eastAsia="arial" w:hAnsi="arial" w:cs="arial"/>
          <w:color w:val="000000"/>
          <w:sz w:val="20"/>
          <w:lang w:val="en-US" w:eastAsia="en-US" w:bidi="ar-SA"/>
        </w:rPr>
        <w:t>  As a consequence of colonization and government policy, Tsilhqot'in people can no longer live on the land as their forefathers did. How is a former semi-nomadic existence, one that cannot be replicated in a modern Canada, to be given "cultural security and continuity" in this twenty-first century and beyond? Governments and Tsilhqot'in people must find an accommodation that reconciles the historical Tsilhqot'in place in Canada with the place of their neighbours who come from all corners of the world.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1380</w:t>
      </w:r>
      <w:r>
        <w:rPr>
          <w:rFonts w:ascii="arial" w:eastAsia="arial" w:hAnsi="arial" w:cs="arial"/>
          <w:color w:val="000000"/>
          <w:sz w:val="20"/>
          <w:lang w:val="en-US" w:eastAsia="en-US" w:bidi="ar-SA"/>
        </w:rPr>
        <w:t>  Land is a critical component in the resolution of this dispute. The Xeni Gwet'in people have found sustenance and continuity in the lands surrounding Xeni (Nemiah Valley). The various Tsilhqot'in Bands are separated by great distances and it is possible there will be competing interests amongst them that will have to be addressed.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1381</w:t>
      </w:r>
      <w:r>
        <w:rPr>
          <w:rFonts w:ascii="arial" w:eastAsia="arial" w:hAnsi="arial" w:cs="arial"/>
          <w:color w:val="000000"/>
          <w:sz w:val="20"/>
          <w:lang w:val="en-US" w:eastAsia="en-US" w:bidi="ar-SA"/>
        </w:rPr>
        <w:t>  The land I have described in paragraph 959 may not address the interests of the Xeni Gwet'in and the broader Tsilhqot'in community. There will undoubtedly be a need for adjustments, dependant on the nature of the interests both considered and accommodated leading to what the parties ultimately agree upon in a fair and just resolution of all outstanding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1382</w:t>
      </w:r>
      <w:r>
        <w:rPr>
          <w:rFonts w:ascii="arial" w:eastAsia="arial" w:hAnsi="arial" w:cs="arial"/>
          <w:color w:val="000000"/>
          <w:sz w:val="20"/>
          <w:lang w:val="en-US" w:eastAsia="en-US" w:bidi="ar-SA"/>
        </w:rPr>
        <w:t>  Reconciliation is a process. It is in the interests of all Canadians that we begin to engage in this process at the earliest possible date so that an honourable settlement with Tsilhqot'in people can be achieved.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D.H. VICKERS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APPENDIX A -- MAPS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Map 1</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Generalized Map of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showing the Claim Area</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 id="_x0000_i1175" type="#_x0000_t75" style="width:432.06pt;height:549.83pt">
            <v:imagedata r:id="rId751" o:title=""/>
          </v:shape>
        </w:pict>
      </w:r>
      <w:r>
        <w:rPr>
          <w:rFonts w:ascii="arial" w:eastAsia="arial" w:hAnsi="arial" w:cs="arial"/>
          <w:sz w:val="20"/>
          <w:lang w:val="en-US" w:eastAsia="en-US" w:bidi="ar-SA"/>
        </w:rPr>
        <w:t xml:space="preserve">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Map 2</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Locator Base Map</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 id="_x0000_i1176" type="#_x0000_t75" style="width:432.06pt;height:279.79pt">
            <v:imagedata r:id="rId752" o:title=""/>
          </v:shape>
        </w:pict>
      </w:r>
      <w:r>
        <w:rPr>
          <w:rFonts w:ascii="arial" w:eastAsia="arial" w:hAnsi="arial" w:cs="arial"/>
          <w:sz w:val="20"/>
          <w:lang w:val="en-US" w:eastAsia="en-US" w:bidi="ar-SA"/>
        </w:rPr>
        <w:t xml:space="preserve">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Map 3</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Traditional Tsilhqot'in Place Names</w:t>
      </w:r>
    </w:p>
    <w:p>
      <w:pPr>
        <w:spacing w:before="120" w:line="260" w:lineRule="atLeast"/>
        <w:rPr>
          <w:rFonts w:ascii="arial" w:eastAsia="arial" w:hAnsi="arial" w:cs="arial"/>
          <w:sz w:val="20"/>
          <w:lang w:val="en-US" w:eastAsia="en-US" w:bidi="ar-SA"/>
        </w:rPr>
      </w:pPr>
      <w:r>
        <w:pict>
          <v:shape id="_x0000_i1177" type="#_x0000_t75" style="width:432.06pt;height:572.33pt">
            <v:imagedata r:id="rId753" o:title=""/>
          </v:shape>
        </w:pict>
      </w:r>
      <w:r>
        <w:rPr>
          <w:rFonts w:ascii="arial" w:eastAsia="arial" w:hAnsi="arial" w:cs="arial"/>
          <w:sz w:val="20"/>
          <w:lang w:val="en-US" w:eastAsia="en-US" w:bidi="ar-SA"/>
        </w:rPr>
        <w:t xml:space="preserve">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APPENDIX B -- GLOSSARY OF TERMS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/Achig</w:t>
      </w:r>
      <w:r>
        <w:rPr>
          <w:rFonts w:ascii="arial" w:eastAsia="arial" w:hAnsi="arial" w:cs="arial"/>
          <w:color w:val="000000"/>
          <w:sz w:val="20"/>
          <w:lang w:val="en-US" w:eastAsia="en-US" w:bidi="ar-SA"/>
        </w:rPr>
        <w:t xml:space="preserve"> (Tsilhqot'in chief)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Ahan</w:t>
      </w:r>
      <w:r>
        <w:rPr>
          <w:rFonts w:ascii="arial" w:eastAsia="arial" w:hAnsi="arial" w:cs="arial"/>
          <w:color w:val="000000"/>
          <w:sz w:val="20"/>
          <w:lang w:val="en-US" w:eastAsia="en-US" w:bidi="ar-SA"/>
        </w:rPr>
        <w:t xml:space="preserve"> (Tsilhqot'in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Alexis</w:t>
      </w:r>
      <w:r>
        <w:rPr>
          <w:rFonts w:ascii="arial" w:eastAsia="arial" w:hAnsi="arial" w:cs="arial"/>
          <w:color w:val="000000"/>
          <w:sz w:val="20"/>
          <w:lang w:val="en-US" w:eastAsia="en-US" w:bidi="ar-SA"/>
        </w:rPr>
        <w:t xml:space="preserve"> (Tsilhqot'in chief)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/Amed</w:t>
      </w:r>
      <w:r>
        <w:rPr>
          <w:rFonts w:ascii="arial" w:eastAsia="arial" w:hAnsi="arial" w:cs="arial"/>
          <w:color w:val="000000"/>
          <w:sz w:val="20"/>
          <w:lang w:val="en-US" w:eastAsia="en-US" w:bidi="ar-SA"/>
        </w:rPr>
        <w:t xml:space="preserve"> (Tsilhqot'in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Anaham</w:t>
      </w:r>
      <w:r>
        <w:rPr>
          <w:rFonts w:ascii="arial" w:eastAsia="arial" w:hAnsi="arial" w:cs="arial"/>
          <w:color w:val="000000"/>
          <w:sz w:val="20"/>
          <w:lang w:val="en-US" w:eastAsia="en-US" w:bidi="ar-SA"/>
        </w:rPr>
        <w:t xml:space="preserve"> (Tsilhqot'in chief)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/ash</w:t>
      </w:r>
      <w:r>
        <w:rPr>
          <w:rFonts w:ascii="arial" w:eastAsia="arial" w:hAnsi="arial" w:cs="arial"/>
          <w:color w:val="000000"/>
          <w:sz w:val="20"/>
          <w:lang w:val="en-US" w:eastAsia="en-US" w:bidi="ar-SA"/>
        </w:rPr>
        <w:t xml:space="preserve"> (snowshoes for men that have a point at the front 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 ts'egudah teghantsilh</w:t>
      </w:r>
      <w:r>
        <w:rPr>
          <w:rFonts w:ascii="arial" w:eastAsia="arial" w:hAnsi="arial" w:cs="arial"/>
          <w:color w:val="000000"/>
          <w:sz w:val="20"/>
          <w:lang w:val="en-US" w:eastAsia="en-US" w:bidi="ar-SA"/>
        </w:rPr>
        <w:t xml:space="preserve"> (bad luck; negatively affecting one's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bedzish</w:t>
      </w:r>
      <w:r>
        <w:rPr>
          <w:rFonts w:ascii="arial" w:eastAsia="arial" w:hAnsi="arial" w:cs="arial"/>
          <w:color w:val="000000"/>
          <w:sz w:val="20"/>
          <w:lang w:val="en-US" w:eastAsia="en-US" w:bidi="ar-SA"/>
        </w:rPr>
        <w:t xml:space="preserve"> (caribou)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Ben Chuy</w:t>
      </w:r>
      <w:r>
        <w:rPr>
          <w:rFonts w:ascii="arial" w:eastAsia="arial" w:hAnsi="arial" w:cs="arial"/>
          <w:color w:val="000000"/>
          <w:sz w:val="20"/>
          <w:lang w:val="en-US" w:eastAsia="en-US" w:bidi="ar-SA"/>
        </w:rPr>
        <w:t xml:space="preserve"> (Ben Chuny Biny, lake name)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Bendzi Biny</w:t>
      </w:r>
      <w:r>
        <w:rPr>
          <w:rFonts w:ascii="arial" w:eastAsia="arial" w:hAnsi="arial" w:cs="arial"/>
          <w:color w:val="000000"/>
          <w:sz w:val="20"/>
          <w:lang w:val="en-US" w:eastAsia="en-US" w:bidi="ar-SA"/>
        </w:rPr>
        <w:t xml:space="preserve"> (Puntzi Lake)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Biniwed</w:t>
      </w:r>
      <w:r>
        <w:rPr>
          <w:rFonts w:ascii="arial" w:eastAsia="arial" w:hAnsi="arial" w:cs="arial"/>
          <w:color w:val="000000"/>
          <w:sz w:val="20"/>
          <w:lang w:val="en-US" w:eastAsia="en-US" w:bidi="ar-SA"/>
        </w:rPr>
        <w:t xml:space="preserve"> (cone fish trap)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binlagh</w:t>
      </w:r>
      <w:r>
        <w:rPr>
          <w:rFonts w:ascii="arial" w:eastAsia="arial" w:hAnsi="arial" w:cs="arial"/>
          <w:color w:val="000000"/>
          <w:sz w:val="20"/>
          <w:lang w:val="en-US" w:eastAsia="en-US" w:bidi="ar-SA"/>
        </w:rPr>
        <w:t xml:space="preserve"> (box fish trap)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binlh</w:t>
      </w:r>
      <w:r>
        <w:rPr>
          <w:rFonts w:ascii="arial" w:eastAsia="arial" w:hAnsi="arial" w:cs="arial"/>
          <w:color w:val="000000"/>
          <w:sz w:val="20"/>
          <w:lang w:val="en-US" w:eastAsia="en-US" w:bidi="ar-SA"/>
        </w:rPr>
        <w:t xml:space="preserve"> (snare)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Biny</w:t>
      </w:r>
      <w:r>
        <w:rPr>
          <w:rFonts w:ascii="arial" w:eastAsia="arial" w:hAnsi="arial" w:cs="arial"/>
          <w:color w:val="000000"/>
          <w:sz w:val="20"/>
          <w:lang w:val="en-US" w:eastAsia="en-US" w:bidi="ar-SA"/>
        </w:rPr>
        <w:t xml:space="preserve"> (lake)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Biny Gwechugh</w:t>
      </w:r>
      <w:r>
        <w:rPr>
          <w:rFonts w:ascii="arial" w:eastAsia="arial" w:hAnsi="arial" w:cs="arial"/>
          <w:color w:val="000000"/>
          <w:sz w:val="20"/>
          <w:lang w:val="en-US" w:eastAsia="en-US" w:bidi="ar-SA"/>
        </w:rPr>
        <w:t xml:space="preserve"> (Canoe Crossing)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Biny Gwetsel</w:t>
      </w:r>
      <w:r>
        <w:rPr>
          <w:rFonts w:ascii="arial" w:eastAsia="arial" w:hAnsi="arial" w:cs="arial"/>
          <w:color w:val="000000"/>
          <w:sz w:val="20"/>
          <w:lang w:val="en-US" w:eastAsia="en-US" w:bidi="ar-SA"/>
        </w:rPr>
        <w:t xml:space="preserve"> (crossing of the Tsilhqox, located north of the mouth of Tsilhqox Biny)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bisinchen</w:t>
      </w:r>
      <w:r>
        <w:rPr>
          <w:rFonts w:ascii="arial" w:eastAsia="arial" w:hAnsi="arial" w:cs="arial"/>
          <w:color w:val="000000"/>
          <w:sz w:val="20"/>
          <w:lang w:val="en-US" w:eastAsia="en-US" w:bidi="ar-SA"/>
        </w:rPr>
        <w:t xml:space="preserve"> (tool made of pine used to stretch and soften hides)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Bisqox</w:t>
      </w:r>
      <w:r>
        <w:rPr>
          <w:rFonts w:ascii="arial" w:eastAsia="arial" w:hAnsi="arial" w:cs="arial"/>
          <w:color w:val="000000"/>
          <w:sz w:val="20"/>
          <w:lang w:val="en-US" w:eastAsia="en-US" w:bidi="ar-SA"/>
        </w:rPr>
        <w:t xml:space="preserve"> (Beece Creek)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bixesdah</w:t>
      </w:r>
      <w:r>
        <w:rPr>
          <w:rFonts w:ascii="arial" w:eastAsia="arial" w:hAnsi="arial" w:cs="arial"/>
          <w:color w:val="000000"/>
          <w:sz w:val="20"/>
          <w:lang w:val="en-US" w:eastAsia="en-US" w:bidi="ar-SA"/>
        </w:rPr>
        <w:t xml:space="preserve"> (type of coat or wrap)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bixest'az</w:t>
      </w:r>
      <w:r>
        <w:rPr>
          <w:rFonts w:ascii="arial" w:eastAsia="arial" w:hAnsi="arial" w:cs="arial"/>
          <w:color w:val="000000"/>
          <w:sz w:val="20"/>
          <w:lang w:val="en-US" w:eastAsia="en-US" w:bidi="ar-SA"/>
        </w:rPr>
        <w:t xml:space="preserve"> (footwear, shoe that goes halfway over the ankle)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Ch'a Biny</w:t>
      </w:r>
      <w:r>
        <w:rPr>
          <w:rFonts w:ascii="arial" w:eastAsia="arial" w:hAnsi="arial" w:cs="arial"/>
          <w:color w:val="000000"/>
          <w:sz w:val="20"/>
          <w:lang w:val="en-US" w:eastAsia="en-US" w:bidi="ar-SA"/>
        </w:rPr>
        <w:t xml:space="preserve"> (Big Lagoon)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chel/ig</w:t>
      </w:r>
      <w:r>
        <w:rPr>
          <w:rFonts w:ascii="arial" w:eastAsia="arial" w:hAnsi="arial" w:cs="arial"/>
          <w:color w:val="000000"/>
          <w:sz w:val="20"/>
          <w:lang w:val="en-US" w:eastAsia="en-US" w:bidi="ar-SA"/>
        </w:rPr>
        <w:t xml:space="preserve"> (coyote)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Chel Letesgan</w:t>
      </w:r>
      <w:r>
        <w:rPr>
          <w:rFonts w:ascii="arial" w:eastAsia="arial" w:hAnsi="arial" w:cs="arial"/>
          <w:color w:val="000000"/>
          <w:sz w:val="20"/>
          <w:lang w:val="en-US" w:eastAsia="en-US" w:bidi="ar-SA"/>
        </w:rPr>
        <w:t xml:space="preserve"> (gravesite at Naghtaneqed)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chendi</w:t>
      </w:r>
      <w:r>
        <w:rPr>
          <w:rFonts w:ascii="arial" w:eastAsia="arial" w:hAnsi="arial" w:cs="arial"/>
          <w:color w:val="000000"/>
          <w:sz w:val="20"/>
          <w:lang w:val="en-US" w:eastAsia="en-US" w:bidi="ar-SA"/>
        </w:rPr>
        <w:t xml:space="preserve"> (lodgepole pine)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Chezqox</w:t>
      </w:r>
      <w:r>
        <w:rPr>
          <w:rFonts w:ascii="arial" w:eastAsia="arial" w:hAnsi="arial" w:cs="arial"/>
          <w:color w:val="000000"/>
          <w:sz w:val="20"/>
          <w:lang w:val="en-US" w:eastAsia="en-US" w:bidi="ar-SA"/>
        </w:rPr>
        <w:t xml:space="preserve"> (Chilcotin 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Chezich'ed Biny</w:t>
      </w:r>
      <w:r>
        <w:rPr>
          <w:rFonts w:ascii="arial" w:eastAsia="arial" w:hAnsi="arial" w:cs="arial"/>
          <w:color w:val="000000"/>
          <w:sz w:val="20"/>
          <w:lang w:val="en-US" w:eastAsia="en-US" w:bidi="ar-SA"/>
        </w:rPr>
        <w:t xml:space="preserve"> (Chezikut or Chilcotin Lake)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Ch'ezqud</w:t>
      </w:r>
      <w:r>
        <w:rPr>
          <w:rFonts w:ascii="arial" w:eastAsia="arial" w:hAnsi="arial" w:cs="arial"/>
          <w:color w:val="000000"/>
          <w:sz w:val="20"/>
          <w:lang w:val="en-US" w:eastAsia="en-US" w:bidi="ar-SA"/>
        </w:rPr>
        <w:t xml:space="preserve"> (creek located near ?Edibiny, at the western end of Naghatalhchoz Biny)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chinaz</w:t>
      </w:r>
      <w:r>
        <w:rPr>
          <w:rFonts w:ascii="arial" w:eastAsia="arial" w:hAnsi="arial" w:cs="arial"/>
          <w:color w:val="000000"/>
          <w:sz w:val="20"/>
          <w:lang w:val="en-US" w:eastAsia="en-US" w:bidi="ar-SA"/>
        </w:rPr>
        <w:t xml:space="preserve"> (otter)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Chinilgwan</w:t>
      </w:r>
      <w:r>
        <w:rPr>
          <w:rFonts w:ascii="arial" w:eastAsia="arial" w:hAnsi="arial" w:cs="arial"/>
          <w:color w:val="000000"/>
          <w:sz w:val="20"/>
          <w:lang w:val="en-US" w:eastAsia="en-US" w:bidi="ar-SA"/>
        </w:rPr>
        <w:t xml:space="preserve"> (Churn Creek)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chinsdad</w:t>
      </w:r>
      <w:r>
        <w:rPr>
          <w:rFonts w:ascii="arial" w:eastAsia="arial" w:hAnsi="arial" w:cs="arial"/>
          <w:color w:val="000000"/>
          <w:sz w:val="20"/>
          <w:lang w:val="en-US" w:eastAsia="en-US" w:bidi="ar-SA"/>
        </w:rPr>
        <w:t xml:space="preserve"> (silverweed)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ch'it'uz</w:t>
      </w:r>
      <w:r>
        <w:rPr>
          <w:rFonts w:ascii="arial" w:eastAsia="arial" w:hAnsi="arial" w:cs="arial"/>
          <w:color w:val="000000"/>
          <w:sz w:val="20"/>
          <w:lang w:val="en-US" w:eastAsia="en-US" w:bidi="ar-SA"/>
        </w:rPr>
        <w:t xml:space="preserve"> (birch bark)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daden</w:t>
      </w:r>
      <w:r>
        <w:rPr>
          <w:rFonts w:ascii="arial" w:eastAsia="arial" w:hAnsi="arial" w:cs="arial"/>
          <w:color w:val="000000"/>
          <w:sz w:val="20"/>
          <w:lang w:val="en-US" w:eastAsia="en-US" w:bidi="ar-SA"/>
        </w:rPr>
        <w:t xml:space="preserve"> (three pronged spear)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dadzagh</w:t>
      </w:r>
      <w:r>
        <w:rPr>
          <w:rFonts w:ascii="arial" w:eastAsia="arial" w:hAnsi="arial" w:cs="arial"/>
          <w:color w:val="000000"/>
          <w:sz w:val="20"/>
          <w:lang w:val="en-US" w:eastAsia="en-US" w:bidi="ar-SA"/>
        </w:rPr>
        <w:t xml:space="preserve"> (spear)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Dakelh</w:t>
      </w:r>
      <w:r>
        <w:rPr>
          <w:rFonts w:ascii="arial" w:eastAsia="arial" w:hAnsi="arial" w:cs="arial"/>
          <w:color w:val="000000"/>
          <w:sz w:val="20"/>
          <w:lang w:val="en-US" w:eastAsia="en-US" w:bidi="ar-SA"/>
        </w:rPr>
        <w:t xml:space="preserve"> (Carrier)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dan</w:t>
      </w:r>
      <w:r>
        <w:rPr>
          <w:rFonts w:ascii="arial" w:eastAsia="arial" w:hAnsi="arial" w:cs="arial"/>
          <w:color w:val="000000"/>
          <w:sz w:val="20"/>
          <w:lang w:val="en-US" w:eastAsia="en-US" w:bidi="ar-SA"/>
        </w:rPr>
        <w:t xml:space="preserve"> (summer)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dan ch'iz</w:t>
      </w:r>
      <w:r>
        <w:rPr>
          <w:rFonts w:ascii="arial" w:eastAsia="arial" w:hAnsi="arial" w:cs="arial"/>
          <w:color w:val="000000"/>
          <w:sz w:val="20"/>
          <w:lang w:val="en-US" w:eastAsia="en-US" w:bidi="ar-SA"/>
        </w:rPr>
        <w:t xml:space="preserve">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Dan Qi Yex</w:t>
      </w:r>
      <w:r>
        <w:rPr>
          <w:rFonts w:ascii="arial" w:eastAsia="arial" w:hAnsi="arial" w:cs="arial"/>
          <w:color w:val="000000"/>
          <w:sz w:val="20"/>
          <w:lang w:val="en-US" w:eastAsia="en-US" w:bidi="ar-SA"/>
        </w:rPr>
        <w:t xml:space="preserve"> (Bidwell Creek)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Dants'ex</w:t>
      </w:r>
      <w:r>
        <w:rPr>
          <w:rFonts w:ascii="arial" w:eastAsia="arial" w:hAnsi="arial" w:cs="arial"/>
          <w:color w:val="000000"/>
          <w:sz w:val="20"/>
          <w:lang w:val="en-US" w:eastAsia="en-US" w:bidi="ar-SA"/>
        </w:rPr>
        <w:t xml:space="preserve"> (pink salmon moon, September)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Dasiqox</w:t>
      </w:r>
      <w:r>
        <w:rPr>
          <w:rFonts w:ascii="arial" w:eastAsia="arial" w:hAnsi="arial" w:cs="arial"/>
          <w:color w:val="000000"/>
          <w:sz w:val="20"/>
          <w:lang w:val="en-US" w:eastAsia="en-US" w:bidi="ar-SA"/>
        </w:rPr>
        <w:t xml:space="preserve"> (Taseko 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Dasiqox Biny</w:t>
      </w:r>
      <w:r>
        <w:rPr>
          <w:rFonts w:ascii="arial" w:eastAsia="arial" w:hAnsi="arial" w:cs="arial"/>
          <w:color w:val="000000"/>
          <w:sz w:val="20"/>
          <w:lang w:val="en-US" w:eastAsia="en-US" w:bidi="ar-SA"/>
        </w:rPr>
        <w:t xml:space="preserve"> (Taseko Lake)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Dasiqox Tu Tl'az</w:t>
      </w:r>
      <w:r>
        <w:rPr>
          <w:rFonts w:ascii="arial" w:eastAsia="arial" w:hAnsi="arial" w:cs="arial"/>
          <w:color w:val="000000"/>
          <w:sz w:val="20"/>
          <w:lang w:val="en-US" w:eastAsia="en-US" w:bidi="ar-SA"/>
        </w:rPr>
        <w:t xml:space="preserve"> (southern reaches of Dasiqox Biny)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debi</w:t>
      </w:r>
      <w:r>
        <w:rPr>
          <w:rFonts w:ascii="arial" w:eastAsia="arial" w:hAnsi="arial" w:cs="arial"/>
          <w:color w:val="000000"/>
          <w:sz w:val="20"/>
          <w:lang w:val="en-US" w:eastAsia="en-US" w:bidi="ar-SA"/>
        </w:rPr>
        <w:t xml:space="preserve"> (bighorn sheep)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dechen ts'edilhtan</w:t>
      </w:r>
      <w:r>
        <w:rPr>
          <w:rFonts w:ascii="arial" w:eastAsia="arial" w:hAnsi="arial" w:cs="arial"/>
          <w:color w:val="000000"/>
          <w:sz w:val="20"/>
          <w:lang w:val="en-US" w:eastAsia="en-US" w:bidi="ar-SA"/>
        </w:rPr>
        <w:t xml:space="preserve"> (the laws of Tsilhqot'in ancestors, the law of the 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dediny</w:t>
      </w:r>
      <w:r>
        <w:rPr>
          <w:rFonts w:ascii="arial" w:eastAsia="arial" w:hAnsi="arial" w:cs="arial"/>
          <w:color w:val="000000"/>
          <w:sz w:val="20"/>
          <w:lang w:val="en-US" w:eastAsia="en-US" w:bidi="ar-SA"/>
        </w:rPr>
        <w:t xml:space="preserve"> (groundhog or marmots)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Dediny Qox</w:t>
      </w:r>
      <w:r>
        <w:rPr>
          <w:rFonts w:ascii="arial" w:eastAsia="arial" w:hAnsi="arial" w:cs="arial"/>
          <w:color w:val="000000"/>
          <w:sz w:val="20"/>
          <w:lang w:val="en-US" w:eastAsia="en-US" w:bidi="ar-SA"/>
        </w:rPr>
        <w:t xml:space="preserve"> (Big Creek)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Dehtus</w:t>
      </w:r>
      <w:r>
        <w:rPr>
          <w:rFonts w:ascii="arial" w:eastAsia="arial" w:hAnsi="arial" w:cs="arial"/>
          <w:color w:val="000000"/>
          <w:sz w:val="20"/>
          <w:lang w:val="en-US" w:eastAsia="en-US" w:bidi="ar-SA"/>
        </w:rPr>
        <w:t xml:space="preserve"> (Dehtus of Anaham, Tsilhqot'in chief)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dek'any</w:t>
      </w:r>
      <w:r>
        <w:rPr>
          <w:rFonts w:ascii="arial" w:eastAsia="arial" w:hAnsi="arial" w:cs="arial"/>
          <w:color w:val="000000"/>
          <w:sz w:val="20"/>
          <w:lang w:val="en-US" w:eastAsia="en-US" w:bidi="ar-SA"/>
        </w:rPr>
        <w:t xml:space="preserve"> (rainbow trout)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Delgi Chosh</w:t>
      </w:r>
      <w:r>
        <w:rPr>
          <w:rFonts w:ascii="arial" w:eastAsia="arial" w:hAnsi="arial" w:cs="arial"/>
          <w:color w:val="000000"/>
          <w:sz w:val="20"/>
          <w:lang w:val="en-US" w:eastAsia="en-US" w:bidi="ar-SA"/>
        </w:rPr>
        <w:t xml:space="preserve"> (Big Lake)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delji-yaz</w:t>
      </w:r>
      <w:r>
        <w:rPr>
          <w:rFonts w:ascii="arial" w:eastAsia="arial" w:hAnsi="arial" w:cs="arial"/>
          <w:color w:val="000000"/>
          <w:sz w:val="20"/>
          <w:lang w:val="en-US" w:eastAsia="en-US" w:bidi="ar-SA"/>
        </w:rPr>
        <w:t xml:space="preserve"> (sucker)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Deni Belh Tenalqelh</w:t>
      </w:r>
      <w:r>
        <w:rPr>
          <w:rFonts w:ascii="arial" w:eastAsia="arial" w:hAnsi="arial" w:cs="arial"/>
          <w:color w:val="000000"/>
          <w:sz w:val="20"/>
          <w:lang w:val="en-US" w:eastAsia="en-US" w:bidi="ar-SA"/>
        </w:rPr>
        <w:t xml:space="preserve"> (location where the creek leaves the twin lakes)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Deni Deztsan</w:t>
      </w:r>
      <w:r>
        <w:rPr>
          <w:rFonts w:ascii="arial" w:eastAsia="arial" w:hAnsi="arial" w:cs="arial"/>
          <w:color w:val="000000"/>
          <w:sz w:val="20"/>
          <w:lang w:val="en-US" w:eastAsia="en-US" w:bidi="ar-SA"/>
        </w:rPr>
        <w:t xml:space="preserve"> (Graveyard Valley)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deni gha dats'eyel</w:t>
      </w:r>
      <w:r>
        <w:rPr>
          <w:rFonts w:ascii="arial" w:eastAsia="arial" w:hAnsi="arial" w:cs="arial"/>
          <w:color w:val="000000"/>
          <w:sz w:val="20"/>
          <w:lang w:val="en-US" w:eastAsia="en-US" w:bidi="ar-SA"/>
        </w:rPr>
        <w:t xml:space="preserve"> (spear-like weapon)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denish</w:t>
      </w:r>
      <w:r>
        <w:rPr>
          <w:rFonts w:ascii="arial" w:eastAsia="arial" w:hAnsi="arial" w:cs="arial"/>
          <w:color w:val="000000"/>
          <w:sz w:val="20"/>
          <w:lang w:val="en-US" w:eastAsia="en-US" w:bidi="ar-SA"/>
        </w:rPr>
        <w:t xml:space="preserve"> (kinnick kinnick)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deyen</w:t>
      </w:r>
      <w:r>
        <w:rPr>
          <w:rFonts w:ascii="arial" w:eastAsia="arial" w:hAnsi="arial" w:cs="arial"/>
          <w:color w:val="000000"/>
          <w:sz w:val="20"/>
          <w:lang w:val="en-US" w:eastAsia="en-US" w:bidi="ar-SA"/>
        </w:rPr>
        <w:t xml:space="preserve"> (spiritual healer, a person with special healing powers)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deyen nejede?ah</w:t>
      </w:r>
      <w:r>
        <w:rPr>
          <w:rFonts w:ascii="arial" w:eastAsia="arial" w:hAnsi="arial" w:cs="arial"/>
          <w:color w:val="000000"/>
          <w:sz w:val="20"/>
          <w:lang w:val="en-US" w:eastAsia="en-US" w:bidi="ar-SA"/>
        </w:rPr>
        <w:t xml:space="preserve"> (powerful deyen, able to assist in the recovery of a lost soul)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dig</w:t>
      </w:r>
      <w:r>
        <w:rPr>
          <w:rFonts w:ascii="arial" w:eastAsia="arial" w:hAnsi="arial" w:cs="arial"/>
          <w:color w:val="000000"/>
          <w:sz w:val="20"/>
          <w:lang w:val="en-US" w:eastAsia="en-US" w:bidi="ar-SA"/>
        </w:rPr>
        <w:t xml:space="preserve"> (saskatoon berries)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dishugh delmid nagwaghized</w:t>
      </w:r>
      <w:r>
        <w:rPr>
          <w:rFonts w:ascii="arial" w:eastAsia="arial" w:hAnsi="arial" w:cs="arial"/>
          <w:color w:val="000000"/>
          <w:sz w:val="20"/>
          <w:lang w:val="en-US" w:eastAsia="en-US" w:bidi="ar-SA"/>
        </w:rPr>
        <w:t xml:space="preserve"> (gathering held at Ts'uni?ad Biny every May)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dlig</w:t>
      </w:r>
      <w:r>
        <w:rPr>
          <w:rFonts w:ascii="arial" w:eastAsia="arial" w:hAnsi="arial" w:cs="arial"/>
          <w:color w:val="000000"/>
          <w:sz w:val="20"/>
          <w:lang w:val="en-US" w:eastAsia="en-US" w:bidi="ar-SA"/>
        </w:rPr>
        <w:t xml:space="preserve"> (squirrel)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Dzelh Ch'ed</w:t>
      </w:r>
      <w:r>
        <w:rPr>
          <w:rFonts w:ascii="arial" w:eastAsia="arial" w:hAnsi="arial" w:cs="arial"/>
          <w:color w:val="000000"/>
          <w:sz w:val="20"/>
          <w:lang w:val="en-US" w:eastAsia="en-US" w:bidi="ar-SA"/>
        </w:rPr>
        <w:t xml:space="preserve"> (Snow Mountains).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?Edaz Biny</w:t>
      </w:r>
      <w:r>
        <w:rPr>
          <w:rFonts w:ascii="arial" w:eastAsia="arial" w:hAnsi="arial" w:cs="arial"/>
          <w:color w:val="000000"/>
          <w:sz w:val="20"/>
          <w:lang w:val="en-US" w:eastAsia="en-US" w:bidi="ar-SA"/>
        </w:rPr>
        <w:t xml:space="preserve"> (small high elevation lake)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?Edibiny</w:t>
      </w:r>
      <w:r>
        <w:rPr>
          <w:rFonts w:ascii="arial" w:eastAsia="arial" w:hAnsi="arial" w:cs="arial"/>
          <w:color w:val="000000"/>
          <w:sz w:val="20"/>
          <w:lang w:val="en-US" w:eastAsia="en-US" w:bidi="ar-SA"/>
        </w:rPr>
        <w:t xml:space="preserve"> (?Edi Biny, small lake south of Naghatalhchoz)</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?eghulhts'en</w:t>
      </w:r>
      <w:r>
        <w:rPr>
          <w:rFonts w:ascii="arial" w:eastAsia="arial" w:hAnsi="arial" w:cs="arial"/>
          <w:color w:val="000000"/>
          <w:sz w:val="20"/>
          <w:lang w:val="en-US" w:eastAsia="en-US" w:bidi="ar-SA"/>
        </w:rPr>
        <w:t xml:space="preserve"> (spring)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?Elagi seqan</w:t>
      </w:r>
      <w:r>
        <w:rPr>
          <w:rFonts w:ascii="arial" w:eastAsia="arial" w:hAnsi="arial" w:cs="arial"/>
          <w:color w:val="000000"/>
          <w:sz w:val="20"/>
          <w:lang w:val="en-US" w:eastAsia="en-US" w:bidi="ar-SA"/>
        </w:rPr>
        <w:t xml:space="preserve"> (mountain camping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?el bid qungh</w:t>
      </w:r>
      <w:r>
        <w:rPr>
          <w:rFonts w:ascii="arial" w:eastAsia="arial" w:hAnsi="arial" w:cs="arial"/>
          <w:color w:val="000000"/>
          <w:sz w:val="20"/>
          <w:lang w:val="en-US" w:eastAsia="en-US" w:bidi="ar-SA"/>
        </w:rPr>
        <w:t xml:space="preserve"> (lean to, shelter made with trees)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?Elegesi</w:t>
      </w:r>
      <w:r>
        <w:rPr>
          <w:rFonts w:ascii="arial" w:eastAsia="arial" w:hAnsi="arial" w:cs="arial"/>
          <w:color w:val="000000"/>
          <w:sz w:val="20"/>
          <w:lang w:val="en-US" w:eastAsia="en-US" w:bidi="ar-SA"/>
        </w:rPr>
        <w:t xml:space="preserve"> (Eagle Lake Henry)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?Elhghatish</w:t>
      </w:r>
      <w:r>
        <w:rPr>
          <w:rFonts w:ascii="arial" w:eastAsia="arial" w:hAnsi="arial" w:cs="arial"/>
          <w:color w:val="000000"/>
          <w:sz w:val="20"/>
          <w:lang w:val="en-US" w:eastAsia="en-US" w:bidi="ar-SA"/>
        </w:rPr>
        <w:t xml:space="preserve"> (?Elhxatish, area between and including the Twin Lakes)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?Elhghatish Biny</w:t>
      </w:r>
      <w:r>
        <w:rPr>
          <w:rFonts w:ascii="arial" w:eastAsia="arial" w:hAnsi="arial" w:cs="arial"/>
          <w:color w:val="000000"/>
          <w:sz w:val="20"/>
          <w:lang w:val="en-US" w:eastAsia="en-US" w:bidi="ar-SA"/>
        </w:rPr>
        <w:t xml:space="preserve"> (Vedan Lake, one of the Twin Lakes)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?Elhixidlin</w:t>
      </w:r>
      <w:r>
        <w:rPr>
          <w:rFonts w:ascii="arial" w:eastAsia="arial" w:hAnsi="arial" w:cs="arial"/>
          <w:color w:val="000000"/>
          <w:sz w:val="20"/>
          <w:lang w:val="en-US" w:eastAsia="en-US" w:bidi="ar-SA"/>
        </w:rPr>
        <w:t xml:space="preserve"> (Taseko Mouth, confluence of the Dasiqox and Tsilhqox, Whitewater)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?elhtilh</w:t>
      </w:r>
      <w:r>
        <w:rPr>
          <w:rFonts w:ascii="arial" w:eastAsia="arial" w:hAnsi="arial" w:cs="arial"/>
          <w:color w:val="000000"/>
          <w:sz w:val="20"/>
          <w:lang w:val="en-US" w:eastAsia="en-US" w:bidi="ar-SA"/>
        </w:rPr>
        <w:t xml:space="preserve"> (prairie chicken or wild grouse)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?Ena Ch'ez Nadilin</w:t>
      </w:r>
      <w:r>
        <w:rPr>
          <w:rFonts w:ascii="arial" w:eastAsia="arial" w:hAnsi="arial" w:cs="arial"/>
          <w:color w:val="000000"/>
          <w:sz w:val="20"/>
          <w:lang w:val="en-US" w:eastAsia="en-US" w:bidi="ar-SA"/>
        </w:rPr>
        <w:t xml:space="preserve"> (river in Eastern Trapline Territory)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?Ena Tsel</w:t>
      </w:r>
      <w:r>
        <w:rPr>
          <w:rFonts w:ascii="arial" w:eastAsia="arial" w:hAnsi="arial" w:cs="arial"/>
          <w:color w:val="000000"/>
          <w:sz w:val="20"/>
          <w:lang w:val="en-US" w:eastAsia="en-US" w:bidi="ar-SA"/>
        </w:rPr>
        <w:t xml:space="preserve"> (?Enaycel, Little Shuswap or Little Salishans)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?Enes Biny</w:t>
      </w:r>
      <w:r>
        <w:rPr>
          <w:rFonts w:ascii="arial" w:eastAsia="arial" w:hAnsi="arial" w:cs="arial"/>
          <w:color w:val="000000"/>
          <w:sz w:val="20"/>
          <w:lang w:val="en-US" w:eastAsia="en-US" w:bidi="ar-SA"/>
        </w:rPr>
        <w:t xml:space="preserve"> (small high elevation lake)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?Eniyud</w:t>
      </w:r>
      <w:r>
        <w:rPr>
          <w:rFonts w:ascii="arial" w:eastAsia="arial" w:hAnsi="arial" w:cs="arial"/>
          <w:color w:val="000000"/>
          <w:sz w:val="20"/>
          <w:lang w:val="en-US" w:eastAsia="en-US" w:bidi="ar-SA"/>
        </w:rPr>
        <w:t xml:space="preserve"> (legendary wife of Ts'il?os)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?Eniyud Dzelh</w:t>
      </w:r>
      <w:r>
        <w:rPr>
          <w:rFonts w:ascii="arial" w:eastAsia="arial" w:hAnsi="arial" w:cs="arial"/>
          <w:color w:val="000000"/>
          <w:sz w:val="20"/>
          <w:lang w:val="en-US" w:eastAsia="en-US" w:bidi="ar-SA"/>
        </w:rPr>
        <w:t xml:space="preserve"> (Niut Mountain)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?eqe?ats'et'in</w:t>
      </w:r>
      <w:r>
        <w:rPr>
          <w:rFonts w:ascii="arial" w:eastAsia="arial" w:hAnsi="arial" w:cs="arial"/>
          <w:color w:val="000000"/>
          <w:sz w:val="20"/>
          <w:lang w:val="en-US" w:eastAsia="en-US" w:bidi="ar-SA"/>
        </w:rPr>
        <w:t xml:space="preserve"> (trapping)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?Esdilagh</w:t>
      </w:r>
      <w:r>
        <w:rPr>
          <w:rFonts w:ascii="arial" w:eastAsia="arial" w:hAnsi="arial" w:cs="arial"/>
          <w:color w:val="000000"/>
          <w:sz w:val="20"/>
          <w:lang w:val="en-US" w:eastAsia="en-US" w:bidi="ar-SA"/>
        </w:rPr>
        <w:t xml:space="preserve"> (Alexandria)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?Esgany ?Anx</w:t>
      </w:r>
      <w:r>
        <w:rPr>
          <w:rFonts w:ascii="arial" w:eastAsia="arial" w:hAnsi="arial" w:cs="arial"/>
          <w:color w:val="000000"/>
          <w:sz w:val="20"/>
          <w:lang w:val="en-US" w:eastAsia="en-US" w:bidi="ar-SA"/>
        </w:rPr>
        <w:t xml:space="preserve"> (place where ?Eniyud planted suntiny in Xeni)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?Esggidam</w:t>
      </w:r>
      <w:r>
        <w:rPr>
          <w:rFonts w:ascii="arial" w:eastAsia="arial" w:hAnsi="arial" w:cs="arial"/>
          <w:color w:val="000000"/>
          <w:sz w:val="20"/>
          <w:lang w:val="en-US" w:eastAsia="en-US" w:bidi="ar-SA"/>
        </w:rPr>
        <w:t xml:space="preserve"> (Tsilhqot'in ancestors)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?esghunsh</w:t>
      </w:r>
      <w:r>
        <w:rPr>
          <w:rFonts w:ascii="arial" w:eastAsia="arial" w:hAnsi="arial" w:cs="arial"/>
          <w:color w:val="000000"/>
          <w:sz w:val="20"/>
          <w:lang w:val="en-US" w:eastAsia="en-US" w:bidi="ar-SA"/>
        </w:rPr>
        <w:t xml:space="preserve"> (bear tooth or avalanche lily)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?Eskish</w:t>
      </w:r>
      <w:r>
        <w:rPr>
          <w:rFonts w:ascii="arial" w:eastAsia="arial" w:hAnsi="arial" w:cs="arial"/>
          <w:color w:val="000000"/>
          <w:sz w:val="20"/>
          <w:lang w:val="en-US" w:eastAsia="en-US" w:bidi="ar-SA"/>
        </w:rPr>
        <w:t xml:space="preserve"> (Captain George)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?Esqi Dzul Tese?an</w:t>
      </w:r>
      <w:r>
        <w:rPr>
          <w:rFonts w:ascii="arial" w:eastAsia="arial" w:hAnsi="arial" w:cs="arial"/>
          <w:color w:val="000000"/>
          <w:sz w:val="20"/>
          <w:lang w:val="en-US" w:eastAsia="en-US" w:bidi="ar-SA"/>
        </w:rPr>
        <w:t xml:space="preserve"> (place name)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?Esqi Tintenisdzah</w:t>
      </w:r>
      <w:r>
        <w:rPr>
          <w:rFonts w:ascii="arial" w:eastAsia="arial" w:hAnsi="arial" w:cs="arial"/>
          <w:color w:val="000000"/>
          <w:sz w:val="20"/>
          <w:lang w:val="en-US" w:eastAsia="en-US" w:bidi="ar-SA"/>
        </w:rPr>
        <w:t xml:space="preserve"> (?Esqi Tinteniyah, Child Got Lost)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?Estinlh</w:t>
      </w:r>
      <w:r>
        <w:rPr>
          <w:rFonts w:ascii="arial" w:eastAsia="arial" w:hAnsi="arial" w:cs="arial"/>
          <w:color w:val="000000"/>
          <w:sz w:val="20"/>
          <w:lang w:val="en-US" w:eastAsia="en-US" w:bidi="ar-SA"/>
        </w:rPr>
        <w:t xml:space="preserve"> (Tsilhqot'in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?ests'igwel</w:t>
      </w:r>
      <w:r>
        <w:rPr>
          <w:rFonts w:ascii="arial" w:eastAsia="arial" w:hAnsi="arial" w:cs="arial"/>
          <w:color w:val="000000"/>
          <w:sz w:val="20"/>
          <w:lang w:val="en-US" w:eastAsia="en-US" w:bidi="ar-SA"/>
        </w:rPr>
        <w:t xml:space="preserve"> (pine nuts or seeds)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?Et'an Ghintil</w:t>
      </w:r>
      <w:r>
        <w:rPr>
          <w:rFonts w:ascii="arial" w:eastAsia="arial" w:hAnsi="arial" w:cs="arial"/>
          <w:color w:val="000000"/>
          <w:sz w:val="20"/>
          <w:lang w:val="en-US" w:eastAsia="en-US" w:bidi="ar-SA"/>
        </w:rPr>
        <w:t xml:space="preserve"> (underground house site on the south shore of Xeni Biny)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?etaslaz</w:t>
      </w:r>
      <w:r>
        <w:rPr>
          <w:rFonts w:ascii="arial" w:eastAsia="arial" w:hAnsi="arial" w:cs="arial"/>
          <w:color w:val="000000"/>
          <w:sz w:val="20"/>
          <w:lang w:val="en-US" w:eastAsia="en-US" w:bidi="ar-SA"/>
        </w:rPr>
        <w:t xml:space="preserve"> (spruce bark)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?etaslaz ts'i</w:t>
      </w:r>
      <w:r>
        <w:rPr>
          <w:rFonts w:ascii="arial" w:eastAsia="arial" w:hAnsi="arial" w:cs="arial"/>
          <w:color w:val="000000"/>
          <w:sz w:val="20"/>
          <w:lang w:val="en-US" w:eastAsia="en-US" w:bidi="ar-SA"/>
        </w:rPr>
        <w:t xml:space="preserve"> (spruce bark boat)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?Eweniwen</w:t>
      </w:r>
      <w:r>
        <w:rPr>
          <w:rFonts w:ascii="arial" w:eastAsia="arial" w:hAnsi="arial" w:cs="arial"/>
          <w:color w:val="000000"/>
          <w:sz w:val="20"/>
          <w:lang w:val="en-US" w:eastAsia="en-US" w:bidi="ar-SA"/>
        </w:rPr>
        <w:t xml:space="preserve"> (Johnny Setah)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gex</w:t>
      </w:r>
      <w:r>
        <w:rPr>
          <w:rFonts w:ascii="arial" w:eastAsia="arial" w:hAnsi="arial" w:cs="arial"/>
          <w:color w:val="000000"/>
          <w:sz w:val="20"/>
          <w:lang w:val="en-US" w:eastAsia="en-US" w:bidi="ar-SA"/>
        </w:rPr>
        <w:t xml:space="preserve"> (rabbit)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gex gej teghetl'un</w:t>
      </w:r>
      <w:r>
        <w:rPr>
          <w:rFonts w:ascii="arial" w:eastAsia="arial" w:hAnsi="arial" w:cs="arial"/>
          <w:color w:val="000000"/>
          <w:sz w:val="20"/>
          <w:lang w:val="en-US" w:eastAsia="en-US" w:bidi="ar-SA"/>
        </w:rPr>
        <w:t xml:space="preserve"> (spring snare)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Gudish Nits'il?in</w:t>
      </w:r>
      <w:r>
        <w:rPr>
          <w:rFonts w:ascii="arial" w:eastAsia="arial" w:hAnsi="arial" w:cs="arial"/>
          <w:color w:val="000000"/>
          <w:sz w:val="20"/>
          <w:lang w:val="en-US" w:eastAsia="en-US" w:bidi="ar-SA"/>
        </w:rPr>
        <w:t xml:space="preserve"> (supreme being, creator, God)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Gughay Ch'ech'ed</w:t>
      </w:r>
      <w:r>
        <w:rPr>
          <w:rFonts w:ascii="arial" w:eastAsia="arial" w:hAnsi="arial" w:cs="arial"/>
          <w:color w:val="000000"/>
          <w:sz w:val="20"/>
          <w:lang w:val="en-US" w:eastAsia="en-US" w:bidi="ar-SA"/>
        </w:rPr>
        <w:t xml:space="preserve"> (place name)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guli</w:t>
      </w:r>
      <w:r>
        <w:rPr>
          <w:rFonts w:ascii="arial" w:eastAsia="arial" w:hAnsi="arial" w:cs="arial"/>
          <w:color w:val="000000"/>
          <w:sz w:val="20"/>
          <w:lang w:val="en-US" w:eastAsia="en-US" w:bidi="ar-SA"/>
        </w:rPr>
        <w:t xml:space="preserve"> (skunk)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Guli Dzelh ?Elhghenbedaghilhdenz</w:t>
      </w:r>
      <w:r>
        <w:rPr>
          <w:rFonts w:ascii="arial" w:eastAsia="arial" w:hAnsi="arial" w:cs="arial"/>
          <w:color w:val="000000"/>
          <w:sz w:val="20"/>
          <w:lang w:val="en-US" w:eastAsia="en-US" w:bidi="ar-SA"/>
        </w:rPr>
        <w:t xml:space="preserve"> (Sa Ten, where skunk blew out the mountain)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Gwech'az Biny</w:t>
      </w:r>
      <w:r>
        <w:rPr>
          <w:rFonts w:ascii="arial" w:eastAsia="arial" w:hAnsi="arial" w:cs="arial"/>
          <w:color w:val="000000"/>
          <w:sz w:val="20"/>
          <w:lang w:val="en-US" w:eastAsia="en-US" w:bidi="ar-SA"/>
        </w:rPr>
        <w:t xml:space="preserve"> (place name)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Gwedats'ish</w:t>
      </w:r>
      <w:r>
        <w:rPr>
          <w:rFonts w:ascii="arial" w:eastAsia="arial" w:hAnsi="arial" w:cs="arial"/>
          <w:color w:val="000000"/>
          <w:sz w:val="20"/>
          <w:lang w:val="en-US" w:eastAsia="en-US" w:bidi="ar-SA"/>
        </w:rPr>
        <w:t xml:space="preserve"> (village site located at the north end of Tsilhqox Biny)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Gwedeld'en T'ay</w:t>
      </w:r>
      <w:r>
        <w:rPr>
          <w:rFonts w:ascii="arial" w:eastAsia="arial" w:hAnsi="arial" w:cs="arial"/>
          <w:color w:val="000000"/>
          <w:sz w:val="20"/>
          <w:lang w:val="en-US" w:eastAsia="en-US" w:bidi="ar-SA"/>
        </w:rPr>
        <w:t xml:space="preserve"> (Gwedeldon Dany, Indian Drum, where they drum on both sides)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Gwedzin</w:t>
      </w:r>
      <w:r>
        <w:rPr>
          <w:rFonts w:ascii="arial" w:eastAsia="arial" w:hAnsi="arial" w:cs="arial"/>
          <w:color w:val="000000"/>
          <w:sz w:val="20"/>
          <w:lang w:val="en-US" w:eastAsia="en-US" w:bidi="ar-SA"/>
        </w:rPr>
        <w:t xml:space="preserve"> (lands around Gwedzin Biny)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Gwedzin Biny</w:t>
      </w:r>
      <w:r>
        <w:rPr>
          <w:rFonts w:ascii="arial" w:eastAsia="arial" w:hAnsi="arial" w:cs="arial"/>
          <w:color w:val="000000"/>
          <w:sz w:val="20"/>
          <w:lang w:val="en-US" w:eastAsia="en-US" w:bidi="ar-SA"/>
        </w:rPr>
        <w:t xml:space="preserve"> (Quitzee Lake or Cochin Lake)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Gweq'ez Dzelh</w:t>
      </w:r>
      <w:r>
        <w:rPr>
          <w:rFonts w:ascii="arial" w:eastAsia="arial" w:hAnsi="arial" w:cs="arial"/>
          <w:color w:val="000000"/>
          <w:sz w:val="20"/>
          <w:lang w:val="en-US" w:eastAsia="en-US" w:bidi="ar-SA"/>
        </w:rPr>
        <w:t xml:space="preserve"> (Mount Nemiah)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Gwetex Natel?as</w:t>
      </w:r>
      <w:r>
        <w:rPr>
          <w:rFonts w:ascii="arial" w:eastAsia="arial" w:hAnsi="arial" w:cs="arial"/>
          <w:color w:val="000000"/>
          <w:sz w:val="20"/>
          <w:lang w:val="en-US" w:eastAsia="en-US" w:bidi="ar-SA"/>
        </w:rPr>
        <w:t xml:space="preserve"> (Red Mountain)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Gwetsilh</w:t>
      </w:r>
      <w:r>
        <w:rPr>
          <w:rFonts w:ascii="arial" w:eastAsia="arial" w:hAnsi="arial" w:cs="arial"/>
          <w:color w:val="000000"/>
          <w:sz w:val="20"/>
          <w:lang w:val="en-US" w:eastAsia="en-US" w:bidi="ar-SA"/>
        </w:rPr>
        <w:t xml:space="preserve"> (Siwash Bridge)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Hanlhdzany</w:t>
      </w:r>
      <w:r>
        <w:rPr>
          <w:rFonts w:ascii="arial" w:eastAsia="arial" w:hAnsi="arial" w:cs="arial"/>
          <w:color w:val="000000"/>
          <w:sz w:val="20"/>
          <w:lang w:val="en-US" w:eastAsia="en-US" w:bidi="ar-SA"/>
        </w:rPr>
        <w:t xml:space="preserve"> (Tsilhqot'in person, Mabel William's grandmother)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?Ighelqez</w:t>
      </w:r>
      <w:r>
        <w:rPr>
          <w:rFonts w:ascii="arial" w:eastAsia="arial" w:hAnsi="arial" w:cs="arial"/>
          <w:color w:val="000000"/>
          <w:sz w:val="20"/>
          <w:lang w:val="en-US" w:eastAsia="en-US" w:bidi="ar-SA"/>
        </w:rPr>
        <w:t xml:space="preserve"> (Tsilhqot'in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Jes Za</w:t>
      </w:r>
      <w:r>
        <w:rPr>
          <w:rFonts w:ascii="arial" w:eastAsia="arial" w:hAnsi="arial" w:cs="arial"/>
          <w:color w:val="000000"/>
          <w:sz w:val="20"/>
          <w:lang w:val="en-US" w:eastAsia="en-US" w:bidi="ar-SA"/>
        </w:rPr>
        <w:t xml:space="preserve"> (Chinook salmon moon, July)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Jididzay Biny</w:t>
      </w:r>
      <w:r>
        <w:rPr>
          <w:rFonts w:ascii="arial" w:eastAsia="arial" w:hAnsi="arial" w:cs="arial"/>
          <w:color w:val="000000"/>
          <w:sz w:val="20"/>
          <w:lang w:val="en-US" w:eastAsia="en-US" w:bidi="ar-SA"/>
        </w:rPr>
        <w:t xml:space="preserve"> (Ch'ididzay, Onion Lake)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K'anlh Gunlin</w:t>
      </w:r>
      <w:r>
        <w:rPr>
          <w:rFonts w:ascii="arial" w:eastAsia="arial" w:hAnsi="arial" w:cs="arial"/>
          <w:color w:val="000000"/>
          <w:sz w:val="20"/>
          <w:lang w:val="en-US" w:eastAsia="en-US" w:bidi="ar-SA"/>
        </w:rPr>
        <w:t xml:space="preserve"> (mountain camping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k'eles</w:t>
      </w:r>
      <w:r>
        <w:rPr>
          <w:rFonts w:ascii="arial" w:eastAsia="arial" w:hAnsi="arial" w:cs="arial"/>
          <w:color w:val="000000"/>
          <w:sz w:val="20"/>
          <w:lang w:val="en-US" w:eastAsia="en-US" w:bidi="ar-SA"/>
        </w:rPr>
        <w:t xml:space="preserve"> (dugout in which cooking took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Keogh</w:t>
      </w:r>
      <w:r>
        <w:rPr>
          <w:rFonts w:ascii="arial" w:eastAsia="arial" w:hAnsi="arial" w:cs="arial"/>
          <w:color w:val="000000"/>
          <w:sz w:val="20"/>
          <w:lang w:val="en-US" w:eastAsia="en-US" w:bidi="ar-SA"/>
        </w:rPr>
        <w:t xml:space="preserve"> (Tsilhqot'in chief)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k'i</w:t>
      </w:r>
      <w:r>
        <w:rPr>
          <w:rFonts w:ascii="arial" w:eastAsia="arial" w:hAnsi="arial" w:cs="arial"/>
          <w:color w:val="000000"/>
          <w:sz w:val="20"/>
          <w:lang w:val="en-US" w:eastAsia="en-US" w:bidi="ar-SA"/>
        </w:rPr>
        <w:t xml:space="preserve"> (willow)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Lha Ts'as?in</w:t>
      </w:r>
      <w:r>
        <w:rPr>
          <w:rFonts w:ascii="arial" w:eastAsia="arial" w:hAnsi="arial" w:cs="arial"/>
          <w:color w:val="000000"/>
          <w:sz w:val="20"/>
          <w:lang w:val="en-US" w:eastAsia="en-US" w:bidi="ar-SA"/>
        </w:rPr>
        <w:t xml:space="preserve"> (Klattessine, Tsilhqot'in person who fought in the Chilcotin War)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Lhin Desch'osh</w:t>
      </w:r>
      <w:r>
        <w:rPr>
          <w:rFonts w:ascii="arial" w:eastAsia="arial" w:hAnsi="arial" w:cs="arial"/>
          <w:color w:val="000000"/>
          <w:sz w:val="20"/>
          <w:lang w:val="en-US" w:eastAsia="en-US" w:bidi="ar-SA"/>
        </w:rPr>
        <w:t xml:space="preserve"> (Lendix'tcux, a mythical person, also a place name)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Lhiz Bay</w:t>
      </w:r>
      <w:r>
        <w:rPr>
          <w:rFonts w:ascii="arial" w:eastAsia="arial" w:hAnsi="arial" w:cs="arial"/>
          <w:color w:val="000000"/>
          <w:sz w:val="20"/>
          <w:lang w:val="en-US" w:eastAsia="en-US" w:bidi="ar-SA"/>
        </w:rPr>
        <w:t xml:space="preserve"> (location at the western end of Xeni)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Lhiz Bay Biny</w:t>
      </w:r>
      <w:r>
        <w:rPr>
          <w:rFonts w:ascii="arial" w:eastAsia="arial" w:hAnsi="arial" w:cs="arial"/>
          <w:color w:val="000000"/>
          <w:sz w:val="20"/>
          <w:lang w:val="en-US" w:eastAsia="en-US" w:bidi="ar-SA"/>
        </w:rPr>
        <w:t xml:space="preserve"> (small lake south of the Lezbye I.R. #6 boundary)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lhiz qwen yex</w:t>
      </w:r>
      <w:r>
        <w:rPr>
          <w:rFonts w:ascii="arial" w:eastAsia="arial" w:hAnsi="arial" w:cs="arial"/>
          <w:color w:val="000000"/>
          <w:sz w:val="20"/>
          <w:lang w:val="en-US" w:eastAsia="en-US" w:bidi="ar-SA"/>
        </w:rPr>
        <w:t xml:space="preserve"> (circular shaped underground pit house with dirt on top)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lhughembinlh</w:t>
      </w:r>
      <w:r>
        <w:rPr>
          <w:rFonts w:ascii="arial" w:eastAsia="arial" w:hAnsi="arial" w:cs="arial"/>
          <w:color w:val="000000"/>
          <w:sz w:val="20"/>
          <w:lang w:val="en-US" w:eastAsia="en-US" w:bidi="ar-SA"/>
        </w:rPr>
        <w:t xml:space="preserve"> (gill nets)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Lhuy Nachasgwengulin</w:t>
      </w:r>
      <w:r>
        <w:rPr>
          <w:rFonts w:ascii="arial" w:eastAsia="arial" w:hAnsi="arial" w:cs="arial"/>
          <w:color w:val="000000"/>
          <w:sz w:val="20"/>
          <w:lang w:val="en-US" w:eastAsia="en-US" w:bidi="ar-SA"/>
        </w:rPr>
        <w:t xml:space="preserve"> (Little Eagle Lake)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Lhuy Nentsul</w:t>
      </w:r>
      <w:r>
        <w:rPr>
          <w:rFonts w:ascii="arial" w:eastAsia="arial" w:hAnsi="arial" w:cs="arial"/>
          <w:color w:val="000000"/>
          <w:sz w:val="20"/>
          <w:lang w:val="en-US" w:eastAsia="en-US" w:bidi="ar-SA"/>
        </w:rPr>
        <w:t xml:space="preserve"> (Little Fish Lake)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lhusisch'el</w:t>
      </w:r>
      <w:r>
        <w:rPr>
          <w:rFonts w:ascii="arial" w:eastAsia="arial" w:hAnsi="arial" w:cs="arial"/>
          <w:color w:val="000000"/>
          <w:sz w:val="20"/>
          <w:lang w:val="en-US" w:eastAsia="en-US" w:bidi="ar-SA"/>
        </w:rPr>
        <w:t xml:space="preserve"> (whitefish)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Lutas</w:t>
      </w:r>
      <w:r>
        <w:rPr>
          <w:rFonts w:ascii="arial" w:eastAsia="arial" w:hAnsi="arial" w:cs="arial"/>
          <w:color w:val="000000"/>
          <w:sz w:val="20"/>
          <w:lang w:val="en-US" w:eastAsia="en-US" w:bidi="ar-SA"/>
        </w:rPr>
        <w:t xml:space="preserve"> (Tsilhqot'in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mus</w:t>
      </w:r>
      <w:r>
        <w:rPr>
          <w:rFonts w:ascii="arial" w:eastAsia="arial" w:hAnsi="arial" w:cs="arial"/>
          <w:color w:val="000000"/>
          <w:sz w:val="20"/>
          <w:lang w:val="en-US" w:eastAsia="en-US" w:bidi="ar-SA"/>
        </w:rPr>
        <w:t xml:space="preserve"> (moose)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Nabas</w:t>
      </w:r>
      <w:r>
        <w:rPr>
          <w:rFonts w:ascii="arial" w:eastAsia="arial" w:hAnsi="arial" w:cs="arial"/>
          <w:color w:val="000000"/>
          <w:sz w:val="20"/>
          <w:lang w:val="en-US" w:eastAsia="en-US" w:bidi="ar-SA"/>
        </w:rPr>
        <w:t xml:space="preserve"> (resource gathering area, meadows between Nabas Dzelh and Teztan)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Nabas Dzelh</w:t>
      </w:r>
      <w:r>
        <w:rPr>
          <w:rFonts w:ascii="arial" w:eastAsia="arial" w:hAnsi="arial" w:cs="arial"/>
          <w:color w:val="000000"/>
          <w:sz w:val="20"/>
          <w:lang w:val="en-US" w:eastAsia="en-US" w:bidi="ar-SA"/>
        </w:rPr>
        <w:t xml:space="preserve"> (Anvil Mountain)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nabi</w:t>
      </w:r>
      <w:r>
        <w:rPr>
          <w:rFonts w:ascii="arial" w:eastAsia="arial" w:hAnsi="arial" w:cs="arial"/>
          <w:color w:val="000000"/>
          <w:sz w:val="20"/>
          <w:lang w:val="en-US" w:eastAsia="en-US" w:bidi="ar-SA"/>
        </w:rPr>
        <w:t xml:space="preserve"> (muskrat)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Nabi Tsi Biny</w:t>
      </w:r>
      <w:r>
        <w:rPr>
          <w:rFonts w:ascii="arial" w:eastAsia="arial" w:hAnsi="arial" w:cs="arial"/>
          <w:color w:val="000000"/>
          <w:sz w:val="20"/>
          <w:lang w:val="en-US" w:eastAsia="en-US" w:bidi="ar-SA"/>
        </w:rPr>
        <w:t xml:space="preserve"> (Elkin Lake, one of the Twin Lakes)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Nachent'az Dzelh</w:t>
      </w:r>
      <w:r>
        <w:rPr>
          <w:rFonts w:ascii="arial" w:eastAsia="arial" w:hAnsi="arial" w:cs="arial"/>
          <w:color w:val="000000"/>
          <w:sz w:val="20"/>
          <w:lang w:val="en-US" w:eastAsia="en-US" w:bidi="ar-SA"/>
        </w:rPr>
        <w:t xml:space="preserve"> (Boatswain Mountain)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Nadilin Yex</w:t>
      </w:r>
      <w:r>
        <w:rPr>
          <w:rFonts w:ascii="arial" w:eastAsia="arial" w:hAnsi="arial" w:cs="arial"/>
          <w:color w:val="000000"/>
          <w:sz w:val="20"/>
          <w:lang w:val="en-US" w:eastAsia="en-US" w:bidi="ar-SA"/>
        </w:rPr>
        <w:t xml:space="preserve"> (head of Dasiqox)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Naghatalhchoz</w:t>
      </w:r>
      <w:r>
        <w:rPr>
          <w:rFonts w:ascii="arial" w:eastAsia="arial" w:hAnsi="arial" w:cs="arial"/>
          <w:color w:val="000000"/>
          <w:sz w:val="20"/>
          <w:lang w:val="en-US" w:eastAsia="en-US" w:bidi="ar-SA"/>
        </w:rPr>
        <w:t xml:space="preserve"> (area around Naghatalhchoz Biny)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Naghatalhchoz Biny</w:t>
      </w:r>
      <w:r>
        <w:rPr>
          <w:rFonts w:ascii="arial" w:eastAsia="arial" w:hAnsi="arial" w:cs="arial"/>
          <w:color w:val="000000"/>
          <w:sz w:val="20"/>
          <w:lang w:val="en-US" w:eastAsia="en-US" w:bidi="ar-SA"/>
        </w:rPr>
        <w:t xml:space="preserve"> (Chelquoit Biny, Big Eagle Lake)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Naghatalhchoz Gwet'in</w:t>
      </w:r>
      <w:r>
        <w:rPr>
          <w:rFonts w:ascii="arial" w:eastAsia="arial" w:hAnsi="arial" w:cs="arial"/>
          <w:color w:val="000000"/>
          <w:sz w:val="20"/>
          <w:lang w:val="en-US" w:eastAsia="en-US" w:bidi="ar-SA"/>
        </w:rPr>
        <w:t xml:space="preserve"> (people of Naghatalhchoz, latermerged with Xeni Gwet'in)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Naghataneqed</w:t>
      </w:r>
      <w:r>
        <w:rPr>
          <w:rFonts w:ascii="arial" w:eastAsia="arial" w:hAnsi="arial" w:cs="arial"/>
          <w:color w:val="000000"/>
          <w:sz w:val="20"/>
          <w:lang w:val="en-US" w:eastAsia="en-US" w:bidi="ar-SA"/>
        </w:rPr>
        <w:t xml:space="preserve"> (location at the east end of Xeni Biny)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Nagwentl'un</w:t>
      </w:r>
      <w:r>
        <w:rPr>
          <w:rFonts w:ascii="arial" w:eastAsia="arial" w:hAnsi="arial" w:cs="arial"/>
          <w:color w:val="000000"/>
          <w:sz w:val="20"/>
          <w:lang w:val="en-US" w:eastAsia="en-US" w:bidi="ar-SA"/>
        </w:rPr>
        <w:t xml:space="preserve"> (Anahim Lake, Nacoontloon, Area around Anahim Lake)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Nanats'eqish</w:t>
      </w:r>
      <w:r>
        <w:rPr>
          <w:rFonts w:ascii="arial" w:eastAsia="arial" w:hAnsi="arial" w:cs="arial"/>
          <w:color w:val="000000"/>
          <w:sz w:val="20"/>
          <w:lang w:val="en-US" w:eastAsia="en-US" w:bidi="ar-SA"/>
        </w:rPr>
        <w:t xml:space="preserve"> (narrows of Dasiqox Biny)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naslhiny</w:t>
      </w:r>
      <w:r>
        <w:rPr>
          <w:rFonts w:ascii="arial" w:eastAsia="arial" w:hAnsi="arial" w:cs="arial"/>
          <w:color w:val="000000"/>
          <w:sz w:val="20"/>
          <w:lang w:val="en-US" w:eastAsia="en-US" w:bidi="ar-SA"/>
        </w:rPr>
        <w:t xml:space="preserve"> (horse)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Natasewed Biny</w:t>
      </w:r>
      <w:r>
        <w:rPr>
          <w:rFonts w:ascii="arial" w:eastAsia="arial" w:hAnsi="arial" w:cs="arial"/>
          <w:color w:val="000000"/>
          <w:sz w:val="20"/>
          <w:lang w:val="en-US" w:eastAsia="en-US" w:bidi="ar-SA"/>
        </w:rPr>
        <w:t xml:space="preserve"> (Brittany Lake)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Natasewed Yeqox</w:t>
      </w:r>
      <w:r>
        <w:rPr>
          <w:rFonts w:ascii="arial" w:eastAsia="arial" w:hAnsi="arial" w:cs="arial"/>
          <w:color w:val="000000"/>
          <w:sz w:val="20"/>
          <w:lang w:val="en-US" w:eastAsia="en-US" w:bidi="ar-SA"/>
        </w:rPr>
        <w:t xml:space="preserve"> (Brittany Creek)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nat'i</w:t>
      </w:r>
      <w:r>
        <w:rPr>
          <w:rFonts w:ascii="arial" w:eastAsia="arial" w:hAnsi="arial" w:cs="arial"/>
          <w:color w:val="000000"/>
          <w:sz w:val="20"/>
          <w:lang w:val="en-US" w:eastAsia="en-US" w:bidi="ar-SA"/>
        </w:rPr>
        <w:t xml:space="preserve"> (tunulh, duck)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nats'ededah</w:t>
      </w:r>
      <w:r>
        <w:rPr>
          <w:rFonts w:ascii="arial" w:eastAsia="arial" w:hAnsi="arial" w:cs="arial"/>
          <w:color w:val="000000"/>
          <w:sz w:val="20"/>
          <w:lang w:val="en-US" w:eastAsia="en-US" w:bidi="ar-SA"/>
        </w:rPr>
        <w:t xml:space="preserve"> (hunting)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Niba ?Elhenenalqelh</w:t>
      </w:r>
      <w:r>
        <w:rPr>
          <w:rFonts w:ascii="arial" w:eastAsia="arial" w:hAnsi="arial" w:cs="arial"/>
          <w:color w:val="000000"/>
          <w:sz w:val="20"/>
          <w:lang w:val="en-US" w:eastAsia="en-US" w:bidi="ar-SA"/>
        </w:rPr>
        <w:t xml:space="preserve"> (near Captain George Town)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nelghes</w:t>
      </w:r>
      <w:r>
        <w:rPr>
          <w:rFonts w:ascii="arial" w:eastAsia="arial" w:hAnsi="arial" w:cs="arial"/>
          <w:color w:val="000000"/>
          <w:sz w:val="20"/>
          <w:lang w:val="en-US" w:eastAsia="en-US" w:bidi="ar-SA"/>
        </w:rPr>
        <w:t xml:space="preserve"> (dwarf blueberry)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nelh</w:t>
      </w:r>
      <w:r>
        <w:rPr>
          <w:rFonts w:ascii="arial" w:eastAsia="arial" w:hAnsi="arial" w:cs="arial"/>
          <w:color w:val="000000"/>
          <w:sz w:val="20"/>
          <w:lang w:val="en-US" w:eastAsia="en-US" w:bidi="ar-SA"/>
        </w:rPr>
        <w:t xml:space="preserve"> (form of sharp rock)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nembay</w:t>
      </w:r>
      <w:r>
        <w:rPr>
          <w:rFonts w:ascii="arial" w:eastAsia="arial" w:hAnsi="arial" w:cs="arial"/>
          <w:color w:val="000000"/>
          <w:sz w:val="20"/>
          <w:lang w:val="en-US" w:eastAsia="en-US" w:bidi="ar-SA"/>
        </w:rPr>
        <w:t xml:space="preserve"> (weasel)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Nemiah</w:t>
      </w:r>
      <w:r>
        <w:rPr>
          <w:rFonts w:ascii="arial" w:eastAsia="arial" w:hAnsi="arial" w:cs="arial"/>
          <w:color w:val="000000"/>
          <w:sz w:val="20"/>
          <w:lang w:val="en-US" w:eastAsia="en-US" w:bidi="ar-SA"/>
        </w:rPr>
        <w:t xml:space="preserve"> (Nemayah, Tsilhqot'in Chief)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nen</w:t>
      </w:r>
      <w:r>
        <w:rPr>
          <w:rFonts w:ascii="arial" w:eastAsia="arial" w:hAnsi="arial" w:cs="arial"/>
          <w:color w:val="000000"/>
          <w:sz w:val="20"/>
          <w:lang w:val="en-US" w:eastAsia="en-US" w:bidi="ar-SA"/>
        </w:rPr>
        <w:t xml:space="preserve"> (land)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Nenatats'ededilh</w:t>
      </w:r>
      <w:r>
        <w:rPr>
          <w:rFonts w:ascii="arial" w:eastAsia="arial" w:hAnsi="arial" w:cs="arial"/>
          <w:color w:val="000000"/>
          <w:sz w:val="20"/>
          <w:lang w:val="en-US" w:eastAsia="en-US" w:bidi="ar-SA"/>
        </w:rPr>
        <w:t xml:space="preserve"> (Four Mile Lake, Little Lagoon)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Nen Nalmelh</w:t>
      </w:r>
      <w:r>
        <w:rPr>
          <w:rFonts w:ascii="arial" w:eastAsia="arial" w:hAnsi="arial" w:cs="arial"/>
          <w:color w:val="000000"/>
          <w:sz w:val="20"/>
          <w:lang w:val="en-US" w:eastAsia="en-US" w:bidi="ar-SA"/>
        </w:rPr>
        <w:t xml:space="preserve"> (Dzelh Nalmelh, Bald Mountain)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Nen Nuay Dilex Biny</w:t>
      </w:r>
      <w:r>
        <w:rPr>
          <w:rFonts w:ascii="arial" w:eastAsia="arial" w:hAnsi="arial" w:cs="arial"/>
          <w:color w:val="000000"/>
          <w:sz w:val="20"/>
          <w:lang w:val="en-US" w:eastAsia="en-US" w:bidi="ar-SA"/>
        </w:rPr>
        <w:t xml:space="preserve"> (Mainguy Lake)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nentses</w:t>
      </w:r>
      <w:r>
        <w:rPr>
          <w:rFonts w:ascii="arial" w:eastAsia="arial" w:hAnsi="arial" w:cs="arial"/>
          <w:color w:val="000000"/>
          <w:sz w:val="20"/>
          <w:lang w:val="en-US" w:eastAsia="en-US" w:bidi="ar-SA"/>
        </w:rPr>
        <w:t xml:space="preserve"> (moss)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net'e?ah</w:t>
      </w:r>
      <w:r>
        <w:rPr>
          <w:rFonts w:ascii="arial" w:eastAsia="arial" w:hAnsi="arial" w:cs="arial"/>
          <w:color w:val="000000"/>
          <w:sz w:val="20"/>
          <w:lang w:val="en-US" w:eastAsia="en-US" w:bidi="ar-SA"/>
        </w:rPr>
        <w:t xml:space="preserve"> (lahal, a game played with bones)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Nezulhtsin</w:t>
      </w:r>
      <w:r>
        <w:rPr>
          <w:rFonts w:ascii="arial" w:eastAsia="arial" w:hAnsi="arial" w:cs="arial"/>
          <w:color w:val="000000"/>
          <w:sz w:val="20"/>
          <w:lang w:val="en-US" w:eastAsia="en-US" w:bidi="ar-SA"/>
        </w:rPr>
        <w:t xml:space="preserve"> (Tsilhqot'in person, also known as Jamadis)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nilhish</w:t>
      </w:r>
      <w:r>
        <w:rPr>
          <w:rFonts w:ascii="arial" w:eastAsia="arial" w:hAnsi="arial" w:cs="arial"/>
          <w:color w:val="000000"/>
          <w:sz w:val="20"/>
          <w:lang w:val="en-US" w:eastAsia="en-US" w:bidi="ar-SA"/>
        </w:rPr>
        <w:t xml:space="preserve"> (kokanee, landlocked salmon)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Nilht'isiquz</w:t>
      </w:r>
      <w:r>
        <w:rPr>
          <w:rFonts w:ascii="arial" w:eastAsia="arial" w:hAnsi="arial" w:cs="arial"/>
          <w:color w:val="000000"/>
          <w:sz w:val="20"/>
          <w:lang w:val="en-US" w:eastAsia="en-US" w:bidi="ar-SA"/>
        </w:rPr>
        <w:t xml:space="preserve"> (Stikelan Creek Valley)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Nimayah</w:t>
      </w:r>
      <w:r>
        <w:rPr>
          <w:rFonts w:ascii="arial" w:eastAsia="arial" w:hAnsi="arial" w:cs="arial"/>
          <w:color w:val="000000"/>
          <w:sz w:val="20"/>
          <w:lang w:val="en-US" w:eastAsia="en-US" w:bidi="ar-SA"/>
        </w:rPr>
        <w:t xml:space="preserve"> (Nemiah, Tommy Luluha)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Nisewhichish</w:t>
      </w:r>
      <w:r>
        <w:rPr>
          <w:rFonts w:ascii="arial" w:eastAsia="arial" w:hAnsi="arial" w:cs="arial"/>
          <w:color w:val="000000"/>
          <w:sz w:val="20"/>
          <w:lang w:val="en-US" w:eastAsia="en-US" w:bidi="ar-SA"/>
        </w:rPr>
        <w:t xml:space="preserve"> (Tsilhqot'in person, father of ?Esqw'alyan)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nists'i</w:t>
      </w:r>
      <w:r>
        <w:rPr>
          <w:rFonts w:ascii="arial" w:eastAsia="arial" w:hAnsi="arial" w:cs="arial"/>
          <w:color w:val="000000"/>
          <w:sz w:val="20"/>
          <w:lang w:val="en-US" w:eastAsia="en-US" w:bidi="ar-SA"/>
        </w:rPr>
        <w:t xml:space="preserve"> (deer)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Nits'il?in</w:t>
      </w:r>
      <w:r>
        <w:rPr>
          <w:rFonts w:ascii="arial" w:eastAsia="arial" w:hAnsi="arial" w:cs="arial"/>
          <w:color w:val="000000"/>
          <w:sz w:val="20"/>
          <w:lang w:val="en-US" w:eastAsia="en-US" w:bidi="ar-SA"/>
        </w:rPr>
        <w:t xml:space="preserve"> (leader or chief)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Nistis'i Tsan Gha Nildzi</w:t>
      </w:r>
      <w:r>
        <w:rPr>
          <w:rFonts w:ascii="arial" w:eastAsia="arial" w:hAnsi="arial" w:cs="arial"/>
          <w:color w:val="000000"/>
          <w:sz w:val="20"/>
          <w:lang w:val="en-US" w:eastAsia="en-US" w:bidi="ar-SA"/>
        </w:rPr>
        <w:t xml:space="preserve"> (Sh&amp;shaniqox, Lingfield Creek)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niyah qungh</w:t>
      </w:r>
      <w:r>
        <w:rPr>
          <w:rFonts w:ascii="arial" w:eastAsia="arial" w:hAnsi="arial" w:cs="arial"/>
          <w:color w:val="000000"/>
          <w:sz w:val="20"/>
          <w:lang w:val="en-US" w:eastAsia="en-US" w:bidi="ar-SA"/>
        </w:rPr>
        <w:t xml:space="preserve"> (nenyexqungh, rectangular housing structure, winter dwelling)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Nu Natase?ex</w:t>
      </w:r>
      <w:r>
        <w:rPr>
          <w:rFonts w:ascii="arial" w:eastAsia="arial" w:hAnsi="arial" w:cs="arial"/>
          <w:color w:val="000000"/>
          <w:sz w:val="20"/>
          <w:lang w:val="en-US" w:eastAsia="en-US" w:bidi="ar-SA"/>
        </w:rPr>
        <w:t xml:space="preserve"> (Mountain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nundi</w:t>
      </w:r>
      <w:r>
        <w:rPr>
          <w:rFonts w:ascii="arial" w:eastAsia="arial" w:hAnsi="arial" w:cs="arial"/>
          <w:color w:val="000000"/>
          <w:sz w:val="20"/>
          <w:lang w:val="en-US" w:eastAsia="en-US" w:bidi="ar-SA"/>
        </w:rPr>
        <w:t xml:space="preserve"> (lynx)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nundi-chugh</w:t>
      </w:r>
      <w:r>
        <w:rPr>
          <w:rFonts w:ascii="arial" w:eastAsia="arial" w:hAnsi="arial" w:cs="arial"/>
          <w:color w:val="000000"/>
          <w:sz w:val="20"/>
          <w:lang w:val="en-US" w:eastAsia="en-US" w:bidi="ar-SA"/>
        </w:rPr>
        <w:t xml:space="preserve"> (cougar)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Nunsulian</w:t>
      </w:r>
      <w:r>
        <w:rPr>
          <w:rFonts w:ascii="arial" w:eastAsia="arial" w:hAnsi="arial" w:cs="arial"/>
          <w:color w:val="000000"/>
          <w:sz w:val="20"/>
          <w:lang w:val="en-US" w:eastAsia="en-US" w:bidi="ar-SA"/>
        </w:rPr>
        <w:t xml:space="preserve"> (Nentsul ?Eyen, father of Jack Lulua)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Nusay Bighinlin</w:t>
      </w:r>
      <w:r>
        <w:rPr>
          <w:rFonts w:ascii="arial" w:eastAsia="arial" w:hAnsi="arial" w:cs="arial"/>
          <w:color w:val="000000"/>
          <w:sz w:val="20"/>
          <w:lang w:val="en-US" w:eastAsia="en-US" w:bidi="ar-SA"/>
        </w:rPr>
        <w:t xml:space="preserve"> (Nusay Bighilin)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nuwish</w:t>
      </w:r>
      <w:r>
        <w:rPr>
          <w:rFonts w:ascii="arial" w:eastAsia="arial" w:hAnsi="arial" w:cs="arial"/>
          <w:color w:val="000000"/>
          <w:sz w:val="20"/>
          <w:lang w:val="en-US" w:eastAsia="en-US" w:bidi="ar-SA"/>
        </w:rPr>
        <w:t xml:space="preserve"> (soapberries)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Nuxalk</w:t>
      </w:r>
      <w:r>
        <w:rPr>
          <w:rFonts w:ascii="arial" w:eastAsia="arial" w:hAnsi="arial" w:cs="arial"/>
          <w:color w:val="000000"/>
          <w:sz w:val="20"/>
          <w:lang w:val="en-US" w:eastAsia="en-US" w:bidi="ar-SA"/>
        </w:rPr>
        <w:t xml:space="preserve"> (Bella Coola)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Q</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Qaq'ez</w:t>
      </w:r>
      <w:r>
        <w:rPr>
          <w:rFonts w:ascii="arial" w:eastAsia="arial" w:hAnsi="arial" w:cs="arial"/>
          <w:color w:val="000000"/>
          <w:sz w:val="20"/>
          <w:lang w:val="en-US" w:eastAsia="en-US" w:bidi="ar-SA"/>
        </w:rPr>
        <w:t xml:space="preserve"> (Kahkul, great-great grandfather of Chief William)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Qaju</w:t>
      </w:r>
      <w:r>
        <w:rPr>
          <w:rFonts w:ascii="arial" w:eastAsia="arial" w:hAnsi="arial" w:cs="arial"/>
          <w:color w:val="000000"/>
          <w:sz w:val="20"/>
          <w:lang w:val="en-US" w:eastAsia="en-US" w:bidi="ar-SA"/>
        </w:rPr>
        <w:t xml:space="preserve"> (Homalco, Kwakiutl)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qats'ay</w:t>
      </w:r>
      <w:r>
        <w:rPr>
          <w:rFonts w:ascii="arial" w:eastAsia="arial" w:hAnsi="arial" w:cs="arial"/>
          <w:color w:val="000000"/>
          <w:sz w:val="20"/>
          <w:lang w:val="en-US" w:eastAsia="en-US" w:bidi="ar-SA"/>
        </w:rPr>
        <w:t xml:space="preserve"> (basket woven with ts'u ghed spruce roots)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qats'ay bid</w:t>
      </w:r>
      <w:r>
        <w:rPr>
          <w:rFonts w:ascii="arial" w:eastAsia="arial" w:hAnsi="arial" w:cs="arial"/>
          <w:color w:val="000000"/>
          <w:sz w:val="20"/>
          <w:lang w:val="en-US" w:eastAsia="en-US" w:bidi="ar-SA"/>
        </w:rPr>
        <w:t xml:space="preserve"> (where the water is deep)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qilezmbans</w:t>
      </w:r>
      <w:r>
        <w:rPr>
          <w:rFonts w:ascii="arial" w:eastAsia="arial" w:hAnsi="arial" w:cs="arial"/>
          <w:color w:val="000000"/>
          <w:sz w:val="20"/>
          <w:lang w:val="en-US" w:eastAsia="en-US" w:bidi="ar-SA"/>
        </w:rPr>
        <w:t xml:space="preserve"> (snowshoes for women)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Quill Quall Yaw</w:t>
      </w:r>
      <w:r>
        <w:rPr>
          <w:rFonts w:ascii="arial" w:eastAsia="arial" w:hAnsi="arial" w:cs="arial"/>
          <w:color w:val="000000"/>
          <w:sz w:val="20"/>
          <w:lang w:val="en-US" w:eastAsia="en-US" w:bidi="ar-SA"/>
        </w:rPr>
        <w:t xml:space="preserve"> (Quillquawyaw, Konkwaglia, Tsilhqot'in Chief)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sabay</w:t>
      </w:r>
      <w:r>
        <w:rPr>
          <w:rFonts w:ascii="arial" w:eastAsia="arial" w:hAnsi="arial" w:cs="arial"/>
          <w:color w:val="000000"/>
          <w:sz w:val="20"/>
          <w:lang w:val="en-US" w:eastAsia="en-US" w:bidi="ar-SA"/>
        </w:rPr>
        <w:t xml:space="preserve"> (dolly varden or bull trout)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Sadanx</w:t>
      </w:r>
      <w:r>
        <w:rPr>
          <w:rFonts w:ascii="arial" w:eastAsia="arial" w:hAnsi="arial" w:cs="arial"/>
          <w:color w:val="000000"/>
          <w:sz w:val="20"/>
          <w:lang w:val="en-US" w:eastAsia="en-US" w:bidi="ar-SA"/>
        </w:rPr>
        <w:t xml:space="preserve"> (legendary period of time that took place long ago)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Samadlin</w:t>
      </w:r>
      <w:r>
        <w:rPr>
          <w:rFonts w:ascii="arial" w:eastAsia="arial" w:hAnsi="arial" w:cs="arial"/>
          <w:color w:val="000000"/>
          <w:sz w:val="20"/>
          <w:lang w:val="en-US" w:eastAsia="en-US" w:bidi="ar-SA"/>
        </w:rPr>
        <w:t xml:space="preserve"> (McLean)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Sa Nagwedijan</w:t>
      </w:r>
      <w:r>
        <w:rPr>
          <w:rFonts w:ascii="arial" w:eastAsia="arial" w:hAnsi="arial" w:cs="arial"/>
          <w:color w:val="000000"/>
          <w:sz w:val="20"/>
          <w:lang w:val="en-US" w:eastAsia="en-US" w:bidi="ar-SA"/>
        </w:rPr>
        <w:t xml:space="preserve"> (location on the south side of Naghatalhchoz Biny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Sa Yets'en</w:t>
      </w:r>
      <w:r>
        <w:rPr>
          <w:rFonts w:ascii="arial" w:eastAsia="arial" w:hAnsi="arial" w:cs="arial"/>
          <w:color w:val="000000"/>
          <w:sz w:val="20"/>
          <w:lang w:val="en-US" w:eastAsia="en-US" w:bidi="ar-SA"/>
        </w:rPr>
        <w:t xml:space="preserve"> (Minnie Charley Boy's adoptive grandmother)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sebay</w:t>
      </w:r>
      <w:r>
        <w:rPr>
          <w:rFonts w:ascii="arial" w:eastAsia="arial" w:hAnsi="arial" w:cs="arial"/>
          <w:color w:val="000000"/>
          <w:sz w:val="20"/>
          <w:lang w:val="en-US" w:eastAsia="en-US" w:bidi="ar-SA"/>
        </w:rPr>
        <w:t xml:space="preserve"> (mountain goat)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Sebay Talgog</w:t>
      </w:r>
      <w:r>
        <w:rPr>
          <w:rFonts w:ascii="arial" w:eastAsia="arial" w:hAnsi="arial" w:cs="arial"/>
          <w:color w:val="000000"/>
          <w:sz w:val="20"/>
          <w:lang w:val="en-US" w:eastAsia="en-US" w:bidi="ar-SA"/>
        </w:rPr>
        <w:t xml:space="preserve"> (place name)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Secwepemc</w:t>
      </w:r>
      <w:r>
        <w:rPr>
          <w:rFonts w:ascii="arial" w:eastAsia="arial" w:hAnsi="arial" w:cs="arial"/>
          <w:color w:val="000000"/>
          <w:sz w:val="20"/>
          <w:lang w:val="en-US" w:eastAsia="en-US" w:bidi="ar-SA"/>
        </w:rPr>
        <w:t xml:space="preserve"> (Shuswap)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selhchugh</w:t>
      </w:r>
      <w:r>
        <w:rPr>
          <w:rFonts w:ascii="arial" w:eastAsia="arial" w:hAnsi="arial" w:cs="arial"/>
          <w:color w:val="000000"/>
          <w:sz w:val="20"/>
          <w:lang w:val="en-US" w:eastAsia="en-US" w:bidi="ar-SA"/>
        </w:rPr>
        <w:t xml:space="preserve"> (huckleberries)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ses</w:t>
      </w:r>
      <w:r>
        <w:rPr>
          <w:rFonts w:ascii="arial" w:eastAsia="arial" w:hAnsi="arial" w:cs="arial"/>
          <w:color w:val="000000"/>
          <w:sz w:val="20"/>
          <w:lang w:val="en-US" w:eastAsia="en-US" w:bidi="ar-SA"/>
        </w:rPr>
        <w:t xml:space="preserve"> (bear)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Ses-Chi</w:t>
      </w:r>
      <w:r>
        <w:rPr>
          <w:rFonts w:ascii="arial" w:eastAsia="arial" w:hAnsi="arial" w:cs="arial"/>
          <w:color w:val="000000"/>
          <w:sz w:val="20"/>
          <w:lang w:val="en-US" w:eastAsia="en-US" w:bidi="ar-SA"/>
        </w:rPr>
        <w:t xml:space="preserve"> (place name)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Ses Ghen Tach'I</w:t>
      </w:r>
      <w:r>
        <w:rPr>
          <w:rFonts w:ascii="arial" w:eastAsia="arial" w:hAnsi="arial" w:cs="arial"/>
          <w:color w:val="000000"/>
          <w:sz w:val="20"/>
          <w:lang w:val="en-US" w:eastAsia="en-US" w:bidi="ar-SA"/>
        </w:rPr>
        <w:t xml:space="preserve"> (fishing site in Xeni)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sesjiz</w:t>
      </w:r>
      <w:r>
        <w:rPr>
          <w:rFonts w:ascii="arial" w:eastAsia="arial" w:hAnsi="arial" w:cs="arial"/>
          <w:color w:val="000000"/>
          <w:sz w:val="20"/>
          <w:lang w:val="en-US" w:eastAsia="en-US" w:bidi="ar-SA"/>
        </w:rPr>
        <w:t xml:space="preserve"> (marten)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Shishan-qox</w:t>
      </w:r>
      <w:r>
        <w:rPr>
          <w:rFonts w:ascii="arial" w:eastAsia="arial" w:hAnsi="arial" w:cs="arial"/>
          <w:color w:val="000000"/>
          <w:sz w:val="20"/>
          <w:lang w:val="en-US" w:eastAsia="en-US" w:bidi="ar-SA"/>
        </w:rPr>
        <w:t xml:space="preserve"> (Sheshanqox, Lingfield Creek or Mayfield Creek)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Shisan Tl'ad</w:t>
      </w:r>
      <w:r>
        <w:rPr>
          <w:rFonts w:ascii="arial" w:eastAsia="arial" w:hAnsi="arial" w:cs="arial"/>
          <w:color w:val="000000"/>
          <w:sz w:val="20"/>
          <w:lang w:val="en-US" w:eastAsia="en-US" w:bidi="ar-SA"/>
        </w:rPr>
        <w:t xml:space="preserve"> (Mountain Sheep Basin)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Sit'ax</w:t>
      </w:r>
      <w:r>
        <w:rPr>
          <w:rFonts w:ascii="arial" w:eastAsia="arial" w:hAnsi="arial" w:cs="arial"/>
          <w:color w:val="000000"/>
          <w:sz w:val="20"/>
          <w:lang w:val="en-US" w:eastAsia="en-US" w:bidi="ar-SA"/>
        </w:rPr>
        <w:t xml:space="preserve"> (Louis Setah)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Stl'atl'imx</w:t>
      </w:r>
      <w:r>
        <w:rPr>
          <w:rFonts w:ascii="arial" w:eastAsia="arial" w:hAnsi="arial" w:cs="arial"/>
          <w:color w:val="000000"/>
          <w:sz w:val="20"/>
          <w:lang w:val="en-US" w:eastAsia="en-US" w:bidi="ar-SA"/>
        </w:rPr>
        <w:t xml:space="preserve"> (Lillooet)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Sul Gunlin</w:t>
      </w:r>
      <w:r>
        <w:rPr>
          <w:rFonts w:ascii="arial" w:eastAsia="arial" w:hAnsi="arial" w:cs="arial"/>
          <w:color w:val="000000"/>
          <w:sz w:val="20"/>
          <w:lang w:val="en-US" w:eastAsia="en-US" w:bidi="ar-SA"/>
        </w:rPr>
        <w:t xml:space="preserve"> (location near the outlet of Tsilhqox Biny)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sunlh</w:t>
      </w:r>
      <w:r>
        <w:rPr>
          <w:rFonts w:ascii="arial" w:eastAsia="arial" w:hAnsi="arial" w:cs="arial"/>
          <w:color w:val="000000"/>
          <w:sz w:val="20"/>
          <w:lang w:val="en-US" w:eastAsia="en-US" w:bidi="ar-SA"/>
        </w:rPr>
        <w:t xml:space="preserve"> (dry pine needles)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sunt'iny</w:t>
      </w:r>
      <w:r>
        <w:rPr>
          <w:rFonts w:ascii="arial" w:eastAsia="arial" w:hAnsi="arial" w:cs="arial"/>
          <w:color w:val="000000"/>
          <w:sz w:val="20"/>
          <w:lang w:val="en-US" w:eastAsia="en-US" w:bidi="ar-SA"/>
        </w:rPr>
        <w:t xml:space="preserve"> (mountain potato, spring beauty)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Tachelach'ed</w:t>
      </w:r>
      <w:r>
        <w:rPr>
          <w:rFonts w:ascii="arial" w:eastAsia="arial" w:hAnsi="arial" w:cs="arial"/>
          <w:color w:val="000000"/>
          <w:sz w:val="20"/>
          <w:lang w:val="en-US" w:eastAsia="en-US" w:bidi="ar-SA"/>
        </w:rPr>
        <w:t xml:space="preserve"> (Brittany Triangle)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Tachi</w:t>
      </w:r>
      <w:r>
        <w:rPr>
          <w:rFonts w:ascii="arial" w:eastAsia="arial" w:hAnsi="arial" w:cs="arial"/>
          <w:color w:val="000000"/>
          <w:sz w:val="20"/>
          <w:lang w:val="en-US" w:eastAsia="en-US" w:bidi="ar-SA"/>
        </w:rPr>
        <w:t xml:space="preserve"> (mouth of Dan Qi Yex)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Tach'i Dilhgwenlh</w:t>
      </w:r>
      <w:r>
        <w:rPr>
          <w:rFonts w:ascii="arial" w:eastAsia="arial" w:hAnsi="arial" w:cs="arial"/>
          <w:color w:val="000000"/>
          <w:sz w:val="20"/>
          <w:lang w:val="en-US" w:eastAsia="en-US" w:bidi="ar-SA"/>
        </w:rPr>
        <w:t xml:space="preserve"> (Huckleberry Mountain)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Tach'idilin</w:t>
      </w:r>
      <w:r>
        <w:rPr>
          <w:rFonts w:ascii="arial" w:eastAsia="arial" w:hAnsi="arial" w:cs="arial"/>
          <w:color w:val="000000"/>
          <w:sz w:val="20"/>
          <w:lang w:val="en-US" w:eastAsia="en-US" w:bidi="ar-SA"/>
        </w:rPr>
        <w:t xml:space="preserve"> (Taghinlin, large creek that feeds into Talhiqox Biny)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Tahpitt</w:t>
      </w:r>
      <w:r>
        <w:rPr>
          <w:rFonts w:ascii="arial" w:eastAsia="arial" w:hAnsi="arial" w:cs="arial"/>
          <w:color w:val="000000"/>
          <w:sz w:val="20"/>
          <w:lang w:val="en-US" w:eastAsia="en-US" w:bidi="ar-SA"/>
        </w:rPr>
        <w:t xml:space="preserve"> (Tsilhqot'in chief)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Talhiqox Biny</w:t>
      </w:r>
      <w:r>
        <w:rPr>
          <w:rFonts w:ascii="arial" w:eastAsia="arial" w:hAnsi="arial" w:cs="arial"/>
          <w:color w:val="000000"/>
          <w:sz w:val="20"/>
          <w:lang w:val="en-US" w:eastAsia="en-US" w:bidi="ar-SA"/>
        </w:rPr>
        <w:t xml:space="preserve"> (Tatlayoko Lake)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Talhjez</w:t>
      </w:r>
      <w:r>
        <w:rPr>
          <w:rFonts w:ascii="arial" w:eastAsia="arial" w:hAnsi="arial" w:cs="arial"/>
          <w:color w:val="000000"/>
          <w:sz w:val="20"/>
          <w:lang w:val="en-US" w:eastAsia="en-US" w:bidi="ar-SA"/>
        </w:rPr>
        <w:t xml:space="preserve"> (Franklin 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T'asbay se?an Tl'ad</w:t>
      </w:r>
      <w:r>
        <w:rPr>
          <w:rFonts w:ascii="arial" w:eastAsia="arial" w:hAnsi="arial" w:cs="arial"/>
          <w:color w:val="000000"/>
          <w:sz w:val="20"/>
          <w:lang w:val="en-US" w:eastAsia="en-US" w:bidi="ar-SA"/>
        </w:rPr>
        <w:t xml:space="preserve"> (Mount Moore, also known as Goat Mountain)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Tatl'ah Biny</w:t>
      </w:r>
      <w:r>
        <w:rPr>
          <w:rFonts w:ascii="arial" w:eastAsia="arial" w:hAnsi="arial" w:cs="arial"/>
          <w:color w:val="000000"/>
          <w:sz w:val="20"/>
          <w:lang w:val="en-US" w:eastAsia="en-US" w:bidi="ar-SA"/>
        </w:rPr>
        <w:t xml:space="preserve"> (Tatla Lake)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Tatl'ah Yeqox</w:t>
      </w:r>
      <w:r>
        <w:rPr>
          <w:rFonts w:ascii="arial" w:eastAsia="arial" w:hAnsi="arial" w:cs="arial"/>
          <w:color w:val="000000"/>
          <w:sz w:val="20"/>
          <w:lang w:val="en-US" w:eastAsia="en-US" w:bidi="ar-SA"/>
        </w:rPr>
        <w:t xml:space="preserve"> (Tatla Creek)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tenelh</w:t>
      </w:r>
      <w:r>
        <w:rPr>
          <w:rFonts w:ascii="arial" w:eastAsia="arial" w:hAnsi="arial" w:cs="arial"/>
          <w:color w:val="000000"/>
          <w:sz w:val="20"/>
          <w:lang w:val="en-US" w:eastAsia="en-US" w:bidi="ar-SA"/>
        </w:rPr>
        <w:t xml:space="preserve"> (type of basket used to collect suntiny)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Teztan</w:t>
      </w:r>
      <w:r>
        <w:rPr>
          <w:rFonts w:ascii="arial" w:eastAsia="arial" w:hAnsi="arial" w:cs="arial"/>
          <w:color w:val="000000"/>
          <w:sz w:val="20"/>
          <w:lang w:val="en-US" w:eastAsia="en-US" w:bidi="ar-SA"/>
        </w:rPr>
        <w:t xml:space="preserve"> (Fish Lake)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Tish Gulhdzinqox</w:t>
      </w:r>
      <w:r>
        <w:rPr>
          <w:rFonts w:ascii="arial" w:eastAsia="arial" w:hAnsi="arial" w:cs="arial"/>
          <w:color w:val="000000"/>
          <w:sz w:val="20"/>
          <w:lang w:val="en-US" w:eastAsia="en-US" w:bidi="ar-SA"/>
        </w:rPr>
        <w:t xml:space="preserve"> (Alexis Creek)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tislagh</w:t>
      </w:r>
      <w:r>
        <w:rPr>
          <w:rFonts w:ascii="arial" w:eastAsia="arial" w:hAnsi="arial" w:cs="arial"/>
          <w:color w:val="000000"/>
          <w:sz w:val="20"/>
          <w:lang w:val="en-US" w:eastAsia="en-US" w:bidi="ar-SA"/>
        </w:rPr>
        <w:t xml:space="preserve"> (steelhead salmon)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Tizlin Dzelh</w:t>
      </w:r>
      <w:r>
        <w:rPr>
          <w:rFonts w:ascii="arial" w:eastAsia="arial" w:hAnsi="arial" w:cs="arial"/>
          <w:color w:val="000000"/>
          <w:sz w:val="20"/>
          <w:lang w:val="en-US" w:eastAsia="en-US" w:bidi="ar-SA"/>
        </w:rPr>
        <w:t xml:space="preserve"> (Tullin Mountain)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Tl'ebayi</w:t>
      </w:r>
      <w:r>
        <w:rPr>
          <w:rFonts w:ascii="arial" w:eastAsia="arial" w:hAnsi="arial" w:cs="arial"/>
          <w:color w:val="000000"/>
          <w:sz w:val="20"/>
          <w:lang w:val="en-US" w:eastAsia="en-US" w:bidi="ar-SA"/>
        </w:rPr>
        <w:t xml:space="preserve"> (location at the west end of Xeni Biny)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Tl' ech' id Gunaz</w:t>
      </w:r>
      <w:r>
        <w:rPr>
          <w:rFonts w:ascii="arial" w:eastAsia="arial" w:hAnsi="arial" w:cs="arial"/>
          <w:color w:val="000000"/>
          <w:sz w:val="20"/>
          <w:lang w:val="en-US" w:eastAsia="en-US" w:bidi="ar-SA"/>
        </w:rPr>
        <w:t xml:space="preserve"> (Long Valley)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Tl'egwezbens</w:t>
      </w:r>
      <w:r>
        <w:rPr>
          <w:rFonts w:ascii="arial" w:eastAsia="arial" w:hAnsi="arial" w:cs="arial"/>
          <w:color w:val="000000"/>
          <w:sz w:val="20"/>
          <w:lang w:val="en-US" w:eastAsia="en-US" w:bidi="ar-SA"/>
        </w:rPr>
        <w:t xml:space="preserve"> (place name)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Tl'egwated</w:t>
      </w:r>
      <w:r>
        <w:rPr>
          <w:rFonts w:ascii="arial" w:eastAsia="arial" w:hAnsi="arial" w:cs="arial"/>
          <w:color w:val="000000"/>
          <w:sz w:val="20"/>
          <w:lang w:val="en-US" w:eastAsia="en-US" w:bidi="ar-SA"/>
        </w:rPr>
        <w:t xml:space="preserve"> (Kigli Holes, village site on the Tsilhqox)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tl'edazulh</w:t>
      </w:r>
      <w:r>
        <w:rPr>
          <w:rFonts w:ascii="arial" w:eastAsia="arial" w:hAnsi="arial" w:cs="arial"/>
          <w:color w:val="000000"/>
          <w:sz w:val="20"/>
          <w:lang w:val="en-US" w:eastAsia="en-US" w:bidi="ar-SA"/>
        </w:rPr>
        <w:t xml:space="preserve"> (wild rice)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Tl'esqox</w:t>
      </w:r>
      <w:r>
        <w:rPr>
          <w:rFonts w:ascii="arial" w:eastAsia="arial" w:hAnsi="arial" w:cs="arial"/>
          <w:color w:val="000000"/>
          <w:sz w:val="20"/>
          <w:lang w:val="en-US" w:eastAsia="en-US" w:bidi="ar-SA"/>
        </w:rPr>
        <w:t xml:space="preserve"> (Toosey)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Tl'etates</w:t>
      </w:r>
      <w:r>
        <w:rPr>
          <w:rFonts w:ascii="arial" w:eastAsia="arial" w:hAnsi="arial" w:cs="arial"/>
          <w:color w:val="000000"/>
          <w:sz w:val="20"/>
          <w:lang w:val="en-US" w:eastAsia="en-US" w:bidi="ar-SA"/>
        </w:rPr>
        <w:t xml:space="preserve"> (location at the east end of Xeni Biny)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Tl'etinqoxt'in</w:t>
      </w:r>
      <w:r>
        <w:rPr>
          <w:rFonts w:ascii="arial" w:eastAsia="arial" w:hAnsi="arial" w:cs="arial"/>
          <w:color w:val="000000"/>
          <w:sz w:val="20"/>
          <w:lang w:val="en-US" w:eastAsia="en-US" w:bidi="ar-SA"/>
        </w:rPr>
        <w:t xml:space="preserve"> (Anaham Band)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tl'etsen</w:t>
      </w:r>
      <w:r>
        <w:rPr>
          <w:rFonts w:ascii="arial" w:eastAsia="arial" w:hAnsi="arial" w:cs="arial"/>
          <w:color w:val="000000"/>
          <w:sz w:val="20"/>
          <w:lang w:val="en-US" w:eastAsia="en-US" w:bidi="ar-SA"/>
        </w:rPr>
        <w:t xml:space="preserve"> (wild onion)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Tl'ets'inged</w:t>
      </w:r>
      <w:r>
        <w:rPr>
          <w:rFonts w:ascii="arial" w:eastAsia="arial" w:hAnsi="arial" w:cs="arial"/>
          <w:color w:val="000000"/>
          <w:sz w:val="20"/>
          <w:lang w:val="en-US" w:eastAsia="en-US" w:bidi="ar-SA"/>
        </w:rPr>
        <w:t xml:space="preserve"> (location roughly at the centre of the Xeni Biny)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T'ox T'ad</w:t>
      </w:r>
      <w:r>
        <w:rPr>
          <w:rFonts w:ascii="arial" w:eastAsia="arial" w:hAnsi="arial" w:cs="arial"/>
          <w:color w:val="000000"/>
          <w:sz w:val="20"/>
          <w:lang w:val="en-US" w:eastAsia="en-US" w:bidi="ar-SA"/>
        </w:rPr>
        <w:t xml:space="preserve"> (Vic's Mountain)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tsa</w:t>
      </w:r>
      <w:r>
        <w:rPr>
          <w:rFonts w:ascii="arial" w:eastAsia="arial" w:hAnsi="arial" w:cs="arial"/>
          <w:color w:val="000000"/>
          <w:sz w:val="20"/>
          <w:lang w:val="en-US" w:eastAsia="en-US" w:bidi="ar-SA"/>
        </w:rPr>
        <w:t xml:space="preserve"> (beaver)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tsachen</w:t>
      </w:r>
      <w:r>
        <w:rPr>
          <w:rFonts w:ascii="arial" w:eastAsia="arial" w:hAnsi="arial" w:cs="arial"/>
          <w:color w:val="000000"/>
          <w:sz w:val="20"/>
          <w:lang w:val="en-US" w:eastAsia="en-US" w:bidi="ar-SA"/>
        </w:rPr>
        <w:t xml:space="preserve"> (tiger lily)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Tsanlgen Biny</w:t>
      </w:r>
      <w:r>
        <w:rPr>
          <w:rFonts w:ascii="arial" w:eastAsia="arial" w:hAnsi="arial" w:cs="arial"/>
          <w:color w:val="000000"/>
          <w:sz w:val="20"/>
          <w:lang w:val="en-US" w:eastAsia="en-US" w:bidi="ar-SA"/>
        </w:rPr>
        <w:t xml:space="preserve"> (Chaunigan Lake)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Tselakoy</w:t>
      </w:r>
      <w:r>
        <w:rPr>
          <w:rFonts w:ascii="arial" w:eastAsia="arial" w:hAnsi="arial" w:cs="arial"/>
          <w:color w:val="000000"/>
          <w:sz w:val="20"/>
          <w:lang w:val="en-US" w:eastAsia="en-US" w:bidi="ar-SA"/>
        </w:rPr>
        <w:t xml:space="preserve"> (Tsilhqot'in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tselexay</w:t>
      </w:r>
      <w:r>
        <w:rPr>
          <w:rFonts w:ascii="arial" w:eastAsia="arial" w:hAnsi="arial" w:cs="arial"/>
          <w:color w:val="000000"/>
          <w:sz w:val="20"/>
          <w:lang w:val="en-US" w:eastAsia="en-US" w:bidi="ar-SA"/>
        </w:rPr>
        <w:t xml:space="preserve"> (swamp grass, wild hay)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Ts'eman Ts'ezchi</w:t>
      </w:r>
      <w:r>
        <w:rPr>
          <w:rFonts w:ascii="arial" w:eastAsia="arial" w:hAnsi="arial" w:cs="arial"/>
          <w:color w:val="000000"/>
          <w:sz w:val="20"/>
          <w:lang w:val="en-US" w:eastAsia="en-US" w:bidi="ar-SA"/>
        </w:rPr>
        <w:t xml:space="preserve"> (Ts'eman Ts'ez location on the western bank of the Tsilhqox)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Ts'eman Za</w:t>
      </w:r>
      <w:r>
        <w:rPr>
          <w:rFonts w:ascii="arial" w:eastAsia="arial" w:hAnsi="arial" w:cs="arial"/>
          <w:color w:val="000000"/>
          <w:sz w:val="20"/>
          <w:lang w:val="en-US" w:eastAsia="en-US" w:bidi="ar-SA"/>
        </w:rPr>
        <w:t xml:space="preserve"> (sockeye salmon moon, August)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Tses Nanint'i</w:t>
      </w:r>
      <w:r>
        <w:rPr>
          <w:rFonts w:ascii="arial" w:eastAsia="arial" w:hAnsi="arial" w:cs="arial"/>
          <w:color w:val="000000"/>
          <w:sz w:val="20"/>
          <w:lang w:val="en-US" w:eastAsia="en-US" w:bidi="ar-SA"/>
        </w:rPr>
        <w:t xml:space="preserve"> (camping site in Xeni)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Tsi Ch'ed Diz?an</w:t>
      </w:r>
      <w:r>
        <w:rPr>
          <w:rFonts w:ascii="arial" w:eastAsia="arial" w:hAnsi="arial" w:cs="arial"/>
          <w:color w:val="000000"/>
          <w:sz w:val="20"/>
          <w:lang w:val="en-US" w:eastAsia="en-US" w:bidi="ar-SA"/>
        </w:rPr>
        <w:t xml:space="preserve"> (location at the eastern end of Naghatalhchoz Biny)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tsi dek'ay</w:t>
      </w:r>
      <w:r>
        <w:rPr>
          <w:rFonts w:ascii="arial" w:eastAsia="arial" w:hAnsi="arial" w:cs="arial"/>
          <w:color w:val="000000"/>
          <w:sz w:val="20"/>
          <w:lang w:val="en-US" w:eastAsia="en-US" w:bidi="ar-SA"/>
        </w:rPr>
        <w:t xml:space="preserve"> (sharp rock used to chop wood)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Tsi Del Del</w:t>
      </w:r>
      <w:r>
        <w:rPr>
          <w:rFonts w:ascii="arial" w:eastAsia="arial" w:hAnsi="arial" w:cs="arial"/>
          <w:color w:val="000000"/>
          <w:sz w:val="20"/>
          <w:lang w:val="en-US" w:eastAsia="en-US" w:bidi="ar-SA"/>
        </w:rPr>
        <w:t xml:space="preserve"> (Redstone)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Tsi gheh ne?eten</w:t>
      </w:r>
      <w:r>
        <w:rPr>
          <w:rFonts w:ascii="arial" w:eastAsia="arial" w:hAnsi="arial" w:cs="arial"/>
          <w:color w:val="000000"/>
          <w:sz w:val="20"/>
          <w:lang w:val="en-US" w:eastAsia="en-US" w:bidi="ar-SA"/>
        </w:rPr>
        <w:t xml:space="preserve"> (location south of Naghatalhchoz Biny)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Tsilangh</w:t>
      </w:r>
      <w:r>
        <w:rPr>
          <w:rFonts w:ascii="arial" w:eastAsia="arial" w:hAnsi="arial" w:cs="arial"/>
          <w:color w:val="000000"/>
          <w:sz w:val="20"/>
          <w:lang w:val="en-US" w:eastAsia="en-US" w:bidi="ar-SA"/>
        </w:rPr>
        <w:t xml:space="preserve"> (fishing and winter encampment on the Tsilhqox)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Tsi Lhizbed</w:t>
      </w:r>
      <w:r>
        <w:rPr>
          <w:rFonts w:ascii="arial" w:eastAsia="arial" w:hAnsi="arial" w:cs="arial"/>
          <w:color w:val="000000"/>
          <w:sz w:val="20"/>
          <w:lang w:val="en-US" w:eastAsia="en-US" w:bidi="ar-SA"/>
        </w:rPr>
        <w:t xml:space="preserve"> (upriver, over the hill from Tsilangh)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Tsilhqot'in</w:t>
      </w:r>
      <w:r>
        <w:rPr>
          <w:rFonts w:ascii="arial" w:eastAsia="arial" w:hAnsi="arial" w:cs="arial"/>
          <w:color w:val="000000"/>
          <w:sz w:val="20"/>
          <w:lang w:val="en-US" w:eastAsia="en-US" w:bidi="ar-SA"/>
        </w:rPr>
        <w:t xml:space="preserve"> (Chilcotin, People of the Tsilhqox)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Tsilhqox</w:t>
      </w:r>
      <w:r>
        <w:rPr>
          <w:rFonts w:ascii="arial" w:eastAsia="arial" w:hAnsi="arial" w:cs="arial"/>
          <w:color w:val="000000"/>
          <w:sz w:val="20"/>
          <w:lang w:val="en-US" w:eastAsia="en-US" w:bidi="ar-SA"/>
        </w:rPr>
        <w:t xml:space="preserve"> (Chilko 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Tsilhqox Biny</w:t>
      </w:r>
      <w:r>
        <w:rPr>
          <w:rFonts w:ascii="arial" w:eastAsia="arial" w:hAnsi="arial" w:cs="arial"/>
          <w:color w:val="000000"/>
          <w:sz w:val="20"/>
          <w:lang w:val="en-US" w:eastAsia="en-US" w:bidi="ar-SA"/>
        </w:rPr>
        <w:t xml:space="preserve"> (Chilko Lake)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Tsilhqox Dzelh</w:t>
      </w:r>
      <w:r>
        <w:rPr>
          <w:rFonts w:ascii="arial" w:eastAsia="arial" w:hAnsi="arial" w:cs="arial"/>
          <w:color w:val="000000"/>
          <w:sz w:val="20"/>
          <w:lang w:val="en-US" w:eastAsia="en-US" w:bidi="ar-SA"/>
        </w:rPr>
        <w:t xml:space="preserve"> (Chilko Mountain)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Tsilhqox Tu Tl'az</w:t>
      </w:r>
      <w:r>
        <w:rPr>
          <w:rFonts w:ascii="arial" w:eastAsia="arial" w:hAnsi="arial" w:cs="arial"/>
          <w:color w:val="000000"/>
          <w:sz w:val="20"/>
          <w:lang w:val="en-US" w:eastAsia="en-US" w:bidi="ar-SA"/>
        </w:rPr>
        <w:t xml:space="preserve"> (Edmond Creek)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Ts'il/os Dzelh</w:t>
      </w:r>
      <w:r>
        <w:rPr>
          <w:rFonts w:ascii="arial" w:eastAsia="arial" w:hAnsi="arial" w:cs="arial"/>
          <w:color w:val="000000"/>
          <w:sz w:val="20"/>
          <w:lang w:val="en-US" w:eastAsia="en-US" w:bidi="ar-SA"/>
        </w:rPr>
        <w:t xml:space="preserve"> (Mount Tatlow)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Tsimol Ch'ed</w:t>
      </w:r>
      <w:r>
        <w:rPr>
          <w:rFonts w:ascii="arial" w:eastAsia="arial" w:hAnsi="arial" w:cs="arial"/>
          <w:color w:val="000000"/>
          <w:sz w:val="20"/>
          <w:lang w:val="en-US" w:eastAsia="en-US" w:bidi="ar-SA"/>
        </w:rPr>
        <w:t xml:space="preserve"> (Potato Mountain)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Tsi Nadenisdzay</w:t>
      </w:r>
      <w:r>
        <w:rPr>
          <w:rFonts w:ascii="arial" w:eastAsia="arial" w:hAnsi="arial" w:cs="arial"/>
          <w:color w:val="000000"/>
          <w:sz w:val="20"/>
          <w:lang w:val="en-US" w:eastAsia="en-US" w:bidi="ar-SA"/>
        </w:rPr>
        <w:t xml:space="preserve"> (location on Xeni Dzelh where ?elhtilh were snared)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Tsi Nentsen Tsinsh Dzelh</w:t>
      </w:r>
      <w:r>
        <w:rPr>
          <w:rFonts w:ascii="arial" w:eastAsia="arial" w:hAnsi="arial" w:cs="arial"/>
          <w:color w:val="000000"/>
          <w:sz w:val="20"/>
          <w:lang w:val="en-US" w:eastAsia="en-US" w:bidi="ar-SA"/>
        </w:rPr>
        <w:t xml:space="preserve"> (Good Hope Mountain)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Ts'i Talh?ad</w:t>
      </w:r>
      <w:r>
        <w:rPr>
          <w:rFonts w:ascii="arial" w:eastAsia="arial" w:hAnsi="arial" w:cs="arial"/>
          <w:color w:val="000000"/>
          <w:sz w:val="20"/>
          <w:lang w:val="en-US" w:eastAsia="en-US" w:bidi="ar-SA"/>
        </w:rPr>
        <w:t xml:space="preserve"> (Rainbow Creek)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Tsi Tese?an</w:t>
      </w:r>
      <w:r>
        <w:rPr>
          <w:rFonts w:ascii="arial" w:eastAsia="arial" w:hAnsi="arial" w:cs="arial"/>
          <w:color w:val="000000"/>
          <w:sz w:val="20"/>
          <w:lang w:val="en-US" w:eastAsia="en-US" w:bidi="ar-SA"/>
        </w:rPr>
        <w:t xml:space="preserve"> (Tchaikazan Valley)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Ts'itse?ex Biny</w:t>
      </w:r>
      <w:r>
        <w:rPr>
          <w:rFonts w:ascii="arial" w:eastAsia="arial" w:hAnsi="arial" w:cs="arial"/>
          <w:color w:val="000000"/>
          <w:sz w:val="20"/>
          <w:lang w:val="en-US" w:eastAsia="en-US" w:bidi="ar-SA"/>
        </w:rPr>
        <w:t xml:space="preserve"> (Augers Lake)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Tsi Tex Biny</w:t>
      </w:r>
      <w:r>
        <w:rPr>
          <w:rFonts w:ascii="arial" w:eastAsia="arial" w:hAnsi="arial" w:cs="arial"/>
          <w:color w:val="000000"/>
          <w:sz w:val="20"/>
          <w:lang w:val="en-US" w:eastAsia="en-US" w:bidi="ar-SA"/>
        </w:rPr>
        <w:t xml:space="preserve"> (Murray Taylor Lake)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Tsi T'is Gunlin</w:t>
      </w:r>
      <w:r>
        <w:rPr>
          <w:rFonts w:ascii="arial" w:eastAsia="arial" w:hAnsi="arial" w:cs="arial"/>
          <w:color w:val="000000"/>
          <w:sz w:val="20"/>
          <w:lang w:val="en-US" w:eastAsia="en-US" w:bidi="ar-SA"/>
        </w:rPr>
        <w:t xml:space="preserve"> (crossing located upstream from Henry's Crossing)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tsits'ats'elagi</w:t>
      </w:r>
      <w:r>
        <w:rPr>
          <w:rFonts w:ascii="arial" w:eastAsia="arial" w:hAnsi="arial" w:cs="arial"/>
          <w:color w:val="000000"/>
          <w:sz w:val="20"/>
          <w:lang w:val="en-US" w:eastAsia="en-US" w:bidi="ar-SA"/>
        </w:rPr>
        <w:t xml:space="preserve"> (balsam root sunflower)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Ts'i Ts'elhts'ig</w:t>
      </w:r>
      <w:r>
        <w:rPr>
          <w:rFonts w:ascii="arial" w:eastAsia="arial" w:hAnsi="arial" w:cs="arial"/>
          <w:color w:val="000000"/>
          <w:sz w:val="20"/>
          <w:lang w:val="en-US" w:eastAsia="en-US" w:bidi="ar-SA"/>
        </w:rPr>
        <w:t xml:space="preserve"> (where the Dasiqox flows into Dasiqox Biny)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Tsiyi</w:t>
      </w:r>
      <w:r>
        <w:rPr>
          <w:rFonts w:ascii="arial" w:eastAsia="arial" w:hAnsi="arial" w:cs="arial"/>
          <w:color w:val="000000"/>
          <w:sz w:val="20"/>
          <w:lang w:val="en-US" w:eastAsia="en-US" w:bidi="ar-SA"/>
        </w:rPr>
        <w:t xml:space="preserve"> (Tsi ?Ezish Dzelh, Cardiff Mountain)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ts'u ghed</w:t>
      </w:r>
      <w:r>
        <w:rPr>
          <w:rFonts w:ascii="arial" w:eastAsia="arial" w:hAnsi="arial" w:cs="arial"/>
          <w:color w:val="000000"/>
          <w:sz w:val="20"/>
          <w:lang w:val="en-US" w:eastAsia="en-US" w:bidi="ar-SA"/>
        </w:rPr>
        <w:t xml:space="preserve"> (spruce roots)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Tsulyu Ts'ilhed</w:t>
      </w:r>
      <w:r>
        <w:rPr>
          <w:rFonts w:ascii="arial" w:eastAsia="arial" w:hAnsi="arial" w:cs="arial"/>
          <w:color w:val="000000"/>
          <w:sz w:val="20"/>
          <w:lang w:val="en-US" w:eastAsia="en-US" w:bidi="ar-SA"/>
        </w:rPr>
        <w:t xml:space="preserve"> (Bull Canyon)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Ts'uni?ad</w:t>
      </w:r>
      <w:r>
        <w:rPr>
          <w:rFonts w:ascii="arial" w:eastAsia="arial" w:hAnsi="arial" w:cs="arial"/>
          <w:color w:val="000000"/>
          <w:sz w:val="20"/>
          <w:lang w:val="en-US" w:eastAsia="en-US" w:bidi="ar-SA"/>
        </w:rPr>
        <w:t xml:space="preserve"> (Tsuniah Valley)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Ts'uni?ad Dzelh</w:t>
      </w:r>
      <w:r>
        <w:rPr>
          <w:rFonts w:ascii="arial" w:eastAsia="arial" w:hAnsi="arial" w:cs="arial"/>
          <w:color w:val="000000"/>
          <w:sz w:val="20"/>
          <w:lang w:val="en-US" w:eastAsia="en-US" w:bidi="ar-SA"/>
        </w:rPr>
        <w:t xml:space="preserve"> (Tsuniah Mountain)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Ts'un?iad Yeqox</w:t>
      </w:r>
      <w:r>
        <w:rPr>
          <w:rFonts w:ascii="arial" w:eastAsia="arial" w:hAnsi="arial" w:cs="arial"/>
          <w:color w:val="000000"/>
          <w:sz w:val="20"/>
          <w:lang w:val="en-US" w:eastAsia="en-US" w:bidi="ar-SA"/>
        </w:rPr>
        <w:t xml:space="preserve"> (Tsuniah Creek)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Ts'uni?ad Biny</w:t>
      </w:r>
      <w:r>
        <w:rPr>
          <w:rFonts w:ascii="arial" w:eastAsia="arial" w:hAnsi="arial" w:cs="arial"/>
          <w:color w:val="000000"/>
          <w:sz w:val="20"/>
          <w:lang w:val="en-US" w:eastAsia="en-US" w:bidi="ar-SA"/>
        </w:rPr>
        <w:t xml:space="preserve"> (Tsuniah Lake)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Ts'u Nintil</w:t>
      </w:r>
      <w:r>
        <w:rPr>
          <w:rFonts w:ascii="arial" w:eastAsia="arial" w:hAnsi="arial" w:cs="arial"/>
          <w:color w:val="000000"/>
          <w:sz w:val="20"/>
          <w:lang w:val="en-US" w:eastAsia="en-US" w:bidi="ar-SA"/>
        </w:rPr>
        <w:t xml:space="preserve"> (place name)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Ts'u Talh?ad</w:t>
      </w:r>
      <w:r>
        <w:rPr>
          <w:rFonts w:ascii="arial" w:eastAsia="arial" w:hAnsi="arial" w:cs="arial"/>
          <w:color w:val="000000"/>
          <w:sz w:val="20"/>
          <w:lang w:val="en-US" w:eastAsia="en-US" w:bidi="ar-SA"/>
        </w:rPr>
        <w:t xml:space="preserve"> (small peninsula at the north end of Ts'uni?ad Biny)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tunulh</w:t>
      </w:r>
      <w:r>
        <w:rPr>
          <w:rFonts w:ascii="arial" w:eastAsia="arial" w:hAnsi="arial" w:cs="arial"/>
          <w:color w:val="000000"/>
          <w:sz w:val="20"/>
          <w:lang w:val="en-US" w:eastAsia="en-US" w:bidi="ar-SA"/>
        </w:rPr>
        <w:t xml:space="preserve"> (duck)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t'uz</w:t>
      </w:r>
      <w:r>
        <w:rPr>
          <w:rFonts w:ascii="arial" w:eastAsia="arial" w:hAnsi="arial" w:cs="arial"/>
          <w:color w:val="000000"/>
          <w:sz w:val="20"/>
          <w:lang w:val="en-US" w:eastAsia="en-US" w:bidi="ar-SA"/>
        </w:rPr>
        <w:t xml:space="preserve"> (tree bark)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?undidanx</w:t>
      </w:r>
      <w:r>
        <w:rPr>
          <w:rFonts w:ascii="arial" w:eastAsia="arial" w:hAnsi="arial" w:cs="arial"/>
          <w:color w:val="000000"/>
          <w:sz w:val="20"/>
          <w:lang w:val="en-US" w:eastAsia="en-US" w:bidi="ar-SA"/>
        </w:rPr>
        <w:t xml:space="preserve"> (recent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Xenadi?an</w:t>
      </w:r>
      <w:r>
        <w:rPr>
          <w:rFonts w:ascii="arial" w:eastAsia="arial" w:hAnsi="arial" w:cs="arial"/>
          <w:color w:val="000000"/>
          <w:sz w:val="20"/>
          <w:lang w:val="en-US" w:eastAsia="en-US" w:bidi="ar-SA"/>
        </w:rPr>
        <w:t xml:space="preserve"> (Xenadi?an Nen, Small Graveyard Valley)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Xeni</w:t>
      </w:r>
      <w:r>
        <w:rPr>
          <w:rFonts w:ascii="arial" w:eastAsia="arial" w:hAnsi="arial" w:cs="arial"/>
          <w:color w:val="000000"/>
          <w:sz w:val="20"/>
          <w:lang w:val="en-US" w:eastAsia="en-US" w:bidi="ar-SA"/>
        </w:rPr>
        <w:t xml:space="preserve"> (Nemiah Valley)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Xeni Biny</w:t>
      </w:r>
      <w:r>
        <w:rPr>
          <w:rFonts w:ascii="arial" w:eastAsia="arial" w:hAnsi="arial" w:cs="arial"/>
          <w:color w:val="000000"/>
          <w:sz w:val="20"/>
          <w:lang w:val="en-US" w:eastAsia="en-US" w:bidi="ar-SA"/>
        </w:rPr>
        <w:t xml:space="preserve"> (Konni Lake)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Xeni Dzelh</w:t>
      </w:r>
      <w:r>
        <w:rPr>
          <w:rFonts w:ascii="arial" w:eastAsia="arial" w:hAnsi="arial" w:cs="arial"/>
          <w:color w:val="000000"/>
          <w:sz w:val="20"/>
          <w:lang w:val="en-US" w:eastAsia="en-US" w:bidi="ar-SA"/>
        </w:rPr>
        <w:t xml:space="preserve"> (Konni Mountain)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Xeni Gwet'in</w:t>
      </w:r>
      <w:r>
        <w:rPr>
          <w:rFonts w:ascii="arial" w:eastAsia="arial" w:hAnsi="arial" w:cs="arial"/>
          <w:color w:val="000000"/>
          <w:sz w:val="20"/>
          <w:lang w:val="en-US" w:eastAsia="en-US" w:bidi="ar-SA"/>
        </w:rPr>
        <w:t xml:space="preserve"> (people of the Nemiah Valley)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Xeni Yeqox</w:t>
      </w:r>
      <w:r>
        <w:rPr>
          <w:rFonts w:ascii="arial" w:eastAsia="arial" w:hAnsi="arial" w:cs="arial"/>
          <w:color w:val="000000"/>
          <w:sz w:val="20"/>
          <w:lang w:val="en-US" w:eastAsia="en-US" w:bidi="ar-SA"/>
        </w:rPr>
        <w:t xml:space="preserve"> (Nemiah Creek)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xestl'un</w:t>
      </w:r>
      <w:r>
        <w:rPr>
          <w:rFonts w:ascii="arial" w:eastAsia="arial" w:hAnsi="arial" w:cs="arial"/>
          <w:color w:val="000000"/>
          <w:sz w:val="20"/>
          <w:lang w:val="en-US" w:eastAsia="en-US" w:bidi="ar-SA"/>
        </w:rPr>
        <w:t xml:space="preserve"> (fencing to bar a creek)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xex</w:t>
      </w:r>
      <w:r>
        <w:rPr>
          <w:rFonts w:ascii="arial" w:eastAsia="arial" w:hAnsi="arial" w:cs="arial"/>
          <w:color w:val="000000"/>
          <w:sz w:val="20"/>
          <w:lang w:val="en-US" w:eastAsia="en-US" w:bidi="ar-SA"/>
        </w:rPr>
        <w:t xml:space="preserve"> (geese)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Xexti</w:t>
      </w:r>
      <w:r>
        <w:rPr>
          <w:rFonts w:ascii="arial" w:eastAsia="arial" w:hAnsi="arial" w:cs="arial"/>
          <w:color w:val="000000"/>
          <w:sz w:val="20"/>
          <w:lang w:val="en-US" w:eastAsia="en-US" w:bidi="ar-SA"/>
        </w:rPr>
        <w:t xml:space="preserve"> (Tsilhqot'in burial place in Xeni)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Xexti Biny</w:t>
      </w:r>
      <w:r>
        <w:rPr>
          <w:rFonts w:ascii="arial" w:eastAsia="arial" w:hAnsi="arial" w:cs="arial"/>
          <w:color w:val="000000"/>
          <w:sz w:val="20"/>
          <w:lang w:val="en-US" w:eastAsia="en-US" w:bidi="ar-SA"/>
        </w:rPr>
        <w:t xml:space="preserve"> (Nemiah Lake)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xi</w:t>
      </w:r>
      <w:r>
        <w:rPr>
          <w:rFonts w:ascii="arial" w:eastAsia="arial" w:hAnsi="arial" w:cs="arial"/>
          <w:color w:val="000000"/>
          <w:sz w:val="20"/>
          <w:lang w:val="en-US" w:eastAsia="en-US" w:bidi="ar-SA"/>
        </w:rPr>
        <w:t xml:space="preserve"> (winter)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Yanats'idlush</w:t>
      </w:r>
      <w:r>
        <w:rPr>
          <w:rFonts w:ascii="arial" w:eastAsia="arial" w:hAnsi="arial" w:cs="arial"/>
          <w:color w:val="000000"/>
          <w:sz w:val="20"/>
          <w:lang w:val="en-US" w:eastAsia="en-US" w:bidi="ar-SA"/>
        </w:rPr>
        <w:t xml:space="preserve"> (Impasse Ridge)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yedanx denilin</w:t>
      </w:r>
      <w:r>
        <w:rPr>
          <w:rFonts w:ascii="arial" w:eastAsia="arial" w:hAnsi="arial" w:cs="arial"/>
          <w:color w:val="000000"/>
          <w:sz w:val="20"/>
          <w:lang w:val="en-US" w:eastAsia="en-US" w:bidi="ar-SA"/>
        </w:rPr>
        <w:t xml:space="preserve"> (long time ago, prior to contact, pre-and post-sovereignty)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Yuhitah</w:t>
      </w:r>
      <w:r>
        <w:rPr>
          <w:rFonts w:ascii="arial" w:eastAsia="arial" w:hAnsi="arial" w:cs="arial"/>
          <w:color w:val="000000"/>
          <w:sz w:val="20"/>
          <w:lang w:val="en-US" w:eastAsia="en-US" w:bidi="ar-SA"/>
        </w:rPr>
        <w:t xml:space="preserve"> (Yohetta Valley)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Yunesit'in</w:t>
      </w:r>
      <w:r>
        <w:rPr>
          <w:rFonts w:ascii="arial" w:eastAsia="arial" w:hAnsi="arial" w:cs="arial"/>
          <w:color w:val="000000"/>
          <w:sz w:val="20"/>
          <w:lang w:val="en-US" w:eastAsia="en-US" w:bidi="ar-SA"/>
        </w:rPr>
        <w:t xml:space="preserve"> (Stone Reserve)</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Released: June 2,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 This is a Corrigendum to my Reasons for Judgment released on November 20, 2007 and they are hereby amended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 In the Table of Contents replace the name "Edmonds Creek" with "Edmond Creek".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 In para. 858 replace "Edmond's Creek" with "Edmond Creek".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 In para. 866 replace the name "Edmonds Creek" with "Edmond Creek".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 In Appendix B, replace "Edmond's Creek" with "Edmond Creek".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D.H. VICKERS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78" style="position:absolute;z-index:25188352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54"/>
          <w:headerReference w:type="default" r:id="rId755"/>
          <w:footerReference w:type="even" r:id="rId756"/>
          <w:footerReference w:type="default" r:id="rId757"/>
          <w:headerReference w:type="first" r:id="rId758"/>
          <w:footerReference w:type="first" r:id="rId75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60" w:history="1">
        <w:r>
          <w:rPr>
            <w:rFonts w:ascii="arial" w:eastAsia="arial" w:hAnsi="arial" w:cs="arial"/>
            <w:b/>
            <w:bCs/>
            <w:i/>
            <w:color w:val="0077CC"/>
            <w:kern w:val="32"/>
            <w:sz w:val="28"/>
            <w:szCs w:val="32"/>
            <w:u w:val="single"/>
            <w:shd w:val="clear" w:color="auto" w:fill="FFFFFF"/>
            <w:lang w:val="en-US" w:eastAsia="en-US" w:bidi="ar-SA"/>
          </w:rPr>
          <w:t>Wangert v. Saur, [2013] I.L.R. para. M-2663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Canadian Insurance Law Reporter Cases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Before: Abrioux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Decision: January 25,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No. M091908</w:t>
      </w:r>
    </w:p>
    <w:p>
      <w:pPr>
        <w:rPr>
          <w:rFonts w:ascii="arial" w:eastAsia="arial" w:hAnsi="arial" w:cs="arial"/>
          <w:sz w:val="20"/>
          <w:lang w:val="en-US" w:eastAsia="en-US" w:bidi="ar-SA"/>
        </w:rPr>
      </w:pPr>
    </w:p>
    <w:p>
      <w:pPr>
        <w:spacing w:before="120" w:after="120" w:line="280" w:lineRule="atLeast"/>
        <w:rPr>
          <w:rFonts w:ascii="arial" w:eastAsia="arial" w:hAnsi="arial" w:cs="arial"/>
          <w:sz w:val="20"/>
          <w:lang w:val="en-US" w:eastAsia="en-US" w:bidi="ar-SA"/>
        </w:rPr>
      </w:pPr>
      <w:r>
        <w:rPr>
          <w:rFonts w:ascii="arial" w:eastAsia="arial" w:hAnsi="arial" w:cs="arial"/>
          <w:b/>
          <w:i/>
          <w:color w:val="000000"/>
          <w:sz w:val="22"/>
          <w:lang w:val="en-US" w:eastAsia="en-US" w:bidi="ar-SA"/>
        </w:rPr>
        <w:t xml:space="preserve">Canadian Insurance Law Reporter Cases  </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Cases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2010s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2013</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[2013] I.L.R. para. M-2663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761" w:history="1">
        <w:r>
          <w:rPr>
            <w:rFonts w:ascii="arial" w:eastAsia="arial" w:hAnsi="arial" w:cs="arial"/>
            <w:i/>
            <w:color w:val="0077CC"/>
            <w:sz w:val="20"/>
            <w:u w:val="single"/>
            <w:shd w:val="clear" w:color="auto" w:fill="FFFFFF"/>
            <w:lang w:val="en-US" w:eastAsia="en-US" w:bidi="ar-SA"/>
          </w:rPr>
          <w:t>[2013] B.C.J. No. 115</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761" w:history="1">
        <w:r>
          <w:rPr>
            <w:rFonts w:ascii="arial" w:eastAsia="arial" w:hAnsi="arial" w:cs="arial"/>
            <w:i/>
            <w:color w:val="0077CC"/>
            <w:sz w:val="20"/>
            <w:u w:val="single"/>
            <w:shd w:val="clear" w:color="auto" w:fill="FFFFFF"/>
            <w:lang w:val="en-US" w:eastAsia="en-US" w:bidi="ar-SA"/>
          </w:rPr>
          <w:t>2013 BCSC 99</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Michael C. Wangert Plaintiff v. Michael Patrick Saur, Deceased Defendant</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79" style="position:absolute;z-index:2516899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08" w:name="Keywords_30"/>
      <w:bookmarkEnd w:id="208"/>
      <w:r>
        <w:rPr>
          <w:rFonts w:ascii="arial" w:eastAsia="arial" w:hAnsi="arial" w:cs="arial"/>
          <w:b/>
          <w:color w:val="000000"/>
          <w:sz w:val="20"/>
          <w:lang w:val="en-US" w:eastAsia="en-US" w:bidi="ar-SA"/>
        </w:rPr>
        <w:t xml:space="preserve">Tort, motor vehicle — Damages — Loss of pension income — Plaintiff was engineer of train that collided with defendant's vehicle due to defendant's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Plaintiff alleged psychological injuries reduced his pensionable earnings, as he was near retirement age at time of accident and had previously intended to maximize his earnings over next five years — Issue was whether plaintiff's monthly pension was less than it otherwise would have been but for accident — Court found plaintiff established real and substantial possibility that he suffered future pecuniary loss due to his injuries — Various considerations were required in assessing amount — Plaintiff declined shifts several times due to family responsibilities, not to injuries — Plaintiff's T4 earnings did not approach average earnings cited by experts — Court determined $85,000 in damages for loss of pension income was fair to both parties.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09" w:name="Case Summary_28"/>
            <w:bookmarkEnd w:id="209"/>
          </w:p>
          <w:p>
            <w:pPr>
              <w:spacing w:before="120" w:line="260" w:lineRule="atLeast"/>
              <w:ind w:left="240"/>
              <w:jc w:val="both"/>
              <w:rPr>
                <w:rFonts w:ascii="arial" w:eastAsia="arial" w:hAnsi="arial" w:cs="arial"/>
                <w:sz w:val="20"/>
                <w:lang w:val="en-US" w:eastAsia="en-US" w:bidi="ar-SA"/>
              </w:rPr>
            </w:pPr>
            <w:r>
              <w:rPr>
                <w:rFonts w:ascii="arial" w:eastAsia="arial" w:hAnsi="arial" w:cs="arial"/>
                <w:b/>
                <w:color w:val="000000"/>
                <w:sz w:val="20"/>
                <w:lang w:val="en-US" w:eastAsia="en-US" w:bidi="ar-SA"/>
              </w:rPr>
              <w:t>Facts:</w:t>
            </w:r>
            <w:r>
              <w:rPr>
                <w:rFonts w:ascii="arial" w:eastAsia="arial" w:hAnsi="arial" w:cs="arial"/>
                <w:color w:val="000000"/>
                <w:sz w:val="20"/>
                <w:lang w:val="en-US" w:eastAsia="en-US" w:bidi="ar-SA"/>
              </w:rPr>
              <w:t xml:space="preserve"> The plaintiff sought damages for psychological injuries sustained in a motor vehicle accident. The plaintiff was operating a freight train in the course of his employment as a locomotive engineer when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his own death when his van collided with the train. As a result, the plaintiff suffered post-traumatic stress disorder and a mood disorder characterized by anxiety and depression. He was 50 years old at the time of the accident. Prior to the accident, he had planned on working increased hours in order to maximize his income for five years for pension purposes. Primarily in issue were general damages and the effect that the plaintiff's psychological injuries had on his income and pension.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10" w:name="Holdings of Court_24"/>
            <w:bookmarkEnd w:id="210"/>
            <w:r>
              <w:rPr>
                <w:rFonts w:ascii="arial" w:eastAsia="arial" w:hAnsi="arial" w:cs="arial"/>
                <w:color w:val="000000"/>
                <w:sz w:val="20"/>
                <w:lang w:val="en-US" w:eastAsia="en-US" w:bidi="ar-SA"/>
              </w:rPr>
              <w:t>HELD: The action was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Court found as a fact that the accident occurred at a most unfortunate time for the plaintiff in terms of his pension. However, the Court did not accept that the plaintiff's gross income would have been what he claimed. Although the Court accepted that the plaintiff intended to work longer hours, it also had to consider his past employment history. In the past, he had taken time off work to spend time with his children, and he had refused calls in situations where he believed his employer could not require him to work. The issue was whether the plaintiff's monthly pension of $5,166 was less than it otherwise would have been but for the accident. The average monthly pension for locomotive engineers was $6,513, which would amount to a potential loss of $201,000. The Court found that the plaintiff established a real and substantial possibility that he suffered a future pecuniary loss as a result of his injuries. However, various considerations required a discounting of the amount claimed. For example, the plaintiff was not able to point to any specific shifts he declined because of his injuries. In addition, the plaintiff declined shifts several times due to family responsibilities. Finally, at no point did the plaintiff's T4 earnings ever approach the "average" earnings cited by the experts. The Court determined that $85,000 in damages for loss of pension income was fair to both parties. The Court also awarded non-pecuniary damages of $50,000.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11" w:name="Counsel_30"/>
      <w:bookmarkEnd w:id="21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80" style="position:absolute;z-index:2517411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 Bower for the plaintiff; T.M. Jones for the defendant.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12" w:name="Judgment_30"/>
      <w:bookmarkEnd w:id="212"/>
      <w:r>
        <w:pict>
          <v:line id="_x0000_s1181" style="position:absolute;z-index:25179238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13" w:name="P. ABRIOUX J."/>
            <w:bookmarkEnd w:id="213"/>
            <w:r>
              <w:rPr>
                <w:rFonts w:ascii="arial" w:eastAsia="arial" w:hAnsi="arial" w:cs="arial"/>
                <w:b/>
                <w:color w:val="000000"/>
                <w:sz w:val="30"/>
                <w:lang w:val="en-US" w:eastAsia="en-US" w:bidi="ar-SA"/>
              </w:rPr>
              <w:t>P. ABRIOUX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Michael Wangert seeks damages for the injuries he sustained in a motor vehicle accident which occurred on May 1, 2007 (the "Accident"), which resulted in the death of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principal issues relate to general damages for pain and suffering and the effect the psychological injuries sustained in the Accident had on the plaintiff's income and pension.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AGREED STATEMENT OF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An agreed statement of facts was entered as an exhibit at the trial: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AGREED STATEMENT OF FACTS</w:t>
      </w:r>
    </w:p>
    <w:p>
      <w:pPr>
        <w:numPr>
          <w:numId w:val="28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approximately 7:15 a.m. on May 1, 2007, the Plaintiff MICHAEL C. WANGERT and the Defendant MICHAEL PATRICK SAUR ("the Parties") were involved in a collision on Harris Road in the City of Pitt Meadows, Province of British Columbia ("the Accident").</w:t>
      </w:r>
    </w:p>
    <w:p>
      <w:pPr>
        <w:numPr>
          <w:numId w:val="28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time of the Accident the Plaintiff was operating a freight train for Canadian Pacific Railway as an engineer ("the Plaintiffs Train"). At the time of the Accident the Plaintiff was in the course of his employment with Canadian Pacific Railway.</w:t>
      </w:r>
    </w:p>
    <w:p>
      <w:pPr>
        <w:numPr>
          <w:numId w:val="28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time of the Accident the Plaintiff was employed by Canadian Pacific Railway as a locomotive engineer.</w:t>
      </w:r>
    </w:p>
    <w:p>
      <w:pPr>
        <w:numPr>
          <w:numId w:val="28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time of the Accident the Defendant was operating a black 1980 Chevrolet van bearing British Columbia licence plate 7766JB, owned by the Defendant ("the Defendant's Van").</w:t>
      </w:r>
    </w:p>
    <w:p>
      <w:pPr>
        <w:numPr>
          <w:numId w:val="28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collision between the Defendant's Van and the Plaintiff's Train occurred solely as a result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numPr>
          <w:numId w:val="28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a result of the Accident, the Plaintiff suffered psychological injury.</w:t>
      </w:r>
    </w:p>
    <w:p>
      <w:pPr>
        <w:numPr>
          <w:numId w:val="28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Following the Accident the Plaintiff received a debriefing through Canadian Pacific Railway's Critical Incident Response Program. The Plaintiff received this debriefing for two hours each on May 2nd, May 3rd, and May 5th, 2007, together with the conductor of the Plaintiffs Train.</w:t>
      </w:r>
    </w:p>
    <w:p>
      <w:pPr>
        <w:numPr>
          <w:numId w:val="28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Following the Accident the Plaintiff was off work from the date of the Accident until May 15, 2007, when he returned to work full time at full duties.</w:t>
      </w:r>
    </w:p>
    <w:p>
      <w:pPr>
        <w:numPr>
          <w:numId w:val="28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January 28, 2011, Dr. Larry Krywaniuk, Ph.D., a registered psychologist, prepared a Medical-Legal Report regarding the Plaintiff. Dr. Krywaniuk diagnosed the Plaintiff as suffering from Post-Traumatic Stress Disorder (PTSD) in partial remission, and with a Mood Disorder characterized by symptoms of anxiety and depression. In Dr. Krywaniuk's opinion, these conditions were caused by the Accident.</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March 11, 2011, Dr. Paul Steinberg, a psychiatrist, conducted an independent psychiatric evaluation of the Plaintiff, and diagnosed the Plaintiff as suffering from Post-Traumatic Stress Disorder, then in partial remission, caused by the Accident. Dr. Steinberg did not diagnose any other mood disorder or cognitive disturbance.</w:t>
      </w:r>
    </w:p>
    <w:p>
      <w:pPr>
        <w:numPr>
          <w:numId w:val="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Following his independent psychiatric evaluation of the Plaintiff, Dr. Steinberg felt bound to report his findings to the Plaintiff's employer, Canadian Pacific Railway, as the Plaintiff was working in a safety-sensitive position.</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Following the receipt of Dr. Steinberg's report, Canadian Pacific Railway removed the Plaintiff from his position on March 24, 2011.</w:t>
      </w:r>
    </w:p>
    <w:p>
      <w:pPr>
        <w:numPr>
          <w:numId w:val="5"/>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Following a graduated return to work beginning January 22, 2012, the Plaintiff made a full return to work on May 31, 2012.</w:t>
      </w:r>
    </w:p>
    <w:p>
      <w:pPr>
        <w:numPr>
          <w:numId w:val="6"/>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graduated return to work began with four hours a day of work in the train yard, switching trains. He then worked on trains outside the yard under supervision. When the Plaintiff made his full return to work he was able to work on trains outside the yard without supervision at full hours.</w:t>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retired from his employment with Canadian Pacific Railway effective June 1, 2012.</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of the date of his full return to work on May 31, 2012, the Plaintiff was capable of performing his full work duties without any difficulty resulting from the Accident.</w:t>
      </w:r>
    </w:p>
    <w:p>
      <w:pPr>
        <w:numPr>
          <w:numId w:val="9"/>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claims special damages of $18,271.19.</w:t>
      </w:r>
    </w:p>
    <w:p>
      <w:pPr>
        <w:numPr>
          <w:numId w:val="10"/>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documents contained in the Joint Book of Documents are true and accurate:</w:t>
      </w:r>
    </w:p>
    <w:p>
      <w:pPr>
        <w:numPr>
          <w:numId w:val="11"/>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At Tab B, the Health Care Payment Detail and MSP Payment Detail printouts for the Plaintiff's compensation claim with the Workers' Compensation Board;</w:t>
      </w:r>
    </w:p>
    <w:p>
      <w:pPr>
        <w:numPr>
          <w:numId w:val="12"/>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At Tab C, the Plaintiff's employment file with Canadian Pacific;</w:t>
      </w:r>
    </w:p>
    <w:p>
      <w:pPr>
        <w:numPr>
          <w:numId w:val="1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At Tab D, the Plaintiff's tax returns and T4 forms;</w:t>
      </w:r>
    </w:p>
    <w:p>
      <w:pPr>
        <w:numPr>
          <w:numId w:val="14"/>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At Tab E, the Canadian Pacific pension guide and amendments; and</w:t>
      </w:r>
    </w:p>
    <w:p>
      <w:pPr>
        <w:numPr>
          <w:numId w:val="1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At Tab F, the email from Ellen Williamson, Manager Pension Member Services, Canadian Pacific, setting out the Plaintiff's pensionable earnings, contributions, and other details from 2006 to 2012.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For the purposes of trial, the Parties agree that the above stated facts are true and correct.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addition to the above, the following background information is germane to the plaintiff's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was born on February 28, 1957. He was 55 years old at the time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Wangert has a son who lives in Montreal and a 17-year-old daughter who lives in Cranbrook with her mother, Cindy Wangert. The plaintiff and Ms. Wangert were married in 1983.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When the plaintiff and Ms. Wangert divorced, she moved with the children from the Lower Mainland to Cranbrook, B.C. The plaintiff then moved to Cranbrook to be near his family but returned to the Lower Mainland in 1999. He did so because he preferred to live in the Vancouver area. He believed that he was not working sufficient hours due to his family responsibilities. He thought it would be good for the children to be able to spend some time in the Lower Mainland. He bought a house in Maple Ridge in 2000. He arranged for his children to come visit him over school holidays and long weekends. Notwithstanding this, by 2006 while he still saw his children from time to time, it was not as frequent as before.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 has suffered from gout since his early 20's. Prior to the Accident, he was off work for two or three days per year due to this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the years prior to the Accident, the plaintiff was on-call hauling freight. He would usually operate a freight train to and from Boston Bar. He preferred working freight since it was more remunerative than working in the freight yard. He was allowed to work a maximum of 3800 miles per month.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 was expected to be available seven days a week, unless he was on mandatory time off after having worked a certain number of consecutive hours. He could also decline work by booking "unfit" status or if he was sick. "Unfit" could occur if he did not consider himself physically fit for duty. This included being tired or under stress.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From 2003 to 2012 the plaintiff had the following T4 earnings:</w:t>
      </w:r>
      <w:r>
        <w:rPr>
          <w:rFonts w:ascii="arial" w:eastAsia="arial" w:hAnsi="arial" w:cs="arial"/>
          <w:sz w:val="20"/>
          <w:lang w:val="en-US" w:eastAsia="en-US" w:bidi="ar-SA"/>
        </w:rPr>
        <w:cr/>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2003: $70,247</w:t>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2004: $65,404</w:t>
      </w:r>
    </w:p>
    <w:p>
      <w:pPr>
        <w:numPr>
          <w:numId w:val="1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2005: $69,594</w:t>
      </w:r>
    </w:p>
    <w:p>
      <w:pPr>
        <w:numPr>
          <w:numId w:val="1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2006: $68,024</w:t>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2007: $68,315</w:t>
      </w:r>
    </w:p>
    <w:p>
      <w:pPr>
        <w:numPr>
          <w:numId w:val="2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2008: $82,759</w:t>
      </w:r>
    </w:p>
    <w:p>
      <w:pPr>
        <w:numPr>
          <w:numId w:val="2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2009: $82,784</w:t>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2010: $93,818</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2011: $32,159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Prior to his retirement effective June 1, 2012, the plaintiff's T4 earnings for 2012 were $50,442.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plaintiff was reprimanded a number of times for absenteeism both before and after the Accident. Prior to the Accident, this included time he took off to be with his children. It was the plaintiff's evidence that immediately prior to the Accident, he intended to work as many hours as possible for five years in order to maximize his pensionable earnings. It was his intention to retire as of June 1,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plaintiff testified that although his income did increase following the Accident, what he did earn was a "far cry" from what he should have earned had he not been injured. It was his evidence that in the year prior to the Accident, being 2006, he could have earned more income if he had not been "doing the long-distance dad 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According to the plaintiff, a significant portion of his absenteeism following May 1, 2007, was due to the psychological effects of the Accident. He acknowledged that he did miss some time from work after the Accident for personal reasons and separate knee and elbow injuries unrelated to the Accident. He testified he could not estimate how much time he missed from work due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It was the plaintiff's evidence that his lifestyle did not change "so much" following the Accident. He still continued to work freight trains. His moods did change, however, and he felt as though his personal relationships suffered as a result. He knew he had to work as hard as he could in order to make the "best five" years of income in order to maximize his pension.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plaintiff was not familiar with the concept of "constructed earnings" being a component of the calculation of his pension. He was also under the impression that his pension would be based on his five years of earnings leading up to his retirement as opposed to his best five consecutive years of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plaintiff acknowledged that with the exception of some counselling he received in the immediate aftermath of the Accident, it was not until he was involved in the litigation process that he obtained professional assistance. He believed his employer would penalize him if he booked "unfit" days due to the anxiety he was suffering due to the Accident. Although CP Rail was compassionate for three months or so after the Accident, his perception was that his employer was harassing him regarding his absenteeism.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plaintiff believed that he would deal with the effects of the Accident as best as he could by working. He stated, "I had to work as much as I could. I dealt with it on my own as I dealt with the stresses in my life". It was only when he was examined by Dr. Krywaniuk in January 2011 and then Dr. Steinberg on behalf of the defendant in early 2012, that the diagnosis of post traumatic stress disorder was made. Dr. Steinberg reported his findings to Canadian Pacific. It was recommended that the plaintiff stop working for a period of time. He was then treated by a psychiatrist and a psychologist. This greatly assisted him and resulted in his returning to work on a gradual basis in January 2012. He was cleared to return to work full time in late May 2012. A few days later, being June 1, 2012, he retired.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Wayne Weatherbee is a locomotive engineer who works for CP Rail. He has been employed with CP Rail for over 30 years and is planning to retire in March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Weatherbee testified that he has known the plaintiff for 20 years. They became good friends approximately 10 years ago. He lives nearby and they socialize. He confirmed that in the years following 2002, the plaintiff took time off from work to be with his children. His impression was that they were less interested in visiting their father when they reached their teenage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his interaction with the plaintiff following the Accident, he noticed that the plaintiff appeared to be more withdrawn. It was also his impression that as of early 2007, the plaintiff had been working more than he had in the past. His attendance at work was reduced after the Accident. He observed that the plaintiff seemed nervous.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Weatherbee earned approximately $116,000 or $117,000 in 2011. He was not maximizing the monthly miles available to him that year. He indicated that other engineers work more than he did but they would have to be "married to the railroad".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Weatherbee stated that he has booked off "sick" and "unfit" over the past number of years. He has also been cautioned for absenteeism. He was aware of instances where the plaintiff attempted to get approved leaves of absences. His position was similar to the plaintiff's in that he also had difficulties getting time off from work. If his request was refused, he would take the time off by booking "unfit".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Weatherbee took nine or 10 days off work in 2011. He said that although he had no more than three or four missed calls in the last two years, he was verbally warned for having rejected shifts when asked to work. He indicated he was aware that the plaintiff had been reprimanded for absenteeism in the first part of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Craig Brown, another locomotive engineer at CP Rail, also testified. He qualified as an engineer in 1982. He is vice president of the Teamsters union which represents workers from Vancouver to Kamloops. Mr. Brown's employment income in 2010 and 2011 was approximately $130,000. He received credit for the time he spent conducting union affairs.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Brown stated that most locomotive engineers would take a total of 30 to 35 days off from work a year on the basis that they were sick, unfit for work or had reached the maximum number of miles per month. It was also his evidence that other CP locomotive engineers attempted to maximize their earnings in their last five years prior to retirement in order to earn a higher pension. Engineers who had chosen lower paying positions for most of their careers would often decide to spend their last five years working on the freight trains, since it was more remunerative.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 FINDINGS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 make the following findings of fact:</w:t>
      </w:r>
      <w:r>
        <w:rPr>
          <w:rFonts w:ascii="arial" w:eastAsia="arial" w:hAnsi="arial" w:cs="arial"/>
          <w:sz w:val="20"/>
          <w:lang w:val="en-US" w:eastAsia="en-US" w:bidi="ar-SA"/>
        </w:rPr>
        <w:cr/>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Accident occurred at a most unfortunate time for the plaintiff. He had reached the point in his life where he was able to work increased hours with CP Rail in anticipation of attempting to maximize his income for pension purposes;</w:t>
      </w:r>
    </w:p>
    <w:p>
      <w:pPr>
        <w:numPr>
          <w:numId w:val="2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although medical treatment for his post traumatic stress disorder did not formally commence until the spring of 2011, his "self-help" treatment from the Accident until that point in time did result in a decrease of symptoms. This is demonstrated by both Dr. Krywaniuk and Dr. Steinberg concluding that the plaintiff's condition was in partial remission when they assessed him;</w:t>
      </w:r>
    </w:p>
    <w:p>
      <w:pPr>
        <w:numPr>
          <w:numId w:val="2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T4 income stream in the years prior to the Accident, particularly 2005 and 2006, of approximately $68,000, is not indicative of what he would likely have earned had the Accident not occurred;</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although the plaintiff's income did increase after the Accident to approximately $94,000 in 2010, it would have been even higher had the Accident not occurred;</w:t>
      </w:r>
    </w:p>
    <w:p>
      <w:pPr>
        <w:numPr>
          <w:numId w:val="2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 do not accept, however, that the plaintiff's gross income would have been in the range of that earned by Mr. Weatherbee or Mr. Brown, that is $117,000 to $130,000 per year. That is because although Mr. Wangert says he intended to work more hours, I must take his employment history into account. This included instances when he took time off from work for personal reasons, and when he refused calls in situations where he believed CP Rail could not require him to work. He also continued to take time off from work to be with his children, although this was less than had been the case prior to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 MITIGATION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Prior to assessing the plaintiff's damages, I will deal with the defendant's submissions that the plaintiff has failed to mitigate his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There are essentially two components to those submissions. The first is that the plaintiff failed to seek appropriate treatment in a timely fashion. The second is that the plaintiff had the option of working past age 55. Since the plaintiff had recovered from his post traumatic stress disorder by May 2012, the defendant submits he should have continued working past his planned retirement date to maximize his average earnings over the last 60 months of employment. This would have increased his retirement pension benefits thereby mitigating, if not eliminating, his claim for loss of retirement pension benefits arising from the injuries sustained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plaintiff has an obligation to take all reasonable measures to reduce his loss. The defendant bears the burden of establishing that he has failed to act reasonably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Frers v. De Moulin</w:t>
      </w:r>
      <w:r>
        <w:rPr>
          <w:rFonts w:ascii="arial" w:eastAsia="arial" w:hAnsi="arial" w:cs="arial"/>
          <w:color w:val="000000"/>
          <w:sz w:val="20"/>
          <w:lang w:val="en-US" w:eastAsia="en-US" w:bidi="ar-SA"/>
        </w:rPr>
        <w:t xml:space="preserve">, </w:t>
      </w:r>
      <w:hyperlink r:id="rId762" w:history="1">
        <w:r>
          <w:rPr>
            <w:rFonts w:ascii="arial" w:eastAsia="arial" w:hAnsi="arial" w:cs="arial"/>
            <w:i/>
            <w:color w:val="0077CC"/>
            <w:sz w:val="20"/>
            <w:u w:val="single"/>
            <w:shd w:val="clear" w:color="auto" w:fill="FFFFFF"/>
            <w:lang w:val="en-US" w:eastAsia="en-US" w:bidi="ar-SA"/>
          </w:rPr>
          <w:t>2002 BCSC 408</w:t>
        </w:r>
      </w:hyperlink>
      <w:r>
        <w:rPr>
          <w:rFonts w:ascii="arial" w:eastAsia="arial" w:hAnsi="arial" w:cs="arial"/>
          <w:color w:val="000000"/>
          <w:sz w:val="20"/>
          <w:lang w:val="en-US" w:eastAsia="en-US" w:bidi="ar-SA"/>
        </w:rPr>
        <w:t>, sets out the elements which must be proven by the defendant: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[217] The defendants referred to </w:t>
      </w:r>
      <w:r>
        <w:rPr>
          <w:rFonts w:ascii="arial" w:eastAsia="arial" w:hAnsi="arial" w:cs="arial"/>
          <w:i/>
          <w:color w:val="000000"/>
          <w:sz w:val="20"/>
          <w:lang w:val="en-US" w:eastAsia="en-US" w:bidi="ar-SA"/>
        </w:rPr>
        <w:t>Janiak v. Ippolito</w:t>
      </w:r>
      <w:r>
        <w:rPr>
          <w:rFonts w:ascii="arial" w:eastAsia="arial" w:hAnsi="arial" w:cs="arial"/>
          <w:color w:val="000000"/>
          <w:sz w:val="20"/>
          <w:lang w:val="en-US" w:eastAsia="en-US" w:bidi="ar-SA"/>
        </w:rPr>
        <w:t xml:space="preserve">, </w:t>
      </w:r>
      <w:hyperlink r:id="rId763" w:history="1">
        <w:r>
          <w:rPr>
            <w:rFonts w:ascii="arial" w:eastAsia="arial" w:hAnsi="arial" w:cs="arial"/>
            <w:i/>
            <w:color w:val="0077CC"/>
            <w:sz w:val="20"/>
            <w:u w:val="single"/>
            <w:shd w:val="clear" w:color="auto" w:fill="FFFFFF"/>
            <w:lang w:val="en-US" w:eastAsia="en-US" w:bidi="ar-SA"/>
          </w:rPr>
          <w:t>[1985] 1 S.C.R. 146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Maslen v. Rubenstein</w:t>
      </w:r>
      <w:r>
        <w:rPr>
          <w:rFonts w:ascii="arial" w:eastAsia="arial" w:hAnsi="arial" w:cs="arial"/>
          <w:color w:val="000000"/>
          <w:sz w:val="20"/>
          <w:lang w:val="en-US" w:eastAsia="en-US" w:bidi="ar-SA"/>
        </w:rPr>
        <w:t xml:space="preserve"> </w:t>
      </w:r>
      <w:hyperlink r:id="rId764" w:history="1">
        <w:r>
          <w:rPr>
            <w:rFonts w:ascii="arial" w:eastAsia="arial" w:hAnsi="arial" w:cs="arial"/>
            <w:i/>
            <w:color w:val="0077CC"/>
            <w:sz w:val="20"/>
            <w:u w:val="single"/>
            <w:shd w:val="clear" w:color="auto" w:fill="FFFFFF"/>
            <w:lang w:val="en-US" w:eastAsia="en-US" w:bidi="ar-SA"/>
          </w:rPr>
          <w:t>(1993), 83 B.C.L.R. (2d) 131</w:t>
        </w:r>
      </w:hyperlink>
      <w:r>
        <w:rPr>
          <w:rFonts w:ascii="arial" w:eastAsia="arial" w:hAnsi="arial" w:cs="arial"/>
          <w:color w:val="000000"/>
          <w:sz w:val="20"/>
          <w:lang w:val="en-US" w:eastAsia="en-US" w:bidi="ar-SA"/>
        </w:rPr>
        <w:t xml:space="preserve"> (C.A.) and </w:t>
      </w:r>
      <w:r>
        <w:rPr>
          <w:rFonts w:ascii="arial" w:eastAsia="arial" w:hAnsi="arial" w:cs="arial"/>
          <w:i/>
          <w:color w:val="000000"/>
          <w:sz w:val="20"/>
          <w:lang w:val="en-US" w:eastAsia="en-US" w:bidi="ar-SA"/>
        </w:rPr>
        <w:t>Zahynacz v. Kozak</w:t>
      </w:r>
      <w:r>
        <w:rPr>
          <w:rFonts w:ascii="arial" w:eastAsia="arial" w:hAnsi="arial" w:cs="arial"/>
          <w:color w:val="000000"/>
          <w:sz w:val="20"/>
          <w:lang w:val="en-US" w:eastAsia="en-US" w:bidi="ar-SA"/>
        </w:rPr>
        <w:t xml:space="preserve">, </w:t>
      </w:r>
      <w:hyperlink r:id="rId765" w:history="1">
        <w:r>
          <w:rPr>
            <w:rFonts w:ascii="arial" w:eastAsia="arial" w:hAnsi="arial" w:cs="arial"/>
            <w:i/>
            <w:color w:val="0077CC"/>
            <w:sz w:val="20"/>
            <w:u w:val="single"/>
            <w:shd w:val="clear" w:color="auto" w:fill="FFFFFF"/>
            <w:lang w:val="en-US" w:eastAsia="en-US" w:bidi="ar-SA"/>
          </w:rPr>
          <w:t>[1998] B.C.J. No. 1947</w:t>
        </w:r>
      </w:hyperlink>
      <w:r>
        <w:rPr>
          <w:rFonts w:ascii="arial" w:eastAsia="arial" w:hAnsi="arial" w:cs="arial"/>
          <w:color w:val="000000"/>
          <w:sz w:val="20"/>
          <w:lang w:val="en-US" w:eastAsia="en-US" w:bidi="ar-SA"/>
        </w:rPr>
        <w:t xml:space="preserve"> (S.C.) and conceded that they have the onus to establish three elements:</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were steps that the plaintiff could have taken that might have avoided or reduced the loss;</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those steps were reasonable; and</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amount by which those steps would have avoided or reduced the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It is clear that the goal of damages in an action for tort is to compensate the injured party as completely as possible for the loss suffered as a result of the negligent action or inaction of the defendant: </w:t>
      </w:r>
      <w:r>
        <w:rPr>
          <w:rFonts w:ascii="arial" w:eastAsia="arial" w:hAnsi="arial" w:cs="arial"/>
          <w:i/>
          <w:color w:val="000000"/>
          <w:sz w:val="20"/>
          <w:lang w:val="en-US" w:eastAsia="en-US" w:bidi="ar-SA"/>
        </w:rPr>
        <w:t>Cunningham v. Wheeler</w:t>
      </w:r>
      <w:r>
        <w:rPr>
          <w:rFonts w:ascii="arial" w:eastAsia="arial" w:hAnsi="arial" w:cs="arial"/>
          <w:color w:val="000000"/>
          <w:sz w:val="20"/>
          <w:lang w:val="en-US" w:eastAsia="en-US" w:bidi="ar-SA"/>
        </w:rPr>
        <w:t xml:space="preserve">, </w:t>
      </w:r>
      <w:hyperlink r:id="rId766" w:history="1">
        <w:r>
          <w:rPr>
            <w:rFonts w:ascii="arial" w:eastAsia="arial" w:hAnsi="arial" w:cs="arial"/>
            <w:i/>
            <w:color w:val="0077CC"/>
            <w:sz w:val="20"/>
            <w:u w:val="single"/>
            <w:shd w:val="clear" w:color="auto" w:fill="FFFFFF"/>
            <w:lang w:val="en-US" w:eastAsia="en-US" w:bidi="ar-SA"/>
          </w:rPr>
          <w:t>[1994] 1 S.C.R. 359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this case, I accept the plaintiff's evidence that he had always planned to retire at the age of 55. He had spent many years working for CP Rail.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defendant did not cite any legal authority supporting his position that a plaintiff could have mitigated losses by working past his or her planned retirement age. I was also unable to find 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my view, planning for retirement is a very important stage in a person's life. When one has the opportunity to retire at a certain age, even though continuing to work remains available, the decision to retire is not entered into lightly. It is not for the tortfeasor to take the position that the plaintiff's failure to change his life plan due to an accident which occurred through no fault of his own, amounts to unreasonable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 have also concluded that the plaintiff was not required to seek psychiatric or psychological assistance prior to 2011. This is not a case of specific treatment recommendations being made at an early stage which the plaintiff declined to follow.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It was the plaintiff's belief CP Rail would not react positively if he turned down work opportunities because he was troubled by the Accident. His self-help remedy, which was essentially to persevere as best he could was successful to a point. His income continued to increase in the years following the Accident and by late 2010 and early 2011, his post traumatic stress disorder was in partial remission.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his report, Dr. Krywaniuk noted that it is common for individuals in the plaintiff's situation to not actively seek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fact, the plaintiff's gross employment earnings for the first three months of 2011 were $32,159, which would have equated to a gross annual income of approximately $128,000 on the assumption he would continue to work at that rate for the rest of the year. While that assumption may be flawed, the plaintiff was clearly on track to earn more that year than in any other previous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Once Dr. Steinberg contacted CP Rail, the plaintiff's employer did agree he should be provided with a leave of absence. The plaintiff concurred and, within approximately a year which included treatment, the post traumatic stress disorder was in complete remission.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Under these circumstances, the defendant has not established the three elements pertaining to failure to mitigate. The plaintiff's alleged failure to actively seek psychological treatment in the aftermath of the Accident was not unreasonable in the circumstances. Even if it had been, the defendant has not established to what extent that treatment would have been successful in that particular timeframe and to what extent the plaintiff's damages would have been reduced.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 NON 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The plaintiff submits the award of general damages should be in the range of $70,000 - $80,000. It is the defendant's position that a reasonable range is $20,000 -$40,000 with a further reduction to reflect the plaintiff's failure to mitigate. I have reviewed the various authorities to which I was referred. The circumstances of this case, in my view, are much less significant than those in </w:t>
      </w:r>
      <w:r>
        <w:rPr>
          <w:rFonts w:ascii="arial" w:eastAsia="arial" w:hAnsi="arial" w:cs="arial"/>
          <w:i/>
          <w:color w:val="000000"/>
          <w:sz w:val="20"/>
          <w:lang w:val="en-US" w:eastAsia="en-US" w:bidi="ar-SA"/>
        </w:rPr>
        <w:t>Bonham v. Weir</w:t>
      </w:r>
      <w:r>
        <w:rPr>
          <w:rFonts w:ascii="arial" w:eastAsia="arial" w:hAnsi="arial" w:cs="arial"/>
          <w:color w:val="000000"/>
          <w:sz w:val="20"/>
          <w:lang w:val="en-US" w:eastAsia="en-US" w:bidi="ar-SA"/>
        </w:rPr>
        <w:t xml:space="preserve">, </w:t>
      </w:r>
      <w:hyperlink r:id="rId767" w:history="1">
        <w:r>
          <w:rPr>
            <w:rFonts w:ascii="arial" w:eastAsia="arial" w:hAnsi="arial" w:cs="arial"/>
            <w:i/>
            <w:color w:val="0077CC"/>
            <w:sz w:val="20"/>
            <w:u w:val="single"/>
            <w:shd w:val="clear" w:color="auto" w:fill="FFFFFF"/>
            <w:lang w:val="en-US" w:eastAsia="en-US" w:bidi="ar-SA"/>
          </w:rPr>
          <w:t>2009 BCSC 1080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Smith v. Williams</w:t>
      </w:r>
      <w:r>
        <w:rPr>
          <w:rFonts w:ascii="arial" w:eastAsia="arial" w:hAnsi="arial" w:cs="arial"/>
          <w:color w:val="000000"/>
          <w:sz w:val="20"/>
          <w:lang w:val="en-US" w:eastAsia="en-US" w:bidi="ar-SA"/>
        </w:rPr>
        <w:t xml:space="preserve">, </w:t>
      </w:r>
      <w:hyperlink r:id="rId768" w:history="1">
        <w:r>
          <w:rPr>
            <w:rFonts w:ascii="arial" w:eastAsia="arial" w:hAnsi="arial" w:cs="arial"/>
            <w:i/>
            <w:color w:val="0077CC"/>
            <w:sz w:val="20"/>
            <w:u w:val="single"/>
            <w:shd w:val="clear" w:color="auto" w:fill="FFFFFF"/>
            <w:lang w:val="en-US" w:eastAsia="en-US" w:bidi="ar-SA"/>
          </w:rPr>
          <w:t>2011 BCSC 1806</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Vagramov v. Zipursky</w:t>
      </w:r>
      <w:r>
        <w:rPr>
          <w:rFonts w:ascii="arial" w:eastAsia="arial" w:hAnsi="arial" w:cs="arial"/>
          <w:color w:val="000000"/>
          <w:sz w:val="20"/>
          <w:lang w:val="en-US" w:eastAsia="en-US" w:bidi="ar-SA"/>
        </w:rPr>
        <w:t xml:space="preserve">, </w:t>
      </w:r>
      <w:hyperlink r:id="rId769" w:history="1">
        <w:r>
          <w:rPr>
            <w:rFonts w:ascii="arial" w:eastAsia="arial" w:hAnsi="arial" w:cs="arial"/>
            <w:i/>
            <w:color w:val="0077CC"/>
            <w:sz w:val="20"/>
            <w:u w:val="single"/>
            <w:shd w:val="clear" w:color="auto" w:fill="FFFFFF"/>
            <w:lang w:val="en-US" w:eastAsia="en-US" w:bidi="ar-SA"/>
          </w:rPr>
          <w:t>2010 BCSC 414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plaintiff was the operator of a train which struck the defendant's vehicle at a railway crossing. From the plaintiff's vantage point, he had a clear view of the immediate events leading up to the collision which resulted in the death of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This was a horrific event which resulted in a diagnosis of post traumatic stress disorder. The Accident affected the plaintiff's moods and his ability to work. His symptoms continued for a significant period of time. They were only in partial remission more than 3 1/2 years after the Accident. It was not until the spring of 2012, almost five years after the Accident, that they were in full remission.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I have also considered </w:t>
      </w:r>
      <w:r>
        <w:rPr>
          <w:rFonts w:ascii="arial" w:eastAsia="arial" w:hAnsi="arial" w:cs="arial"/>
          <w:i/>
          <w:color w:val="000000"/>
          <w:sz w:val="20"/>
          <w:lang w:val="en-US" w:eastAsia="en-US" w:bidi="ar-SA"/>
        </w:rPr>
        <w:t>Matkin v. Gaurian</w:t>
      </w:r>
      <w:r>
        <w:rPr>
          <w:rFonts w:ascii="arial" w:eastAsia="arial" w:hAnsi="arial" w:cs="arial"/>
          <w:color w:val="000000"/>
          <w:sz w:val="20"/>
          <w:lang w:val="en-US" w:eastAsia="en-US" w:bidi="ar-SA"/>
        </w:rPr>
        <w:t xml:space="preserve">, </w:t>
      </w:r>
      <w:hyperlink r:id="rId770" w:history="1">
        <w:r>
          <w:rPr>
            <w:rFonts w:ascii="arial" w:eastAsia="arial" w:hAnsi="arial" w:cs="arial"/>
            <w:i/>
            <w:color w:val="0077CC"/>
            <w:sz w:val="20"/>
            <w:u w:val="single"/>
            <w:shd w:val="clear" w:color="auto" w:fill="FFFFFF"/>
            <w:lang w:val="en-US" w:eastAsia="en-US" w:bidi="ar-SA"/>
          </w:rPr>
          <w:t>2003 BCSC 763</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Weafer (Guardian of) v. Vancouver Coastal Health Authority</w:t>
      </w:r>
      <w:r>
        <w:rPr>
          <w:rFonts w:ascii="arial" w:eastAsia="arial" w:hAnsi="arial" w:cs="arial"/>
          <w:color w:val="000000"/>
          <w:sz w:val="20"/>
          <w:lang w:val="en-US" w:eastAsia="en-US" w:bidi="ar-SA"/>
        </w:rPr>
        <w:t xml:space="preserve">, </w:t>
      </w:r>
      <w:hyperlink r:id="rId771" w:history="1">
        <w:r>
          <w:rPr>
            <w:rFonts w:ascii="arial" w:eastAsia="arial" w:hAnsi="arial" w:cs="arial"/>
            <w:i/>
            <w:color w:val="0077CC"/>
            <w:sz w:val="20"/>
            <w:u w:val="single"/>
            <w:shd w:val="clear" w:color="auto" w:fill="FFFFFF"/>
            <w:lang w:val="en-US" w:eastAsia="en-US" w:bidi="ar-SA"/>
          </w:rPr>
          <w:t>2007 BCSC 481</w:t>
        </w:r>
      </w:hyperlink>
      <w:r>
        <w:rPr>
          <w:rFonts w:ascii="arial" w:eastAsia="arial" w:hAnsi="arial" w:cs="arial"/>
          <w:color w:val="000000"/>
          <w:sz w:val="20"/>
          <w:lang w:val="en-US" w:eastAsia="en-US" w:bidi="ar-SA"/>
        </w:rPr>
        <w:t xml:space="preserve"> where the non pecuniary damage awards were $40,000 and $55,000 respectively. I have adjusted these for inflation.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Taking into account the factors set out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363"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I award non pecuniary damages of $50,000.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VII PECUNIARY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Two economists gave evidence on behalf of the parties: Howard Teasley for the plaintiff and Mark Szekely for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Both experts were provided with certain assumptions as to the plaintiff's income after the Accident and/or made certain assumptions based on documents provided to them. Their opinions related to the plaintiff's wage loss up to trial and his potential loss of pension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 was not assisted by Mr. Teasley. During his evidence he made numerous corrections to his report of August 30, 2012. In fact, during the course of his evidence, Mr. Teasley provided a report "updated to 10 September 2012". Unfortunately, when testifying with respect to this report he identified additional errors. On the whole his evidence fell short of the requisite clarity required to assist the trier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 was, on the other hand, assisted to some extent by Mr. Szekely's evidence, which consisted of his report of September 6, 2012, and his testimony during the trial.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Past Loss of Income/Loss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plaintiff's position is that he is entitled to compensation for the two weeks he was absent from work in the aftermath of the Accident and, furthermore, the time he was undergoing treatment from the end of March 2011 to February 2012, and the four months thereafter when he was on a graduated return-to-work.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In addition, he should be compensated for the fact that he earned less income from 2007-2012 than he otherwise would have had the Accident not occurred, due to his post traumatic stress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defendant accepts a net past wage loss of approximately $2,200 for the time missed from work immediately after the Accident. This is slightly higher than the plaintiff's calculation of that loss. The defendant's calculation was based on an approximate 20% deduction from gross income. I award the plaintiff the amount he sought, being a net loss of $1,920.92.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defendant also accepts that the Accident caused the plaintiff's time off from work in 2011 and 2012, with the exception of a week's absence in January 2011, which resulted from a sore back. In his written submissions, he submits the total past wage loss is approximately "$50,000 - $58,000 in round numbers".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During oral submissions, defence counsel stated compensation for this head of damages should not be as low as the range set out in his written submission.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plaintiff points to the fact that his net income for the three months he worked in 2011 was approximately $28,700. Accordingly, his net income loss for 10 months commencing late March 2011 should alone amount to approximately $95,700.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plaintiff says that if his actual earnings equaled those of Mr. Brown, then his past loss of net income could be as high as $131,400. However, he acknowledges a difference between them, since Mr. Brown's evidence was that he had sought out opportunities to work and had no family obligations. The plaintiff, on the other hand, continued to spend some time with his children after the Accident, although not as much as in the past.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plaintiff submits that but for the Accident, he would likely have earned more than he did. The midpoint between his lost net income based on actual earned income, and lost net income based on assumed earnings equal to Mr. Brown, was approximately $113,000. He submits this amount represents an appropriate award for past loss of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Rowe v. Bobell Express Ltd.</w:t>
      </w:r>
      <w:r>
        <w:rPr>
          <w:rFonts w:ascii="arial" w:eastAsia="arial" w:hAnsi="arial" w:cs="arial"/>
          <w:color w:val="000000"/>
          <w:sz w:val="20"/>
          <w:lang w:val="en-US" w:eastAsia="en-US" w:bidi="ar-SA"/>
        </w:rPr>
        <w:t xml:space="preserve">, </w:t>
      </w:r>
      <w:hyperlink r:id="rId772" w:history="1">
        <w:r>
          <w:rPr>
            <w:rFonts w:ascii="arial" w:eastAsia="arial" w:hAnsi="arial" w:cs="arial"/>
            <w:i/>
            <w:color w:val="0077CC"/>
            <w:sz w:val="20"/>
            <w:u w:val="single"/>
            <w:shd w:val="clear" w:color="auto" w:fill="FFFFFF"/>
            <w:lang w:val="en-US" w:eastAsia="en-US" w:bidi="ar-SA"/>
          </w:rPr>
          <w:t>2005 BCCA 141</w:t>
        </w:r>
      </w:hyperlink>
      <w:r>
        <w:rPr>
          <w:rFonts w:ascii="arial" w:eastAsia="arial" w:hAnsi="arial" w:cs="arial"/>
          <w:color w:val="000000"/>
          <w:sz w:val="20"/>
          <w:lang w:val="en-US" w:eastAsia="en-US" w:bidi="ar-SA"/>
        </w:rPr>
        <w:t>, it was stated at paras. 30 and 31: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 a claim for what is often described as "past loss of income" is actually a claim for loss of earning capacity; that is, a claim for the loss of the value of the work that the injured plaintiff would have performed but was unable to perform because of the injury.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Evidence of this value may take many forms. As was said by Kenneth D. Cooper-Stephenson in </w:t>
      </w:r>
      <w:r>
        <w:rPr>
          <w:rFonts w:ascii="arial" w:eastAsia="arial" w:hAnsi="arial" w:cs="arial"/>
          <w:i/>
          <w:color w:val="000000"/>
          <w:sz w:val="20"/>
          <w:lang w:val="en-US" w:eastAsia="en-US" w:bidi="ar-SA"/>
        </w:rPr>
        <w:t>Personal Injury Damages in Canada</w:t>
      </w:r>
      <w:r>
        <w:rPr>
          <w:rFonts w:ascii="arial" w:eastAsia="arial" w:hAnsi="arial" w:cs="arial"/>
          <w:color w:val="000000"/>
          <w:sz w:val="20"/>
          <w:lang w:val="en-US" w:eastAsia="en-US" w:bidi="ar-SA"/>
        </w:rPr>
        <w:t>, 2nd ed. (Scarborough, Ont.: Carswell, 1996) at 205-06,</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essence of the task under this head of damages is to award compensation for any pecuniary loss which will result from an inability to work. "Loss of the value of work" is the substance of the claim - loss of the value of any work the plaintiff would have done but for the accident but now will be unable to do. </w:t>
      </w:r>
      <w:r>
        <w:rPr>
          <w:rFonts w:ascii="arial" w:eastAsia="arial" w:hAnsi="arial" w:cs="arial"/>
          <w:color w:val="000000"/>
          <w:sz w:val="20"/>
          <w:u w:val="single"/>
          <w:lang w:val="en-US" w:eastAsia="en-US" w:bidi="ar-SA"/>
        </w:rPr>
        <w:t>The loss framed in this way may be measured in different ways</w:t>
      </w:r>
      <w:r>
        <w:rPr>
          <w:rFonts w:ascii="arial" w:eastAsia="arial" w:hAnsi="arial" w:cs="arial"/>
          <w:color w:val="000000"/>
          <w:sz w:val="20"/>
          <w:lang w:val="en-US" w:eastAsia="en-US" w:bidi="ar-SA"/>
        </w:rPr>
        <w:t xml:space="preserve">. Sometimes it will be measured by reference to the </w:t>
      </w:r>
      <w:r>
        <w:rPr>
          <w:rFonts w:ascii="arial" w:eastAsia="arial" w:hAnsi="arial" w:cs="arial"/>
          <w:i/>
          <w:color w:val="000000"/>
          <w:sz w:val="20"/>
          <w:lang w:val="en-US" w:eastAsia="en-US" w:bidi="ar-SA"/>
        </w:rPr>
        <w:t>actual earnings</w:t>
      </w:r>
      <w:r>
        <w:rPr>
          <w:rFonts w:ascii="arial" w:eastAsia="arial" w:hAnsi="arial" w:cs="arial"/>
          <w:color w:val="000000"/>
          <w:sz w:val="20"/>
          <w:lang w:val="en-US" w:eastAsia="en-US" w:bidi="ar-SA"/>
        </w:rPr>
        <w:t xml:space="preserve"> the plaintiff would have received; sometimes by a </w:t>
      </w:r>
      <w:r>
        <w:rPr>
          <w:rFonts w:ascii="arial" w:eastAsia="arial" w:hAnsi="arial" w:cs="arial"/>
          <w:i/>
          <w:color w:val="000000"/>
          <w:sz w:val="20"/>
          <w:lang w:val="en-US" w:eastAsia="en-US" w:bidi="ar-SA"/>
        </w:rPr>
        <w:t>replacement cost evaluation of tasks</w:t>
      </w:r>
      <w:r>
        <w:rPr>
          <w:rFonts w:ascii="arial" w:eastAsia="arial" w:hAnsi="arial" w:cs="arial"/>
          <w:color w:val="000000"/>
          <w:sz w:val="20"/>
          <w:lang w:val="en-US" w:eastAsia="en-US" w:bidi="ar-SA"/>
        </w:rPr>
        <w:t xml:space="preserve"> which the plaintiff will now be unable to perform; sometimes by an assessment of reduced </w:t>
      </w:r>
      <w:r>
        <w:rPr>
          <w:rFonts w:ascii="arial" w:eastAsia="arial" w:hAnsi="arial" w:cs="arial"/>
          <w:i/>
          <w:color w:val="000000"/>
          <w:sz w:val="20"/>
          <w:lang w:val="en-US" w:eastAsia="en-US" w:bidi="ar-SA"/>
        </w:rPr>
        <w:t>company profits</w:t>
      </w:r>
      <w:r>
        <w:rPr>
          <w:rFonts w:ascii="arial" w:eastAsia="arial" w:hAnsi="arial" w:cs="arial"/>
          <w:color w:val="000000"/>
          <w:sz w:val="20"/>
          <w:lang w:val="en-US" w:eastAsia="en-US" w:bidi="ar-SA"/>
        </w:rPr>
        <w:t xml:space="preserve">; and sometimes by the amount of secondary income lost, such as </w:t>
      </w:r>
      <w:r>
        <w:rPr>
          <w:rFonts w:ascii="arial" w:eastAsia="arial" w:hAnsi="arial" w:cs="arial"/>
          <w:i/>
          <w:color w:val="000000"/>
          <w:sz w:val="20"/>
          <w:lang w:val="en-US" w:eastAsia="en-US" w:bidi="ar-SA"/>
        </w:rPr>
        <w:t>shared family income</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[Underlining added in </w:t>
      </w:r>
      <w:r>
        <w:rPr>
          <w:rFonts w:ascii="arial" w:eastAsia="arial" w:hAnsi="arial" w:cs="arial"/>
          <w:i/>
          <w:color w:val="000000"/>
          <w:sz w:val="20"/>
          <w:lang w:val="en-US" w:eastAsia="en-US" w:bidi="ar-SA"/>
        </w:rPr>
        <w:t>Rowe</w:t>
      </w:r>
      <w:r>
        <w:rPr>
          <w:rFonts w:ascii="arial" w:eastAsia="arial" w:hAnsi="arial" w:cs="arial"/>
          <w:color w:val="000000"/>
          <w:sz w:val="20"/>
          <w:lang w:val="en-US" w:eastAsia="en-US" w:bidi="ar-SA"/>
        </w:rPr>
        <w:t>; italics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One factor which supports the plaintiff's position is his gross employment income for the first three months of 2011. It amounted to approximately $10,700 per month or $128,000 for that calendar year. This suggests that the plaintiff's income increased as his symptoms decreased.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On the other hand, it was the plaintiff's evidence that he could not specifically point to any particular occasions when he booked "sick" or "unfit" or did not return calls for work as a result of the psychological effects of the Accident. There is also the fact that in 2009, when the effects of the Accident were presumably more significant than when he was assessed by Dr. Krywaniuk and Dr. Steinberg in late 2010 and early 2011, the plaintiff claimed only 12 sick/unfit days. This was well within the norm of other locomotive engineers.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Table B of Mr. Szekely's report provides a calculation of after-tax loss of employment income based on the assumption of 100% of pensionable earnings as opposed to what was the case prior to the Accident, being 89.8%. This results in an after-tax loss of approximately $73,400. This scenario, for the reasons I have outlined, assumes lower absent accident earnings than I consider would have been the case had the Accident not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Taking these various factors into account, I have concluded an appropriate award for this head of damages is the approximate midpoint between the $60,000 initially submitted by the defendant as reasonable and the $113,000 submitted by the plaintiff, being $85,000.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Loss of Pension Income</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A locomotive engineer employed by CP Rail is entitled to a pension based on "pensionable earnings". Pensionable earnings include regular salary, overtime pay and "constructed earnings". Constructed earnings refer to the earnings an employee would have received if he had worked and contributed during any period of "pensionable leave". Pensionable leave includes sick leave. Sick time counts towards constructed earnings as does taking time off work for being "unfit". Time taken off for personal reasons does not count towards constructed earnings. A pension is based on both actual and constructed earnings.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Constructed earnings are calculated by increasing the pensionable earnings from the previous year by the applicable negotiated salary increase and then dividing that amount by 365 in order to get a daily 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In addition, the higher of the average earnings of either the last 60 months before retirement or the best five consecutive calendar years is used to calculate the amount of pension.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In May 2012 the plaintiff was advised by CP Rail's Pension Services that he had a shortage of $9,147.43 in pension contributions. In order to be credited with the service and corresponding pension benefit, he was required to pay this amount in full prior to his retirement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Upon his retirement, the plaintiff received a monthly pension of $5,166. There was evidence to the effect that the average wage for two locomotive engineers just senior to the plaintiff and two immediately junior engineers was $121,547.19. Using this income, a locomotive engineer with 34 years and 11 months service who had reached the age of 55 years would receive an estimated monthly pension of $6,513 for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Mr. Szekely's lifetime pension multiplier per $1,000 loss per year was $12,449. Mr. Teasley's was approximately $12,900.</w:t>
      </w:r>
      <w:r>
        <w:rPr>
          <w:rFonts w:ascii="arial" w:eastAsia="arial" w:hAnsi="arial" w:cs="arial"/>
          <w:sz w:val="20"/>
          <w:lang w:val="en-US" w:eastAsia="en-US" w:bidi="ar-SA"/>
        </w:rPr>
        <w:cr/>
      </w:r>
    </w:p>
    <w:p>
      <w:pPr>
        <w:numPr>
          <w:numId w:val="3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Plaintiff's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plaintiff's position is that his pensionable earnings would have been higher but for the effects of the Accident. That is because the actual income component would have been higher and the constructive earnings portion lower.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The plaintiff also submits that he had to contribute $9,147.43 in order to maximize the contributed income portion of his pension. Without that contribution, he would not have benefited from certain constructed earnings and the amount of his monthly pension would have been $4,345 as opposed to $5,155. Since he had to contribute for pensionable leave to be included in pensionable earnings, the "insurance exception to the rule against double recovery applies to the amount of the plaintiff's pension based on his pensionable earnings above his pension amount based on his actual earnings". He relies, amongst other authorities, on </w:t>
      </w:r>
      <w:r>
        <w:rPr>
          <w:rFonts w:ascii="arial" w:eastAsia="arial" w:hAnsi="arial" w:cs="arial"/>
          <w:i/>
          <w:color w:val="000000"/>
          <w:sz w:val="20"/>
          <w:lang w:val="en-US" w:eastAsia="en-US" w:bidi="ar-SA"/>
        </w:rPr>
        <w:t>Druet v. Sandman Hotels, Inns &amp; Suites Limited</w:t>
      </w:r>
      <w:r>
        <w:rPr>
          <w:rFonts w:ascii="arial" w:eastAsia="arial" w:hAnsi="arial" w:cs="arial"/>
          <w:color w:val="000000"/>
          <w:sz w:val="20"/>
          <w:lang w:val="en-US" w:eastAsia="en-US" w:bidi="ar-SA"/>
        </w:rPr>
        <w:t xml:space="preserve">, </w:t>
      </w:r>
      <w:hyperlink r:id="rId773" w:history="1">
        <w:r>
          <w:rPr>
            <w:rFonts w:ascii="arial" w:eastAsia="arial" w:hAnsi="arial" w:cs="arial"/>
            <w:i/>
            <w:color w:val="0077CC"/>
            <w:sz w:val="20"/>
            <w:u w:val="single"/>
            <w:shd w:val="clear" w:color="auto" w:fill="FFFFFF"/>
            <w:lang w:val="en-US" w:eastAsia="en-US" w:bidi="ar-SA"/>
          </w:rPr>
          <w:t>2011 BCSC 232</w:t>
        </w:r>
      </w:hyperlink>
      <w:r>
        <w:rPr>
          <w:rFonts w:ascii="arial" w:eastAsia="arial" w:hAnsi="arial" w:cs="arial"/>
          <w:color w:val="000000"/>
          <w:sz w:val="20"/>
          <w:lang w:val="en-US" w:eastAsia="en-US" w:bidi="ar-SA"/>
        </w:rPr>
        <w:t xml:space="preserve">, which applies the "collateral benefits" principles set out in </w:t>
      </w:r>
      <w:r>
        <w:rPr>
          <w:rFonts w:ascii="arial" w:eastAsia="arial" w:hAnsi="arial" w:cs="arial"/>
          <w:i/>
          <w:color w:val="000000"/>
          <w:sz w:val="20"/>
          <w:lang w:val="en-US" w:eastAsia="en-US" w:bidi="ar-SA"/>
        </w:rPr>
        <w:t>Cunningham v. Wheeler</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The plaintiff's position is to the effect that if his actual pension is used as a basis of the calculation for his loss then, since it includes pensionable earnings based on both actual and constructive earnings, then he is "forced to share the benefits of his contributions ... with the tortfeasor": see </w:t>
      </w:r>
      <w:r>
        <w:rPr>
          <w:rFonts w:ascii="arial" w:eastAsia="arial" w:hAnsi="arial" w:cs="arial"/>
          <w:i/>
          <w:color w:val="000000"/>
          <w:sz w:val="20"/>
          <w:lang w:val="en-US" w:eastAsia="en-US" w:bidi="ar-SA"/>
        </w:rPr>
        <w:t>Kean v. Porter</w:t>
      </w:r>
      <w:r>
        <w:rPr>
          <w:rFonts w:ascii="arial" w:eastAsia="arial" w:hAnsi="arial" w:cs="arial"/>
          <w:color w:val="000000"/>
          <w:sz w:val="20"/>
          <w:lang w:val="en-US" w:eastAsia="en-US" w:bidi="ar-SA"/>
        </w:rPr>
        <w:t xml:space="preserve">, </w:t>
      </w:r>
      <w:hyperlink r:id="rId774" w:history="1">
        <w:r>
          <w:rPr>
            <w:rFonts w:ascii="arial" w:eastAsia="arial" w:hAnsi="arial" w:cs="arial"/>
            <w:i/>
            <w:color w:val="0077CC"/>
            <w:sz w:val="20"/>
            <w:u w:val="single"/>
            <w:shd w:val="clear" w:color="auto" w:fill="FFFFFF"/>
            <w:lang w:val="en-US" w:eastAsia="en-US" w:bidi="ar-SA"/>
          </w:rPr>
          <w:t>2008 BCSC 1594</w:t>
        </w:r>
      </w:hyperlink>
      <w:r>
        <w:rPr>
          <w:rFonts w:ascii="arial" w:eastAsia="arial" w:hAnsi="arial" w:cs="arial"/>
          <w:color w:val="000000"/>
          <w:sz w:val="20"/>
          <w:lang w:val="en-US" w:eastAsia="en-US" w:bidi="ar-SA"/>
        </w:rPr>
        <w:t xml:space="preserve"> at paras. 108 to 111.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plaintiff submits that if his earnings had been $20,000 higher per year after the Accident, then the current value of the loss to his pension compared to the pension amount he actually receives is approximately $170,000. If his pension based on past wage loss of approximately $114,700 is compared to his pension based on actual earnings, without including pensionable earnings above actual earnings (that is constructed earnings), then the current value of the lost pension would be approximately $247,000. This amount is calculated by using a notional monthly pension of $4,345, as opposed to the actual pension of $5,155.</w:t>
      </w:r>
      <w:r>
        <w:rPr>
          <w:rFonts w:ascii="arial" w:eastAsia="arial" w:hAnsi="arial" w:cs="arial"/>
          <w:sz w:val="20"/>
          <w:lang w:val="en-US" w:eastAsia="en-US" w:bidi="ar-SA"/>
        </w:rPr>
        <w:cr/>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Defendant's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The defendant's position is that the plaintiff's approach reflects a misapplication of </w:t>
      </w:r>
      <w:r>
        <w:rPr>
          <w:rFonts w:ascii="arial" w:eastAsia="arial" w:hAnsi="arial" w:cs="arial"/>
          <w:i/>
          <w:color w:val="000000"/>
          <w:sz w:val="20"/>
          <w:lang w:val="en-US" w:eastAsia="en-US" w:bidi="ar-SA"/>
        </w:rPr>
        <w:t>Cunningham v. Wheeler</w:t>
      </w:r>
      <w:r>
        <w:rPr>
          <w:rFonts w:ascii="arial" w:eastAsia="arial" w:hAnsi="arial" w:cs="arial"/>
          <w:color w:val="000000"/>
          <w:sz w:val="20"/>
          <w:lang w:val="en-US" w:eastAsia="en-US" w:bidi="ar-SA"/>
        </w:rPr>
        <w:t>, "which considered the private insurance exception and extended it to apply to disability payments made under the terms of a collective agreement". Payment by the plaintiff of the sum of $9,147.43 in order to benefit from constructive earnings did not render that portion of his pensionable amount a "collateral benefit" which should not accrue to the tortfeasor's benefit. Any loss of pension should be based on the amount actually received as opposed to the notional amount of $4,345, which does not include constructed earnings.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defendant also submits that the value of the plaintiff's pension was not affected by the Accident. That is because, to the extent the plaintiff did not work due to his being "unfit" or "sick", the amount of the lost shifts was included in his constructed earnings and thus in his pensionable earnings. Accordingly, the plaintiff has not established any loss of pension income.</w:t>
      </w:r>
      <w:r>
        <w:rPr>
          <w:rFonts w:ascii="arial" w:eastAsia="arial" w:hAnsi="arial" w:cs="arial"/>
          <w:sz w:val="20"/>
          <w:lang w:val="en-US" w:eastAsia="en-US" w:bidi="ar-SA"/>
        </w:rPr>
        <w:cr/>
      </w:r>
    </w:p>
    <w:p>
      <w:pPr>
        <w:numPr>
          <w:numId w:val="3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Khairati v. Prasad</w:t>
      </w:r>
      <w:r>
        <w:rPr>
          <w:rFonts w:ascii="arial" w:eastAsia="arial" w:hAnsi="arial" w:cs="arial"/>
          <w:color w:val="000000"/>
          <w:sz w:val="20"/>
          <w:lang w:val="en-US" w:eastAsia="en-US" w:bidi="ar-SA"/>
        </w:rPr>
        <w:t xml:space="preserve">, </w:t>
      </w:r>
      <w:hyperlink r:id="rId775" w:history="1">
        <w:r>
          <w:rPr>
            <w:rFonts w:ascii="arial" w:eastAsia="arial" w:hAnsi="arial" w:cs="arial"/>
            <w:i/>
            <w:color w:val="0077CC"/>
            <w:sz w:val="20"/>
            <w:u w:val="single"/>
            <w:shd w:val="clear" w:color="auto" w:fill="FFFFFF"/>
            <w:lang w:val="en-US" w:eastAsia="en-US" w:bidi="ar-SA"/>
          </w:rPr>
          <w:t>2002 BCSC 360</w:t>
        </w:r>
      </w:hyperlink>
      <w:r>
        <w:rPr>
          <w:rFonts w:ascii="arial" w:eastAsia="arial" w:hAnsi="arial" w:cs="arial"/>
          <w:color w:val="000000"/>
          <w:sz w:val="20"/>
          <w:lang w:val="en-US" w:eastAsia="en-US" w:bidi="ar-SA"/>
        </w:rPr>
        <w:t>, Coultas J. provided the following summary of the principles which apply with respect to the non-deductibility of collateral benefits: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[307] The issue was revisited by the Supreme Court of Canada four years later in </w:t>
      </w:r>
      <w:r>
        <w:rPr>
          <w:rFonts w:ascii="arial" w:eastAsia="arial" w:hAnsi="arial" w:cs="arial"/>
          <w:i/>
          <w:color w:val="000000"/>
          <w:sz w:val="20"/>
          <w:lang w:val="en-US" w:eastAsia="en-US" w:bidi="ar-SA"/>
        </w:rPr>
        <w:t>Cunningham v. Wheeler</w:t>
      </w:r>
      <w:r>
        <w:rPr>
          <w:rFonts w:ascii="arial" w:eastAsia="arial" w:hAnsi="arial" w:cs="arial"/>
          <w:color w:val="000000"/>
          <w:sz w:val="20"/>
          <w:lang w:val="en-US" w:eastAsia="en-US" w:bidi="ar-SA"/>
        </w:rPr>
        <w:t xml:space="preserve">, </w:t>
      </w:r>
      <w:hyperlink r:id="rId766" w:history="1">
        <w:r>
          <w:rPr>
            <w:rFonts w:ascii="arial" w:eastAsia="arial" w:hAnsi="arial" w:cs="arial"/>
            <w:i/>
            <w:color w:val="0077CC"/>
            <w:sz w:val="20"/>
            <w:u w:val="single"/>
            <w:shd w:val="clear" w:color="auto" w:fill="FFFFFF"/>
            <w:lang w:val="en-US" w:eastAsia="en-US" w:bidi="ar-SA"/>
          </w:rPr>
          <w:t>[1994] 1 S.C.R. 359</w:t>
        </w:r>
      </w:hyperlink>
      <w:r>
        <w:rPr>
          <w:rFonts w:ascii="arial" w:eastAsia="arial" w:hAnsi="arial" w:cs="arial"/>
          <w:color w:val="000000"/>
          <w:sz w:val="20"/>
          <w:lang w:val="en-US" w:eastAsia="en-US" w:bidi="ar-SA"/>
        </w:rPr>
        <w:t xml:space="preserve">. Before the Supreme Court of Canada were three appeals from the British Columbia Court of Appeal in which that Court had followed </w:t>
      </w:r>
      <w:r>
        <w:rPr>
          <w:rFonts w:ascii="arial" w:eastAsia="arial" w:hAnsi="arial" w:cs="arial"/>
          <w:i/>
          <w:color w:val="000000"/>
          <w:sz w:val="20"/>
          <w:lang w:val="en-US" w:eastAsia="en-US" w:bidi="ar-SA"/>
        </w:rPr>
        <w:t>Ratych</w:t>
      </w:r>
      <w:r>
        <w:rPr>
          <w:rFonts w:ascii="arial" w:eastAsia="arial" w:hAnsi="arial" w:cs="arial"/>
          <w:color w:val="000000"/>
          <w:sz w:val="20"/>
          <w:lang w:val="en-US" w:eastAsia="en-US" w:bidi="ar-SA"/>
        </w:rPr>
        <w:t xml:space="preserve">, </w:t>
      </w:r>
      <w:hyperlink r:id="rId776" w:history="1">
        <w:r>
          <w:rPr>
            <w:rFonts w:ascii="arial" w:eastAsia="arial" w:hAnsi="arial" w:cs="arial"/>
            <w:i/>
            <w:color w:val="0077CC"/>
            <w:sz w:val="20"/>
            <w:u w:val="single"/>
            <w:shd w:val="clear" w:color="auto" w:fill="FFFFFF"/>
            <w:lang w:val="en-US" w:eastAsia="en-US" w:bidi="ar-SA"/>
          </w:rPr>
          <w:t>[1990] 1 S.C.R. 940</w:t>
        </w:r>
      </w:hyperlink>
      <w:r>
        <w:rPr>
          <w:rFonts w:ascii="arial" w:eastAsia="arial" w:hAnsi="arial" w:cs="arial"/>
          <w:color w:val="000000"/>
          <w:sz w:val="20"/>
          <w:lang w:val="en-US" w:eastAsia="en-US" w:bidi="ar-SA"/>
        </w:rPr>
        <w:t xml:space="preserve">, and deducted certain disability benefits paid under a collective bargaining agreement from the plaintiff's damage awards. Cory J. writing for the majority, limited </w:t>
      </w:r>
      <w:r>
        <w:rPr>
          <w:rFonts w:ascii="arial" w:eastAsia="arial" w:hAnsi="arial" w:cs="arial"/>
          <w:i/>
          <w:color w:val="000000"/>
          <w:sz w:val="20"/>
          <w:lang w:val="en-US" w:eastAsia="en-US" w:bidi="ar-SA"/>
        </w:rPr>
        <w:t>Ratych</w:t>
      </w:r>
      <w:r>
        <w:rPr>
          <w:rFonts w:ascii="arial" w:eastAsia="arial" w:hAnsi="arial" w:cs="arial"/>
          <w:color w:val="000000"/>
          <w:sz w:val="20"/>
          <w:lang w:val="en-US" w:eastAsia="en-US" w:bidi="ar-SA"/>
        </w:rPr>
        <w:t xml:space="preserve"> to placing an evidentiary burden upon the plaintiffs to establish they had paid for the provision of disability benefits. In all three appeals, Cory J. found evidence of payment which moved them out of the realm of </w:t>
      </w:r>
      <w:r>
        <w:rPr>
          <w:rFonts w:ascii="arial" w:eastAsia="arial" w:hAnsi="arial" w:cs="arial"/>
          <w:i/>
          <w:color w:val="000000"/>
          <w:sz w:val="20"/>
          <w:lang w:val="en-US" w:eastAsia="en-US" w:bidi="ar-SA"/>
        </w:rPr>
        <w:t>Ratych</w:t>
      </w:r>
      <w:r>
        <w:rPr>
          <w:rFonts w:ascii="arial" w:eastAsia="arial" w:hAnsi="arial" w:cs="arial"/>
          <w:color w:val="000000"/>
          <w:sz w:val="20"/>
          <w:lang w:val="en-US" w:eastAsia="en-US" w:bidi="ar-SA"/>
        </w:rPr>
        <w:t xml:space="preserve"> and placed them within an exception from deduction for private policies of insurance first recognized in </w:t>
      </w:r>
      <w:r>
        <w:rPr>
          <w:rFonts w:ascii="arial" w:eastAsia="arial" w:hAnsi="arial" w:cs="arial"/>
          <w:i/>
          <w:color w:val="000000"/>
          <w:sz w:val="20"/>
          <w:lang w:val="en-US" w:eastAsia="en-US" w:bidi="ar-SA"/>
        </w:rPr>
        <w:t>Bradburn v. Great Western Railway Co.</w:t>
      </w:r>
      <w:r>
        <w:rPr>
          <w:rFonts w:ascii="arial" w:eastAsia="arial" w:hAnsi="arial" w:cs="arial"/>
          <w:color w:val="000000"/>
          <w:sz w:val="20"/>
          <w:lang w:val="en-US" w:eastAsia="en-US" w:bidi="ar-SA"/>
        </w:rPr>
        <w:t xml:space="preserve"> (1874), [1874-80] All E.R. Rep. 195 (Ex. Div.).</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[308] Since </w:t>
      </w:r>
      <w:r>
        <w:rPr>
          <w:rFonts w:ascii="arial" w:eastAsia="arial" w:hAnsi="arial" w:cs="arial"/>
          <w:i/>
          <w:color w:val="000000"/>
          <w:sz w:val="20"/>
          <w:lang w:val="en-US" w:eastAsia="en-US" w:bidi="ar-SA"/>
        </w:rPr>
        <w:t>Ratych</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Cunningham</w:t>
      </w:r>
      <w:r>
        <w:rPr>
          <w:rFonts w:ascii="arial" w:eastAsia="arial" w:hAnsi="arial" w:cs="arial"/>
          <w:color w:val="000000"/>
          <w:sz w:val="20"/>
          <w:lang w:val="en-US" w:eastAsia="en-US" w:bidi="ar-SA"/>
        </w:rPr>
        <w:t>, I find the law in terms of deductibility of collateral benefits can be summarized:</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McLachlin J.'s rule in </w:t>
      </w:r>
      <w:r>
        <w:rPr>
          <w:rFonts w:ascii="arial" w:eastAsia="arial" w:hAnsi="arial" w:cs="arial"/>
          <w:i/>
          <w:color w:val="000000"/>
          <w:sz w:val="20"/>
          <w:lang w:val="en-US" w:eastAsia="en-US" w:bidi="ar-SA"/>
        </w:rPr>
        <w:t>Ratych</w:t>
      </w:r>
      <w:r>
        <w:rPr>
          <w:rFonts w:ascii="arial" w:eastAsia="arial" w:hAnsi="arial" w:cs="arial"/>
          <w:color w:val="000000"/>
          <w:sz w:val="20"/>
          <w:lang w:val="en-US" w:eastAsia="en-US" w:bidi="ar-SA"/>
        </w:rPr>
        <w:t xml:space="preserve"> states that when a plaintiff receives a wage benefit under an agreement from which no direct cost to the plaintiff can be traced the benefit should be deducted, unless the court is satisfied that the employer or fund which paid the wage benefit is entitled to be reimbursed for it on the principle of subrogation.</w:t>
      </w:r>
    </w:p>
    <w:p>
      <w:pPr>
        <w:numPr>
          <w:numId w:val="3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When a plaintiff receives a wage benefit at an actual cost then the benefit should be deducted minus the actual cost (see </w:t>
      </w:r>
      <w:r>
        <w:rPr>
          <w:rFonts w:ascii="arial" w:eastAsia="arial" w:hAnsi="arial" w:cs="arial"/>
          <w:i/>
          <w:color w:val="000000"/>
          <w:sz w:val="20"/>
          <w:lang w:val="en-US" w:eastAsia="en-US" w:bidi="ar-SA"/>
        </w:rPr>
        <w:t>Ratych</w:t>
      </w:r>
      <w:r>
        <w:rPr>
          <w:rFonts w:ascii="arial" w:eastAsia="arial" w:hAnsi="arial" w:cs="arial"/>
          <w:color w:val="000000"/>
          <w:sz w:val="20"/>
          <w:lang w:val="en-US" w:eastAsia="en-US" w:bidi="ar-SA"/>
        </w:rPr>
        <w:t xml:space="preserve"> p. 972). For example, if a plaintiff had to give up sick days in order to receive a benefit then the plaintiff would be compensated for the lost sick days.</w:t>
      </w:r>
    </w:p>
    <w:p>
      <w:pPr>
        <w:numPr>
          <w:numId w:val="3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a plaintiff receives collateral benefits from an insurance policy in which direct costs can be traced to that plaintiff then such benefits are not deductible. This is the "insurance exception".</w:t>
      </w:r>
    </w:p>
    <w:p>
      <w:pPr>
        <w:numPr>
          <w:numId w:val="3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a plaintiff receives collateral benefits from a charitable source this is not deductible. This is the "charity exception".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Burgess v. Lau</w:t>
      </w:r>
      <w:r>
        <w:rPr>
          <w:rFonts w:ascii="arial" w:eastAsia="arial" w:hAnsi="arial" w:cs="arial"/>
          <w:color w:val="000000"/>
          <w:sz w:val="20"/>
          <w:lang w:val="en-US" w:eastAsia="en-US" w:bidi="ar-SA"/>
        </w:rPr>
        <w:t xml:space="preserve">, </w:t>
      </w:r>
      <w:hyperlink r:id="rId777" w:history="1">
        <w:r>
          <w:rPr>
            <w:rFonts w:ascii="arial" w:eastAsia="arial" w:hAnsi="arial" w:cs="arial"/>
            <w:i/>
            <w:color w:val="0077CC"/>
            <w:sz w:val="20"/>
            <w:u w:val="single"/>
            <w:shd w:val="clear" w:color="auto" w:fill="FFFFFF"/>
            <w:lang w:val="en-US" w:eastAsia="en-US" w:bidi="ar-SA"/>
          </w:rPr>
          <w:t>[1996] B.C.J. No. 211</w:t>
        </w:r>
      </w:hyperlink>
      <w:r>
        <w:rPr>
          <w:rFonts w:ascii="arial" w:eastAsia="arial" w:hAnsi="arial" w:cs="arial"/>
          <w:color w:val="000000"/>
          <w:sz w:val="20"/>
          <w:lang w:val="en-US" w:eastAsia="en-US" w:bidi="ar-SA"/>
        </w:rPr>
        <w:t>, 1996 CarswellBC 227 (S.C.), involved a police officer who was injured in a motor vehicle accident. Leggatt J. considered a submission which has similarities to the one being advanced by the plaintiff in this case: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[18] In that case the Supreme Court of Canada also agreed that the private insurance exception to the rule against double recovery was an understood and accepted rule in Canadian law. However, this exception seems to have been restricted to private insurance policies only. In the case of private insurance the insured has the forethought to take out and pay for a policy which will provide him with income on the happening of an unforeseeable event i.e., an accident. The purpose of taking out such an insurance policy may well be that the insured will be better off in the event of an accident. This expectation is that at the very least he will receive the insurance money when an accident occurs. It would be unfair to allow the tortfeasor to benefit from the insured's foresight by deducting the amount of the insurance policy from the wage loss claim and it would also be unjust not to compensate a plaintiff for taking precautions to minimize the loss flowing from a negligent act. In </w:t>
      </w:r>
      <w:r>
        <w:rPr>
          <w:rFonts w:ascii="arial" w:eastAsia="arial" w:hAnsi="arial" w:cs="arial"/>
          <w:i/>
          <w:color w:val="000000"/>
          <w:sz w:val="20"/>
          <w:lang w:val="en-US" w:eastAsia="en-US" w:bidi="ar-SA"/>
        </w:rPr>
        <w:t>Cunningham</w:t>
      </w:r>
      <w:r>
        <w:rPr>
          <w:rFonts w:ascii="arial" w:eastAsia="arial" w:hAnsi="arial" w:cs="arial"/>
          <w:color w:val="000000"/>
          <w:sz w:val="20"/>
          <w:lang w:val="en-US" w:eastAsia="en-US" w:bidi="ar-SA"/>
        </w:rPr>
        <w:t xml:space="preserve"> (supra) Cory J. reviewed the rationale for allowing the exception to the rule for allowing recovery, pp. 400-401:</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think the exemption for the private policy of insurance should be maintained. It has a long history. It is understood and accepted. There has never been any confusion as to when it should be applied. More importantly it is based on fairness. All who insure themselves for disability benefits are displaying wisdom and forethought in making provision for the continuation of some income in case of disabling injury or illness. The acquisition of the policy has social benefits for those insured, their dependants and indeed their community. It represents forbearance and self-denial on the on the part of the purchaser of the policy to provide for contingencies. The individual may never make a claim on the policy and the premiums paid may be a total loss. Yet the policy provides security.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Recovery in tort is dependent on the plaintiff establishing injury and loss resulting from an act of misfeasance or nonfeasance on the part of the defendant, the tortfeasor. I can see no reason why a tortfeasor should benefit from the sacrifices made by a plaintiff in obtaining an insurance policy to provide for lost wages. Tort recovery is based on some wrongdoing. It makes little sense for a wrongdoer to benefit from the private act of forethought and sacrifice to a plaintiff.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[19] In the case of a pension, the pension holder invests money to be paid to him upon the happening of a certain event, namely, when he reaches a certain age and retires from his job. The purpose in contributing to a pension then is so the pension holder will be receiving income when he is no longer receiving wages from work. The expectation is not to be better off in the case of an accident but to have income when he retires or at a certain age and is no longer earning a wage from his employer. The plaintiff should be put in the position he would have been if he were able to work and be retired at the same time. Accordingly, the plaintiff does not have the same type of wisdom which Cory J. refers to in his judgement, that is, in paying into his pension he was not "making provision for the continuation of some income in the case of a disabling injury or illness", he was planning his retirement from employment. The plaintiff then should not receive an extra unplanned benefit from the pension. This is not a case where the defendant will benefit from the forethought of the plaintiff to prepare against an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[20] I have accordingly come to the conclusion that in assessing the future loss to the plaintiff consideration must be given to potential loss of pension benefits due to early retirement and the potential of loss of opportunity for employment as a result of the injury, but only the loss which would accrue to earnings over and above the amount which might have been earned from his pension.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The issue in </w:t>
      </w:r>
      <w:r>
        <w:rPr>
          <w:rFonts w:ascii="arial" w:eastAsia="arial" w:hAnsi="arial" w:cs="arial"/>
          <w:i/>
          <w:color w:val="000000"/>
          <w:sz w:val="20"/>
          <w:lang w:val="en-US" w:eastAsia="en-US" w:bidi="ar-SA"/>
        </w:rPr>
        <w:t>Burgess</w:t>
      </w:r>
      <w:r>
        <w:rPr>
          <w:rFonts w:ascii="arial" w:eastAsia="arial" w:hAnsi="arial" w:cs="arial"/>
          <w:color w:val="000000"/>
          <w:sz w:val="20"/>
          <w:lang w:val="en-US" w:eastAsia="en-US" w:bidi="ar-SA"/>
        </w:rPr>
        <w:t xml:space="preserve"> was whether pension benefits could be deducted by the defendant tortfeasor from the plaintiff's claim for damages for what was termed "future wage loss". In this case the plaintiff's submission pertains to the method whereby pension benefits are calculated.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In my view, </w:t>
      </w:r>
      <w:r>
        <w:rPr>
          <w:rFonts w:ascii="arial" w:eastAsia="arial" w:hAnsi="arial" w:cs="arial"/>
          <w:i/>
          <w:color w:val="000000"/>
          <w:sz w:val="20"/>
          <w:lang w:val="en-US" w:eastAsia="en-US" w:bidi="ar-SA"/>
        </w:rPr>
        <w:t>Cunningham v. Wheeler</w:t>
      </w:r>
      <w:r>
        <w:rPr>
          <w:rFonts w:ascii="arial" w:eastAsia="arial" w:hAnsi="arial" w:cs="arial"/>
          <w:color w:val="000000"/>
          <w:sz w:val="20"/>
          <w:lang w:val="en-US" w:eastAsia="en-US" w:bidi="ar-SA"/>
        </w:rPr>
        <w:t xml:space="preserve"> does not apply. That is because this case does not involve the type of wage loss or disability benefits paid to a plaintiff under a plan of insurance. Rather, it involves the operation of CP Rail's pension plan and the calculation of benefits thereunder. In calculating the benefits, the retiree receives credit for monies actually earned together with notional credits for certain types of leave including being sick or unfit to work. There is no element of insurance. There is also no link or nexus between the pension amount paid and the alleged losses flowing from the injuries sustained in the Accident. The plaintiff's pension is not a "benefit" in the sense that term is used in </w:t>
      </w:r>
      <w:r>
        <w:rPr>
          <w:rFonts w:ascii="arial" w:eastAsia="arial" w:hAnsi="arial" w:cs="arial"/>
          <w:i/>
          <w:color w:val="000000"/>
          <w:sz w:val="20"/>
          <w:lang w:val="en-US" w:eastAsia="en-US" w:bidi="ar-SA"/>
        </w:rPr>
        <w:t>Cunningham v. Wheeler</w:t>
      </w:r>
      <w:r>
        <w:rPr>
          <w:rFonts w:ascii="arial" w:eastAsia="arial" w:hAnsi="arial" w:cs="arial"/>
          <w:color w:val="000000"/>
          <w:sz w:val="20"/>
          <w:lang w:val="en-US" w:eastAsia="en-US" w:bidi="ar-SA"/>
        </w:rPr>
        <w:t xml:space="preserve"> and its companion authorities.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issue remains, however, whether the plaintiff's monthly pension of $5,166 is less than it otherwise would have been but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average monthly pension for locomotive engineers who are in a similar seniority position to the plaintiff at the time of their retirement is $6,513 for life. This is based on average annual pensionable earnings of approximately $121,500. The plaintiff's monthly pension is $5,166, a difference of $1,347 or $16,164 per year. Applying Mr. Szekely's pension loss multiplier of $12,449 per $1,000 results in a potential loss of $201,000.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It is for the plaintiff to establish a real and substantial possibility of a future economic loss. In response to the plaintiff's claim for past loss of income, the defendant conceded that the effects of the Accident did result in the plaintiff's income being reduced to some degree. The plaintiff's actual earnings prior to retirement form one component of the calculation of his pension amount. Accordingly, I do not accept the defendant's submission that there can be no damages for loss of pension.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 plaintiff has established, in my view, a real and substantial possibility that he has suffered a future pecuniary loss as a result of the injuries sustained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Damages in relation to future events are to be "assessed" rather than "calculated". In determining what I consider to be an appropriate award under this head of damages, I have considered the following:</w:t>
      </w:r>
      <w:r>
        <w:rPr>
          <w:rFonts w:ascii="arial" w:eastAsia="arial" w:hAnsi="arial" w:cs="arial"/>
          <w:sz w:val="20"/>
          <w:lang w:val="en-US" w:eastAsia="en-US" w:bidi="ar-SA"/>
        </w:rPr>
        <w:cr/>
      </w:r>
    </w:p>
    <w:p>
      <w:pPr>
        <w:numPr>
          <w:numId w:val="3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Mr. Brown's earnings were above those of the "average" CP Rail locomotive engineer in a position similar to the plaintiff and who would have received a pension of $6,166 per month;</w:t>
      </w:r>
    </w:p>
    <w:p>
      <w:pPr>
        <w:numPr>
          <w:numId w:val="3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Mr. Weatherbee's income for 2011 would have placed him in the below average category had that been his average income used to calculate his pension. 2011 was but one year to be included. There was no evidence indicating his income for either his best 60 months or five consecutive years prior to retirement. There was also no evidence as to what his anticipated monthly pension would be;</w:t>
      </w:r>
    </w:p>
    <w:p>
      <w:pPr>
        <w:numPr>
          <w:numId w:val="3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was not, from an earnings perspective, an "average" locomotive engineer for the applicable timeframe prior to his retirement. He was also not an average locomotive engineer from an earnings perspective prior to the Accident;</w:t>
      </w:r>
    </w:p>
    <w:p>
      <w:pPr>
        <w:numPr>
          <w:numId w:val="3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may have been an average or above average locomotive engineer from an earnings perspective in 2011 had he not stopped working in late March that year to undergo treatment for his post traumatic stress disorder. But to do so he would have had to continue to work at a similar level for the remaining nine months of the year as he had in the first three months;</w:t>
      </w:r>
    </w:p>
    <w:p>
      <w:pPr>
        <w:numPr>
          <w:numId w:val="3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at no point did the plaintiff's T4 earnings ever approach, even for one year let alone for five years, the "average" earnings of $121,000, consecutive or otherwise referred to by Mr. Brown. In fact, in 2009, he had T4 earnings of $82,784 even though he had only 12 unfit or sick days;</w:t>
      </w:r>
    </w:p>
    <w:p>
      <w:pPr>
        <w:numPr>
          <w:numId w:val="3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both before and after the Accident would not make himself available for work, that is, not answer the phone if he did not wish to work a particular shift. Potential earnings for the shift in question would not form a part of contributed earnings for pension purposes;</w:t>
      </w:r>
    </w:p>
    <w:p>
      <w:pPr>
        <w:numPr>
          <w:numId w:val="3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locomotive engineer such as the plaintiff, who does not work a particular shift due to being unfit or sick, drops to the bottom of the call board for future shifts. This may also affect his income;</w:t>
      </w:r>
    </w:p>
    <w:p>
      <w:pPr>
        <w:numPr>
          <w:numId w:val="3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it had always been the plaintiff's intention to retire as of June 1, 2012. He was also aware that his earnings from 2007 onwards would play a significant role in the calculation of his pension. But he could not point to any particular shifts or time periods when he declined to work for reasons specifically due to the effects of the Accident. His evidence was "general" in nature to the effect he believed that but for the Accident, he would have worked more. No contemporaneous record was kept to record the shifts allegedly lost due to the effects of the Accident;</w:t>
      </w:r>
    </w:p>
    <w:p>
      <w:pPr>
        <w:numPr>
          <w:numId w:val="3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were several occasions when the plaintiff chose not to work shifts prior to the Accident for personal reasons, such as family responsibilities. This was also the case, to some extent, following the Accident. In addition, he did on at least one occasion miss some time from work for health issues unrelated to the Accident;</w:t>
      </w:r>
    </w:p>
    <w:p>
      <w:pPr>
        <w:numPr>
          <w:numId w:val="3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have awarded the plaintiff $85,000 for past loss of income attributable to the Accident. This amount should notionally be added to the plaintiff's actual earnings component used to calculate what his pension would have been but for the Accident. There would then have been some reduction in the contributed earnings portion.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When I take all these factors into account, I conclude that the sum of $201,000 referred to in paragraph 82 above does not represent an appropriate assessment of damages for loss of pension benefits attributable to the Accident. It must be significantly discounted.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At page 8 of his report, Mr. Szekely provides an example of a net loss of pension of approximately $85,000 based on a $10,000 reduction in annual pensionable earnings. I appreciate there is not a strict correlation between the net past loss of income of $85,000 I have awarded the plaintiff and Mr. Szekely's example. This amount, however, given what I have stated above is, in my view, one which is fair to both parties with respect to the claim for loss of pension income.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These are agreed at $18,271.19.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VII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 award the plaintiff the following: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555"/>
        <w:gridCol w:w="3137"/>
        <w:gridCol w:w="31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General damages</w:t>
            </w:r>
          </w:p>
        </w:tc>
        <w:tc>
          <w:tcPr>
            <w:tcW w:w="307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$ 50,000.00</w:t>
            </w:r>
          </w:p>
        </w:tc>
        <w:tc>
          <w:tcPr>
            <w:tcW w:w="307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019"/>
        <w:gridCol w:w="1673"/>
        <w:gridCol w:w="31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91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Past loss of income/earning capacity</w:t>
            </w:r>
          </w:p>
        </w:tc>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$ 85,000.00</w:t>
            </w:r>
          </w:p>
        </w:tc>
        <w:tc>
          <w:tcPr>
            <w:tcW w:w="307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078"/>
        <w:gridCol w:w="2614"/>
        <w:gridCol w:w="31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99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Loss of pension income</w:t>
            </w:r>
          </w:p>
        </w:tc>
        <w:tc>
          <w:tcPr>
            <w:tcW w:w="256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$ 85,000.00</w:t>
            </w:r>
          </w:p>
        </w:tc>
        <w:tc>
          <w:tcPr>
            <w:tcW w:w="307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555"/>
        <w:gridCol w:w="3137"/>
        <w:gridCol w:w="31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Special damages</w:t>
            </w:r>
          </w:p>
        </w:tc>
        <w:tc>
          <w:tcPr>
            <w:tcW w:w="307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$ 18,271.19</w:t>
            </w:r>
          </w:p>
        </w:tc>
        <w:tc>
          <w:tcPr>
            <w:tcW w:w="307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137"/>
        <w:gridCol w:w="4078"/>
        <w:gridCol w:w="261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07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TOTAL</w:t>
            </w:r>
          </w:p>
        </w:tc>
        <w:tc>
          <w:tcPr>
            <w:tcW w:w="399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$238,271.19</w:t>
            </w:r>
          </w:p>
        </w:tc>
        <w:tc>
          <w:tcPr>
            <w:tcW w:w="256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The plaintiff shall have his costs at Scale B unless there are factors that impact the question of costs. If so, either party has liberty to apply to speak to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 ABRIOUX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82" style="position:absolute;z-index:25184358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78"/>
          <w:headerReference w:type="default" r:id="rId779"/>
          <w:footerReference w:type="even" r:id="rId780"/>
          <w:footerReference w:type="default" r:id="rId781"/>
          <w:headerReference w:type="first" r:id="rId782"/>
          <w:footerReference w:type="first" r:id="rId78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84" w:history="1">
        <w:r>
          <w:rPr>
            <w:rFonts w:ascii="arial" w:eastAsia="arial" w:hAnsi="arial" w:cs="arial"/>
            <w:b/>
            <w:bCs/>
            <w:i/>
            <w:color w:val="0077CC"/>
            <w:kern w:val="32"/>
            <w:sz w:val="28"/>
            <w:szCs w:val="32"/>
            <w:u w:val="single"/>
            <w:shd w:val="clear" w:color="auto" w:fill="FFFFFF"/>
            <w:lang w:val="en-US" w:eastAsia="en-US" w:bidi="ar-SA"/>
          </w:rPr>
          <w:t>Marshall v. United Furniture Warehouse Limited Partnership, [2013] B.C.J. No. 2462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 Fisher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3-6,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November 8,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S064687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[2013] B.C.J. No. 2462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2013 BCSC 2050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Delbert John (Jack) Marshall and Bernie Yue Foo Wong Plaintiffs, and United Furniture Warehouse Limited Partnership, The Brick Warehouse Limited Partnership, The Brick GP Ltd., United Furniture Warehouse (2004) Corporation, United Furniture GP Ltd., The Brick Furniture Warehouse Ltd., The Brick Warehouse Corporation, 551148 B.C. Ltd., John Volken, David Gerstner, CP Promotions Ltd. and Ole Howard Olsen doing business as Consumers Trust Defendants, Brought under the Class Proceedings Act, RSBC, 1996, c 50</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(249 paras.)</w:t>
      </w:r>
    </w:p>
    <w:p>
      <w:pPr>
        <w:jc w:val="both"/>
        <w:rPr>
          <w:rFonts w:ascii="arial" w:eastAsia="arial" w:hAnsi="arial" w:cs="arial"/>
          <w:sz w:val="20"/>
          <w:lang w:val="en-US" w:eastAsia="en-US" w:bidi="ar-SA"/>
        </w:rPr>
      </w:pPr>
      <w:bookmarkStart w:id="214" w:name="Counsel_31"/>
      <w:bookmarkEnd w:id="21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83" style="position:absolute;z-index:2516910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B.W. Lemer, N.S. Steinman, C. Docken, QC.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United Furniture Warehouse Limited Partnership, United Furniture Warehouse (2004) Corporation, The Brick Warehouse Limited Partnership and the Brick GP Ltd.: B. Dixon, M. Maniago.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551148 B.C. Ltd., John Volken and David Gerstner: R. Reinertson, L. Cundari, The Defendants, CP Promotions Ltd. and Ole Howard Olsen doing business as Consumers Trust: No Appearance.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15" w:name="Judgment_31"/>
      <w:bookmarkEnd w:id="215"/>
      <w:r>
        <w:pict>
          <v:line id="_x0000_s1184" style="position:absolute;z-index:25174220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0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16" w:name="B. FISHER J."/>
            <w:bookmarkEnd w:id="216"/>
            <w:r>
              <w:rPr>
                <w:rFonts w:ascii="arial" w:eastAsia="arial" w:hAnsi="arial" w:cs="arial"/>
                <w:b/>
                <w:color w:val="000000"/>
                <w:sz w:val="30"/>
                <w:lang w:val="en-US" w:eastAsia="en-US" w:bidi="ar-SA"/>
              </w:rPr>
              <w:t>B. FISHER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plaintiffs apply to certify these proceedings under the </w:t>
      </w:r>
      <w:r>
        <w:rPr>
          <w:rFonts w:ascii="arial" w:eastAsia="arial" w:hAnsi="arial" w:cs="arial"/>
          <w:i/>
          <w:color w:val="000000"/>
          <w:sz w:val="20"/>
          <w:lang w:val="en-US" w:eastAsia="en-US" w:bidi="ar-SA"/>
        </w:rPr>
        <w:t>Class Proceedings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50</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action arises from a "cashable voucher program" offered by the defendants 551148 B.C. Ltd. (formerly United Furniture Warehouse Limited), United Furniture Warehouse (2004) Corporation and United Furniture Warehouse Limited Partnership, and administered by the defendant Consumers Trust. The program purported to provide to customers a right to recover the face value of cashable vouchers three years after the purchase of goods. However, before the plaintiffs could submit their claims, Consumers Trust filed a petition in bankruptcy.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plaintiffs make claims against the various defendants for breach of warranty, liability for deceptive practices under the </w:t>
      </w:r>
      <w:r>
        <w:rPr>
          <w:rFonts w:ascii="arial" w:eastAsia="arial" w:hAnsi="arial" w:cs="arial"/>
          <w:i/>
          <w:color w:val="000000"/>
          <w:sz w:val="20"/>
          <w:lang w:val="en-US" w:eastAsia="en-US" w:bidi="ar-SA"/>
        </w:rPr>
        <w:t>Business Practices and Consumer Protection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2004, c 2</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and negligent misrepresentation. There are two proposed representative plaintiffs, Delbert John (Jack) Marshall and Bernie Yue Foo Wong. Mr. Wong replaced the plaintiff Stephen Holmes, who is currently residing outside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defendants CP Promotions Ltd. and Ole Howard Olsen doing business as Consumers Trust took no part in this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Consumers Trust was an entity formed under the laws of England for the purpose of collecting, holding and paying out funds provided to it by merchants in Europe, the United States and Canada. Participating merchants provided their customers with a voucher for the purchase of specified products, such as furniture, art or vehicles, and paid 15% of the revenue from each transaction to Consumers Trust. The vouchers could be redeemed by the customers from Consumers Trust three years after their purchase, provided they met all of the conditions on the voucher. The program was premised on the assumption that most customers would forget to submit their claims or would otherwise be ineligible because they could not meet the required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March 2003, the defendant 551148 B.C. Ltd., then known as United Furniture Warehouse Limited, began offering the cashable voucher promotion in its stores across Canada. In March 2004, 551148 B.C. Ltd. sold its assets to the defendant United Furniture Warehouse (2004) Corporation, which subsequently transferred its assets and obligations to United Furniture Warehouse Limited Partnership, the general partner of which is United Furniture GP Ltd. I will refer to these defendants as "New UFW" and to 551148 B.C. Ltd. as "551148" or "Old UFW". New UFW continued to offer the cashable voucher program until October 2004. New UFW did not assume the contract between 551148 and Consumers Trust but entered into a new merchant agreement with CP Promotions Ltd., and made payments to Consumers Trust from April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defendants The Brick Warehouse Limited Partnership, The Brick GP Ltd., The Brick Furniture Warehouse Ltd. and The Brick Warehouse Corporation are alleged to have owned the United Furniture chain since March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defendant John Volken is the president and sole director of 551148. The defendant David Gerstner was employed as the general manager of 551148 until March 31, 2004 and since then he has been the vice-president and secretary of the company.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vouchers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During the entire period in which the cashable voucher program was offered, a total of 23,150 vouchers were issued: 16,140 from Old UFW and 7,010 from New UFW. While there are some differences between the vouchers that were offered by Old UFW and New UFW, they all included the following terms: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promotional voucher ... has been presented to you the holder(s) ... by the merchant named [either above or on the reverse side of the document] ... on behalf of the voucher issuer the Consumers Trust ("Trust, We, Us, Our")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voucher contains important terms and conditions ... so please read them carefully. If you submit a [claim or initial registration] as detailed below you will be bound by those terms and conditions.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merchant has entered into a ... promotion to issue vouchers to their customers and has agreed to make payments to us for their issue ("merchant payments").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From merchant payments received against vouchers issued in the same week, a series of no-risk ... [trust account investments or deposits] are made ... by the Trust ... the full returns from which (capital and interest) are used exclusively to pay validly claiming voucher holders on maturity or prior to maturity as detailed below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Maturity occurs when the sums accumulated from merchant payments received by the Trust against vouchers agreed to be issued by merchants in the same week equals the amount required to make payment on those vouchers whose holder(s) have complied with the terms and conditions herein.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Trust has estimated that voucher maturity will occur three years after the voucher issue date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voucher maturity has not occurred by 60 days after the third anniversary of the issue date the Trust will write to all holders who have complied with the terms and conditions herein and offer to redeem each voucher for payment within 28 days of a specified sum equal in true percentage terms to the written amount of each voucher as it relates to the value of the weekly fund at that time ("redemption payment").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If you decide not to accept redemption payment we will automatically [send or pay] you the full written amount of your voucher on maturity by [secure or registered] mail.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are the final arbiter in all matters relating to this voucher and are exclusively responsible for payment to you. The merchant has no such obligation or responsibility to you.</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voucher is not transferable or assignable by you under any circumstance.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voucher contains the whole agreement between all of the parties hereto and you may not rely on any oral or written representations made to you which change any of these conditions in any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To be eligible to receive payment on the vouchers, customers had to submit their claims to Consumers Trust - first an initial registration within seven days of the date the voucher was issued, and then the original voucher, receipts of purchase and other documents within a seven day window following the third anniversary of the voucher's issue date.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role of the sales people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defendants provided evidence about the training of the sales staff on the cashable voucher program and how the staff dealt with customers.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When the program was first introduced by Old UFW, representatives from Consumers Trust conducted training sessions for supervisors and managers at various locations across Canada. The representatives described how the program worked, the steps required for a customer to redeem a voucher, and the expectation that many would not remember or would not follow all the steps and would not qualify. They also provided some promotional material, which was used by the supervisors and managers to train sales people about the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Sales people did not follow a set script when describing the program to customers. Generally, they went over the steps required to redeem, the need to follow the instructions on the voucher carefully, and told them that it was a memory game. Some sales people told customers that they had a "one shot" chance to redeem, and some explained that Consumers Trust, not United Furniture Warehouse, was running the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level of detail provided depended to some extent on the questions asked by the customer. Some staff members went over the voucher in detail, others less so. Some gave customers a pamphlet and sample voucher to take home with them, either before or after a purchase was made. Where sample vouchers were not available, customers would have had the opportunity to review them in the store.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Initially, the vouchers were issued and given to customers at the store. Later they were issued by the corporate office and mailed to customers after full payment for the goods had been made.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Advertisements and promotion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Old UFW published advertisements in local newspapers promoting the cashable voucher program. These advertisements generally stated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Buy a [specified product] and receive a Cash Back Voucher for</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100% of your money back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(Yes, every penny except taxes, delivery, insurance)</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and you keep the [product]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Similar Cash Back offers are available on all merchandise in every UNITED location across Canada.</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HERE'S HOW IT WORKS</w:t>
      </w:r>
    </w:p>
    <w:p>
      <w:pPr>
        <w:numPr>
          <w:numId w:val="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Buy a [specified product] at our low warehouse price.</w:t>
      </w:r>
    </w:p>
    <w:p>
      <w:pPr>
        <w:numPr>
          <w:numId w:val="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United gives you a Cash Back voucher from CONSUMERS TRUST for the full purchase price.</w:t>
      </w:r>
    </w:p>
    <w:p>
      <w:pPr>
        <w:numPr>
          <w:numId w:val="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Follow the simple instructions on the back of the voucher.</w:t>
      </w:r>
    </w:p>
    <w:p>
      <w:pPr>
        <w:numPr>
          <w:numId w:val="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three years you'll receive a cheque from CONSUMERS TRUST ... and you keep the [product].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NOTE: Consumers Trust operates in the United Kingdom, the U.S. and Canada and has managed this program for over ten years. Every voucher so presented has been redeemed. It's guaranteed!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Beside this information was a button logo which stated "CASH$ $BACK" and "CONSUMER GUARANTEED", as well as "Check it out ... You'll be amazed!"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These advertisements were not continued by New UFW. However, throughout the entire period the program was offered by both Old UFW and New UFW, there were in-store signs and tags that contained the button logo "CASH$ $BACK" and "CONSUMER GUARANTEED".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plaintiff Mr. Marshall purchased furniture at a United Furniture Warehouse store in Coquitlam, BC on September 18, 2003. Before purchasing, Mr. Marshall visited the store about six times, during which he was told about the cashable voucher program by a sales person, was told the value of the cashable voucher attached to items of furniture he looked at, and received a brochure entitled "A Gesture of Thanks", which included on its reverse side a sample voucher. The front of this brochure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a gesture of thanks ... your merchant will present you with a live Cashable Voucher identical to the sample printed on the [reverse or front and back] side of this leaflet.</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How does the offer work?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Your merchant has agreed to pay a [fee or proportion of your sales price], so that you can be presented with a live Cashable Voucher and have the opportunity of claiming [cash or money back] in approximately 3 years time.</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How is that possible?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Cashable Voucher is a financial memory test or challenge and we know from experience that a very high percentage of vouchers will never be redeemed. People forget, lose their vouchers or simply fail to claim validly for any number of reasons. In effect the voucher holders who do not claim validly help pay for those that do. The important thing is that each of the steps appearing on the [reverse] side of this leaflet must be satisfied for a valid claim to exist - </w:t>
      </w:r>
      <w:r>
        <w:rPr>
          <w:rFonts w:ascii="arial" w:eastAsia="arial" w:hAnsi="arial" w:cs="arial"/>
          <w:b/>
          <w:color w:val="000000"/>
          <w:sz w:val="20"/>
          <w:u w:val="single"/>
          <w:lang w:val="en-US" w:eastAsia="en-US" w:bidi="ar-SA"/>
        </w:rPr>
        <w:t>will you remember?</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Who are the Voucher administrators?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Cashable Voucher program is a ... promotion [exclusively or financially] controlled and administered by insured lawyer and accountant trustees of the Consumers Trust, who pay all validly claiming voucher holders through [its local bank accounts or Canadian Trust Bank accounts].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Below this are shown photographs of individuals who are said to have validly claimed and received all of their money back, with the amounts of their claims shown below each photograph. At the bottom of the page, it is stated that the holders shown "validly claimed on our US and European Programs and the values shown are in Canadian Dollars".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During one of Mr. Marshall's visits to the store, he also reviewed a brochure stating "Warehouse prices! Save 1/2!" On another visit, he recalled being told by a sales person that United Furniture Warehouse had been investigated by a TV news crew with a hidden camera, who had found the cashable voucher promotion to be "on the level".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Marshall decided to purchase several items of furniture for a total price (including sales taxes) of $4,533.74. The price included $468.95 for extended warranties or protection plans, which he was told were required. He received two cashable vouchers: one for $1,199.95 and the other for $1,000.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Marshall deposed that the cashable vouchers were the main reason he purchased the furniture at United Furniture Warehouse "instead of somewhere else". He also deposed that after briefly reviewing the "Gesture of Thanks" and the "Save 1/2" brochures, he recalled forming "the impression" that the cashable voucher program was offered and provided for by United Furniture Warehouse, which he understood was a large, well-established and reputable business; the cash back payment was guaranteed; the process for filling out the vouchers and submitting them was simple; and after submitting the registration initially and the vouchers three years later, he would receive a cheque for the full amount of his vouchers.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plaintiff Mr. Wong purchased furniture at a United Furniture Warehouse store in Surrey, BC on May 16, 2003. Several days before this, he saw one of the "Cash Back" advertisements in The Province newspaper. At the store, Mr. Wong dealt with a sales person named Chuck, who told him how the cash back program worked. He deposed that Chuck said "words to the effect that United Furniture Warehouse put funds in trust with a company to pay those claiming under the Program", most people would forget to make a claim, if there was a problem "getting the money owed" to him under the program he should return to United Furniture Warehouse and they would ensure he received payment, and "United Furniture Warehouse was a large, established company" and therefore he would get paid. Mr. Wong received the "Gesture of Thanks" brochure and a sample voucher and read it in the store before he purchased his furniture.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Wong purchased a number of items of furniture for a total price of $3,589.58 (including sales taxes), which also included $469.90 for protection plans which he was told he had to purchase in order to obtain the vouchers. He received a cashable voucher for $2,899.95.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Wong deposed that he purchased the furniture because it suited his purpose; the program was offered with it, even though he preferred other furniture; and United Furniture Warehouse, which he understood was offering the program, was a large and long-established firm.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Both Mr. Marshall and Mr. Wong submitted their initial registrations to Consumers Trust and remained ready, willing and able to comply with the remaining conditions.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Events subsequent to October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New UFW terminated its participation in the cashable voucher program in October 2004. The evidence of Paul Comrie, Senior Vice-President, Merchandising, indicates that the decision to do so was based on decreased reliance by customers on the program as well as revisions to be made that would limit customers to receiving back only an amount based on the funds available in the program at the given period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December 2005, New UFW became aware of the bankruptcy proceedings involving Consumers Trust. New UFW stores were advised to refer customers to counsel involved in that process. In a notice to customers, New UFW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For a period of time in the past, United Furniture Warehouse participated in the Cashable Voucher Program with The Consumers Trust and CP Promotions Ltd. Under this Program, United Furniture Warehouse as a merchant provided Cashable Vouchers to certain of its customers in respect of a portion of the price of their purchase. The Consumers Trust, </w:t>
      </w:r>
      <w:r>
        <w:rPr>
          <w:rFonts w:ascii="arial" w:eastAsia="arial" w:hAnsi="arial" w:cs="arial"/>
          <w:i/>
          <w:color w:val="000000"/>
          <w:sz w:val="20"/>
          <w:lang w:val="en-US" w:eastAsia="en-US" w:bidi="ar-SA"/>
        </w:rPr>
        <w:t>not United Furniture Warehouse</w:t>
      </w:r>
      <w:r>
        <w:rPr>
          <w:rFonts w:ascii="arial" w:eastAsia="arial" w:hAnsi="arial" w:cs="arial"/>
          <w:color w:val="000000"/>
          <w:sz w:val="20"/>
          <w:lang w:val="en-US" w:eastAsia="en-US" w:bidi="ar-SA"/>
        </w:rPr>
        <w:t>, was and is responsible for future redemption of Vouchers issued under the Program.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you may be aware, The Consumers Trust has now filed for bankruptcy. </w:t>
      </w:r>
      <w:r>
        <w:rPr>
          <w:rFonts w:ascii="arial" w:eastAsia="arial" w:hAnsi="arial" w:cs="arial"/>
          <w:i/>
          <w:color w:val="000000"/>
          <w:sz w:val="20"/>
          <w:lang w:val="en-US" w:eastAsia="en-US" w:bidi="ar-SA"/>
        </w:rPr>
        <w:t>United Furniture Warehouse is not related to The Consumers Trust in any way, and United Furniture Warehouse is not bankrupt or filing for bankruptcy. United Furniture Warehouse continues to actively carry on its business as a retailer of furniture and mattress</w:t>
      </w:r>
      <w:r>
        <w:rPr>
          <w:rFonts w:ascii="arial" w:eastAsia="arial" w:hAnsi="arial" w:cs="arial"/>
          <w:color w:val="000000"/>
          <w:sz w:val="20"/>
          <w:lang w:val="en-US" w:eastAsia="en-US" w:bidi="ar-SA"/>
        </w:rPr>
        <w:t xml:space="preserve"> [sic]</w:t>
      </w:r>
      <w:r>
        <w:rPr>
          <w:rFonts w:ascii="arial" w:eastAsia="arial" w:hAnsi="arial" w:cs="arial"/>
          <w:i/>
          <w:color w:val="000000"/>
          <w:sz w:val="20"/>
          <w:lang w:val="en-US" w:eastAsia="en-US" w:bidi="ar-SA"/>
        </w:rPr>
        <w:t xml:space="preserve"> in various locations across Canada</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Comrie deposed that in 2006, as a "customer satisfaction measure", New UFW instituted an in-store credit program for customers who had been issued vouchers at either Old UFW or New UFW stores. Under this program, credit was given in respect of 1,649 transactions.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Mr. Marshall received a notice of the bankruptcy and in March 2006 he filed a proof of claim for $2,199.95, the total amount of his two vouchers. He later received a payment of $18.00.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plaintiffs'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the Consolidated Notice of Civil Claim (Notice of Civil Claim), the plaintiffs divide the corporate defendants into three main groups - Old UFW, New UFW and the "Brick Defendants" - and refer to them as the "Defendant Retailers". The Brick Defendants are included on the basis that they have owned the United Furniture chain since March 2004.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Breach of warranty or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plaintiffs' claim for breach of warranty is made against the corporate defendants only. The thrust of this claim is that the defendants breached a warranty to pay out validly redeemed cashable vouchers. The plaintiffs say that they purchased goods from the defendants in reliance on that warranty, and suffered an economic loss of the face value of the cashable vouchers when the defendants refused to pay.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plaintiffs plead that the warranty arose as an express or implied term of contracts for the purchase of goods and services between the plaintiffs and defendants. The pleadings do not specify what documents or oral representations gave rise to the alleged warranty, either express or implied.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a proposed Amended Consolidated Notice of Civil Claim (Amended Claim), the plaintiffs provide further particulars of this claim and include representations in advertisements and in-store signs and tags as giving rise to the warranty. They also allege a collateral contract in the alternative, on the basis of the same material facts.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Deceptive acts or practices or unconscionable acts or practices under the </w:t>
      </w:r>
      <w:r>
        <w:rPr>
          <w:rFonts w:ascii="arial" w:eastAsia="arial" w:hAnsi="arial" w:cs="arial"/>
          <w:b/>
          <w:i/>
          <w:color w:val="000000"/>
          <w:sz w:val="20"/>
          <w:lang w:val="en-US" w:eastAsia="en-US" w:bidi="ar-SA"/>
        </w:rPr>
        <w:t>BPCPA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The plaintiffs claim that all defendants engaged in "deceptive acts or practices" under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alleging that each of them is a "supplier" under the Act. They say that the defendants engaged in deceptive acts or practices by failing to disclose material facts and making misrepresentations about the cashable voucher program. They do not specifically say that the defendants engaged in unconscionable acts or practices but allege that they took advantage of the plaintiffs' inability to protect their interests because of ignorance and inability to understand the character, nature and language of the transaction, and this was due to the failure to disclose material facts and the misrepresentation of other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plaintiffs allege that Mr. Volken and Mr. Gerstner personally developed and directed the implementation of the program, and directed, authorized, permitted and acquiesced in the alleged deceptive acts and practices.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They seek damages, declaratory and injunctive relief under ss. 171 and 172 of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their proposed Amended Claim, the plaintiffs provide further particulars about the alleged deceptive acts or practices that include references to the advertisements and the in-store signs and tags.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Negligent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plaintiffs claim that the corporate defendants were in a special relationship with them, owed them a duty of care, and breached their duty of care by making a number of false, inaccurate, or misleading representations that the plaintiffs reasonably relied upon to their detriment by entering into the contracts of purchase.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alleged misrepresentations concern the terms and conditions of the cashable voucher program, including representations that "cash back" was "guaranteed", redemption was simple, every cashable voucher presented had been redeemed, and the program was administered by a trust company. The plaintiffs say that the misrepresentations were negligently made because the corporate defendants failed to investigate the reputation and financial responsibility of Consumers Trust, the viability of the promotion, and the truth or accuracy of the representations themselves.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In the proposed Amended Claim, the plaintiffs add further allegations of "false, inaccurate or misleading" collateral representations made by the corporate defendants in advertisements and in-store signs and tags.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The plaintiffs also claim against the corporate defendants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simpliciter</w:t>
      </w:r>
      <w:r>
        <w:rPr>
          <w:rFonts w:ascii="arial" w:eastAsia="arial" w:hAnsi="arial" w:cs="arial"/>
          <w:color w:val="000000"/>
          <w:sz w:val="20"/>
          <w:lang w:val="en-US" w:eastAsia="en-US" w:bidi="ar-SA"/>
        </w:rPr>
        <w:t>. They allege that these defendants owed a duty of care on the basis that they had actual knowledge of the plaintiffs as a limited class of persons who would use and rely on the warranty, or alternatively on the basis that it was reasonably foreseeable that persons such as the plaintiffs would rely on the warranty. They say that it was reasonably foreseeable that their reliance on the warranty would result in loss and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plaintiffs claim that the corporate defendants breached their duty of care by exaggerating the likelihood that the plaintiffs would receive the full coupon value of their vouchers, by failing to inform them of a number of material facts, by making false representations, and by failing to investigate Consumers Trust and the voucher program to determine if it was viable.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plaintiffs also claim that these defendants had a duty to warn them about a 2005 proceeding in Missouri against Consumers Trust under consumer protection legislation and the subsequent bankruptcy of Consumers Trust, and they breached that duty by failing to learn about those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The plaintiffs make similar claims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Mr. Volken and Mr. Gerstner. In addition, they allege as a particular of their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that the cashable vouchers are a security under the </w:t>
      </w:r>
      <w:r>
        <w:rPr>
          <w:rFonts w:ascii="arial" w:eastAsia="arial" w:hAnsi="arial" w:cs="arial"/>
          <w:i/>
          <w:color w:val="000000"/>
          <w:sz w:val="20"/>
          <w:lang w:val="en-US" w:eastAsia="en-US" w:bidi="ar-SA"/>
        </w:rPr>
        <w:t>Securities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418</w:t>
      </w:r>
      <w:r>
        <w:rPr>
          <w:rFonts w:ascii="arial" w:eastAsia="arial" w:hAnsi="arial" w:cs="arial"/>
          <w:color w:val="000000"/>
          <w:sz w:val="20"/>
          <w:lang w:val="en-US" w:eastAsia="en-US" w:bidi="ar-SA"/>
        </w:rPr>
        <w:t xml:space="preserve"> and that these defendants negligently failed to file and distribute a prospectus under that Act. They also allege that Mr. Volken and Mr. Gerstner were the "guiding mind and will" of the corporate defendants, they "personally developed, investigated and directed the implementation" of the program, and they "personally engaged in, directed, authorized, permitted and acquiesced in negligent misrepresentations and other acts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Requirements for certification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The requirements for certification are set out in s. 4(1) of the </w:t>
      </w:r>
      <w:r>
        <w:rPr>
          <w:rFonts w:ascii="arial" w:eastAsia="arial" w:hAnsi="arial" w:cs="arial"/>
          <w:i/>
          <w:color w:val="000000"/>
          <w:sz w:val="20"/>
          <w:lang w:val="en-US" w:eastAsia="en-US" w:bidi="ar-SA"/>
        </w:rPr>
        <w:t>Class Proceedings Act</w:t>
      </w:r>
      <w:r>
        <w:rPr>
          <w:rFonts w:ascii="arial" w:eastAsia="arial" w:hAnsi="arial" w:cs="arial"/>
          <w:color w:val="000000"/>
          <w:sz w:val="20"/>
          <w:lang w:val="en-US" w:eastAsia="en-US" w:bidi="ar-SA"/>
        </w:rPr>
        <w:t xml:space="preserve">, RSBC, 1996, c 50 (which I will refer to by its name or as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pleadings disclose a cause of action;</w:t>
      </w:r>
    </w:p>
    <w:p>
      <w:pPr>
        <w:numPr>
          <w:numId w:val="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an identifiable class of 2 or more persons;</w:t>
      </w:r>
    </w:p>
    <w:p>
      <w:pPr>
        <w:numPr>
          <w:numId w:val="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claims of the class members raise common issues, whether or not those common issues predominate over issues affecting only individual members;</w:t>
      </w:r>
    </w:p>
    <w:p>
      <w:pPr>
        <w:numPr>
          <w:numId w:val="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class proceeding would be the preferable procedure for the fair and efficient resolution of the common issues;</w:t>
      </w:r>
    </w:p>
    <w:p>
      <w:pPr>
        <w:numPr>
          <w:numId w:val="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 representative plaintiff who</w:t>
      </w:r>
    </w:p>
    <w:p>
      <w:pPr>
        <w:numPr>
          <w:numId w:val="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would fairly and adequately represent the interests of the class,</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has produced a plan for the proceeding that sets out a workable method of advancing the proceeding on behalf of the class and of notifying class members of the proceeding, and</w:t>
      </w:r>
    </w:p>
    <w:p>
      <w:pPr>
        <w:numPr>
          <w:numId w:val="5"/>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does not have, on the common issues, an interest that is in conflict with the interests of other class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Section 4(2) directs the court to consider all relevant matters "[i]n determining whether a class proceeding would be the preferable procedure for the fair and efficient resolution of the common issues", including the following:</w:t>
      </w:r>
      <w:r>
        <w:rPr>
          <w:rFonts w:ascii="arial" w:eastAsia="arial" w:hAnsi="arial" w:cs="arial"/>
          <w:sz w:val="20"/>
          <w:lang w:val="en-US" w:eastAsia="en-US" w:bidi="ar-SA"/>
        </w:rPr>
        <w:cr/>
      </w:r>
    </w:p>
    <w:p>
      <w:pPr>
        <w:numPr>
          <w:numId w:val="6"/>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questions of fact or law common to the members of the class predominate over any questions affecting only individual members;</w:t>
      </w:r>
    </w:p>
    <w:p>
      <w:pPr>
        <w:numPr>
          <w:numId w:val="6"/>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a significant number of the members of the class have a valid interest in individually controlling the prosecution of separate actions;</w:t>
      </w:r>
    </w:p>
    <w:p>
      <w:pPr>
        <w:numPr>
          <w:numId w:val="6"/>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class proceeding would involve claims that are or have been the subject of any other proceedings;</w:t>
      </w:r>
    </w:p>
    <w:p>
      <w:pPr>
        <w:numPr>
          <w:numId w:val="6"/>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other means of resolving the claims are less practical or less efficient;</w:t>
      </w:r>
    </w:p>
    <w:p>
      <w:pPr>
        <w:numPr>
          <w:numId w:val="6"/>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administration of the class proceeding would create greater difficulties than those likely to be experienced if relief were sought by other means.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Under s. 7, the court must not refuse to certify a proceeding merely because of one or more of the following:</w:t>
      </w:r>
      <w:r>
        <w:rPr>
          <w:rFonts w:ascii="arial" w:eastAsia="arial" w:hAnsi="arial" w:cs="arial"/>
          <w:sz w:val="20"/>
          <w:lang w:val="en-US" w:eastAsia="en-US" w:bidi="ar-SA"/>
        </w:rPr>
        <w:cr/>
      </w:r>
    </w:p>
    <w:p>
      <w:pPr>
        <w:numPr>
          <w:numId w:val="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relief claimed includes a claim for damages that would require individual assessment after determination of the common issues;</w:t>
      </w:r>
    </w:p>
    <w:p>
      <w:pPr>
        <w:numPr>
          <w:numId w:val="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relief claimed relates to separate contracts involving different class members;</w:t>
      </w:r>
    </w:p>
    <w:p>
      <w:pPr>
        <w:numPr>
          <w:numId w:val="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different remedies are sought for different class members;</w:t>
      </w:r>
    </w:p>
    <w:p>
      <w:pPr>
        <w:numPr>
          <w:numId w:val="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number of class members or the identity of each class member is not known;</w:t>
      </w:r>
    </w:p>
    <w:p>
      <w:pPr>
        <w:numPr>
          <w:numId w:val="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class includes a subclass whose members have claims that raise common issues not shared by all class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The jurisprudence clearly establishes that the </w:t>
      </w:r>
      <w:r>
        <w:rPr>
          <w:rFonts w:ascii="arial" w:eastAsia="arial" w:hAnsi="arial" w:cs="arial"/>
          <w:i/>
          <w:color w:val="000000"/>
          <w:sz w:val="20"/>
          <w:lang w:val="en-US" w:eastAsia="en-US" w:bidi="ar-SA"/>
        </w:rPr>
        <w:t>Class Proceedings Act</w:t>
      </w:r>
      <w:r>
        <w:rPr>
          <w:rFonts w:ascii="arial" w:eastAsia="arial" w:hAnsi="arial" w:cs="arial"/>
          <w:color w:val="000000"/>
          <w:sz w:val="20"/>
          <w:lang w:val="en-US" w:eastAsia="en-US" w:bidi="ar-SA"/>
        </w:rPr>
        <w:t xml:space="preserve"> should be construed generously. In </w:t>
      </w:r>
      <w:r>
        <w:rPr>
          <w:rFonts w:ascii="arial" w:eastAsia="arial" w:hAnsi="arial" w:cs="arial"/>
          <w:i/>
          <w:color w:val="000000"/>
          <w:sz w:val="20"/>
          <w:lang w:val="en-US" w:eastAsia="en-US" w:bidi="ar-SA"/>
        </w:rPr>
        <w:t>Hollick v Toronto (City)</w:t>
      </w:r>
      <w:r>
        <w:rPr>
          <w:rFonts w:ascii="arial" w:eastAsia="arial" w:hAnsi="arial" w:cs="arial"/>
          <w:color w:val="000000"/>
          <w:sz w:val="20"/>
          <w:lang w:val="en-US" w:eastAsia="en-US" w:bidi="ar-SA"/>
        </w:rPr>
        <w:t xml:space="preserve">, </w:t>
      </w:r>
      <w:hyperlink r:id="rId785" w:history="1">
        <w:r>
          <w:rPr>
            <w:rFonts w:ascii="arial" w:eastAsia="arial" w:hAnsi="arial" w:cs="arial"/>
            <w:i/>
            <w:color w:val="0077CC"/>
            <w:sz w:val="20"/>
            <w:u w:val="single"/>
            <w:shd w:val="clear" w:color="auto" w:fill="FFFFFF"/>
            <w:lang w:val="en-US" w:eastAsia="en-US" w:bidi="ar-SA"/>
          </w:rPr>
          <w:t>2001 SCC 68</w:t>
        </w:r>
      </w:hyperlink>
      <w:r>
        <w:rPr>
          <w:rFonts w:ascii="arial" w:eastAsia="arial" w:hAnsi="arial" w:cs="arial"/>
          <w:color w:val="000000"/>
          <w:sz w:val="20"/>
          <w:lang w:val="en-US" w:eastAsia="en-US" w:bidi="ar-SA"/>
        </w:rPr>
        <w:t>, McLachlin CJC described three important advantages of class actions (at para. 15):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First, by aggregating similar individual actions, class actions serve judicial economy by avoiding unnecessary duplication in fact-finding and legal analysis. Second, by distributing fixed litigation costs amongst a large number of class members, class actions improve access to justice by making economical the prosecution of claims that any one class member would find too costly to prosecute on his or her own. Third, class actions serve efficiency and justice by ensuring that actual and potential wrongdoers modify their behaviour to take full account of the harm they are causing, or might cause, to the public.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The focus of the certification stage is the form of the action. Merits are not considered. The question is whether the matter is appropriately prosecuted as a class action, not whether the claim is likely to succeed: </w:t>
      </w:r>
      <w:r>
        <w:rPr>
          <w:rFonts w:ascii="arial" w:eastAsia="arial" w:hAnsi="arial" w:cs="arial"/>
          <w:i/>
          <w:color w:val="000000"/>
          <w:sz w:val="20"/>
          <w:lang w:val="en-US" w:eastAsia="en-US" w:bidi="ar-SA"/>
        </w:rPr>
        <w:t>Hollick</w:t>
      </w:r>
      <w:r>
        <w:rPr>
          <w:rFonts w:ascii="arial" w:eastAsia="arial" w:hAnsi="arial" w:cs="arial"/>
          <w:color w:val="000000"/>
          <w:sz w:val="20"/>
          <w:lang w:val="en-US" w:eastAsia="en-US" w:bidi="ar-SA"/>
        </w:rPr>
        <w:t xml:space="preserve"> at para. 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Evidentiary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The plaintiffs, through the class representatives, must establish some basis in fact from admissible evidence for each of the requirements in s. 4(1)(b) to (e); that is, all requirements other than the requirement that the pleadings disclose a cause of action: </w:t>
      </w:r>
      <w:r>
        <w:rPr>
          <w:rFonts w:ascii="arial" w:eastAsia="arial" w:hAnsi="arial" w:cs="arial"/>
          <w:i/>
          <w:color w:val="000000"/>
          <w:sz w:val="20"/>
          <w:lang w:val="en-US" w:eastAsia="en-US" w:bidi="ar-SA"/>
        </w:rPr>
        <w:t>Hollick</w:t>
      </w:r>
      <w:r>
        <w:rPr>
          <w:rFonts w:ascii="arial" w:eastAsia="arial" w:hAnsi="arial" w:cs="arial"/>
          <w:color w:val="000000"/>
          <w:sz w:val="20"/>
          <w:lang w:val="en-US" w:eastAsia="en-US" w:bidi="ar-SA"/>
        </w:rPr>
        <w:t xml:space="preserve"> at para. 25; </w:t>
      </w:r>
      <w:r>
        <w:rPr>
          <w:rFonts w:ascii="arial" w:eastAsia="arial" w:hAnsi="arial" w:cs="arial"/>
          <w:i/>
          <w:color w:val="000000"/>
          <w:sz w:val="20"/>
          <w:lang w:val="en-US" w:eastAsia="en-US" w:bidi="ar-SA"/>
        </w:rPr>
        <w:t>Ernewein v General Motors of Canada Ltd</w:t>
      </w:r>
      <w:r>
        <w:rPr>
          <w:rFonts w:ascii="arial" w:eastAsia="arial" w:hAnsi="arial" w:cs="arial"/>
          <w:color w:val="000000"/>
          <w:sz w:val="20"/>
          <w:lang w:val="en-US" w:eastAsia="en-US" w:bidi="ar-SA"/>
        </w:rPr>
        <w:t xml:space="preserve">, </w:t>
      </w:r>
      <w:hyperlink r:id="rId786" w:history="1">
        <w:r>
          <w:rPr>
            <w:rFonts w:ascii="arial" w:eastAsia="arial" w:hAnsi="arial" w:cs="arial"/>
            <w:i/>
            <w:color w:val="0077CC"/>
            <w:sz w:val="20"/>
            <w:u w:val="single"/>
            <w:shd w:val="clear" w:color="auto" w:fill="FFFFFF"/>
            <w:lang w:val="en-US" w:eastAsia="en-US" w:bidi="ar-SA"/>
          </w:rPr>
          <w:t>2005 BCCA 540</w:t>
        </w:r>
      </w:hyperlink>
      <w:r>
        <w:rPr>
          <w:rFonts w:ascii="arial" w:eastAsia="arial" w:hAnsi="arial" w:cs="arial"/>
          <w:color w:val="000000"/>
          <w:sz w:val="20"/>
          <w:lang w:val="en-US" w:eastAsia="en-US" w:bidi="ar-SA"/>
        </w:rPr>
        <w:t xml:space="preserve"> at para. 25, leave to appeal ref'd </w:t>
      </w:r>
      <w:hyperlink r:id="rId787" w:history="1">
        <w:r>
          <w:rPr>
            <w:rFonts w:ascii="arial" w:eastAsia="arial" w:hAnsi="arial" w:cs="arial"/>
            <w:i/>
            <w:color w:val="0077CC"/>
            <w:sz w:val="20"/>
            <w:u w:val="single"/>
            <w:shd w:val="clear" w:color="auto" w:fill="FFFFFF"/>
            <w:lang w:val="en-US" w:eastAsia="en-US" w:bidi="ar-SA"/>
          </w:rPr>
          <w:t>[2005] SCCA No. 545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Arora v. Whirlpool Canada LP</w:t>
      </w:r>
      <w:r>
        <w:rPr>
          <w:rFonts w:ascii="arial" w:eastAsia="arial" w:hAnsi="arial" w:cs="arial"/>
          <w:color w:val="000000"/>
          <w:sz w:val="20"/>
          <w:lang w:val="en-US" w:eastAsia="en-US" w:bidi="ar-SA"/>
        </w:rPr>
        <w:t xml:space="preserve">, </w:t>
      </w:r>
      <w:hyperlink r:id="rId788" w:history="1">
        <w:r>
          <w:rPr>
            <w:rFonts w:ascii="arial" w:eastAsia="arial" w:hAnsi="arial" w:cs="arial"/>
            <w:i/>
            <w:color w:val="0077CC"/>
            <w:sz w:val="20"/>
            <w:u w:val="single"/>
            <w:shd w:val="clear" w:color="auto" w:fill="FFFFFF"/>
            <w:lang w:val="en-US" w:eastAsia="en-US" w:bidi="ar-SA"/>
          </w:rPr>
          <w:t>2012 ONSC 4642</w:t>
        </w:r>
      </w:hyperlink>
      <w:r>
        <w:rPr>
          <w:rFonts w:ascii="arial" w:eastAsia="arial" w:hAnsi="arial" w:cs="arial"/>
          <w:color w:val="000000"/>
          <w:sz w:val="20"/>
          <w:lang w:val="en-US" w:eastAsia="en-US" w:bidi="ar-SA"/>
        </w:rPr>
        <w:t xml:space="preserve"> at para. 108; </w:t>
      </w:r>
      <w:r>
        <w:rPr>
          <w:rFonts w:ascii="arial" w:eastAsia="arial" w:hAnsi="arial" w:cs="arial"/>
          <w:i/>
          <w:color w:val="000000"/>
          <w:sz w:val="20"/>
          <w:lang w:val="en-US" w:eastAsia="en-US" w:bidi="ar-SA"/>
        </w:rPr>
        <w:t>Martin v. Astrazeneca Pharmaceuticals PLC</w:t>
      </w:r>
      <w:r>
        <w:rPr>
          <w:rFonts w:ascii="arial" w:eastAsia="arial" w:hAnsi="arial" w:cs="arial"/>
          <w:color w:val="000000"/>
          <w:sz w:val="20"/>
          <w:lang w:val="en-US" w:eastAsia="en-US" w:bidi="ar-SA"/>
        </w:rPr>
        <w:t xml:space="preserve">, </w:t>
      </w:r>
      <w:hyperlink r:id="rId789" w:history="1">
        <w:r>
          <w:rPr>
            <w:rFonts w:ascii="arial" w:eastAsia="arial" w:hAnsi="arial" w:cs="arial"/>
            <w:i/>
            <w:color w:val="0077CC"/>
            <w:sz w:val="20"/>
            <w:u w:val="single"/>
            <w:shd w:val="clear" w:color="auto" w:fill="FFFFFF"/>
            <w:lang w:val="en-US" w:eastAsia="en-US" w:bidi="ar-SA"/>
          </w:rPr>
          <w:t>2012 ONSC 2744</w:t>
        </w:r>
      </w:hyperlink>
      <w:r>
        <w:rPr>
          <w:rFonts w:ascii="arial" w:eastAsia="arial" w:hAnsi="arial" w:cs="arial"/>
          <w:color w:val="000000"/>
          <w:sz w:val="20"/>
          <w:lang w:val="en-US" w:eastAsia="en-US" w:bidi="ar-SA"/>
        </w:rPr>
        <w:t xml:space="preserve"> at paras. 21-23, aff'd </w:t>
      </w:r>
      <w:hyperlink r:id="rId790" w:history="1">
        <w:r>
          <w:rPr>
            <w:rFonts w:ascii="arial" w:eastAsia="arial" w:hAnsi="arial" w:cs="arial"/>
            <w:i/>
            <w:color w:val="0077CC"/>
            <w:sz w:val="20"/>
            <w:u w:val="single"/>
            <w:shd w:val="clear" w:color="auto" w:fill="FFFFFF"/>
            <w:lang w:val="en-US" w:eastAsia="en-US" w:bidi="ar-SA"/>
          </w:rPr>
          <w:t>2013 ONSC 1169</w:t>
        </w:r>
      </w:hyperlink>
      <w:r>
        <w:rPr>
          <w:rFonts w:ascii="arial" w:eastAsia="arial" w:hAnsi="arial" w:cs="arial"/>
          <w:color w:val="000000"/>
          <w:sz w:val="20"/>
          <w:lang w:val="en-US" w:eastAsia="en-US" w:bidi="ar-SA"/>
        </w:rPr>
        <w:t xml:space="preserve"> (Div Ct). The burden on the plaintiffs is low. The court must not weigh competing evidence but must consider only whether there is some basis in the evidence to support the plaintiffs' assertions.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The principles were aptly summarized by Perrell J. in </w:t>
      </w:r>
      <w:r>
        <w:rPr>
          <w:rFonts w:ascii="arial" w:eastAsia="arial" w:hAnsi="arial" w:cs="arial"/>
          <w:i/>
          <w:color w:val="000000"/>
          <w:sz w:val="20"/>
          <w:lang w:val="en-US" w:eastAsia="en-US" w:bidi="ar-SA"/>
        </w:rPr>
        <w:t>Arora</w:t>
      </w:r>
      <w:r>
        <w:rPr>
          <w:rFonts w:ascii="arial" w:eastAsia="arial" w:hAnsi="arial" w:cs="arial"/>
          <w:color w:val="000000"/>
          <w:sz w:val="20"/>
          <w:lang w:val="en-US" w:eastAsia="en-US" w:bidi="ar-SA"/>
        </w:rPr>
        <w:t xml:space="preserve"> at paras. 109-112: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class representative must come forward with sufficient evidence to support certification, and the opposing party may respond with evidence of its own to challenge certification: </w:t>
      </w:r>
      <w:r>
        <w:rPr>
          <w:rFonts w:ascii="arial" w:eastAsia="arial" w:hAnsi="arial" w:cs="arial"/>
          <w:i/>
          <w:color w:val="000000"/>
          <w:sz w:val="20"/>
          <w:lang w:val="en-US" w:eastAsia="en-US" w:bidi="ar-SA"/>
        </w:rPr>
        <w:t>Hollick v. Toronto (City</w:t>
      </w:r>
      <w:r>
        <w:rPr>
          <w:rFonts w:ascii="arial" w:eastAsia="arial" w:hAnsi="arial" w:cs="arial"/>
          <w:color w:val="000000"/>
          <w:sz w:val="20"/>
          <w:lang w:val="en-US" w:eastAsia="en-US" w:bidi="ar-SA"/>
        </w:rPr>
        <w:t xml:space="preserve">, </w:t>
      </w:r>
      <w:hyperlink r:id="rId785" w:history="1">
        <w:r>
          <w:rPr>
            <w:rFonts w:ascii="arial" w:eastAsia="arial" w:hAnsi="arial" w:cs="arial"/>
            <w:i/>
            <w:color w:val="0077CC"/>
            <w:sz w:val="20"/>
            <w:u w:val="single"/>
            <w:shd w:val="clear" w:color="auto" w:fill="FFFFFF"/>
            <w:lang w:val="en-US" w:eastAsia="en-US" w:bidi="ar-SA"/>
          </w:rPr>
          <w:t>[2001] 3 S.C.R. 158</w:t>
        </w:r>
      </w:hyperlink>
      <w:r>
        <w:rPr>
          <w:rFonts w:ascii="arial" w:eastAsia="arial" w:hAnsi="arial" w:cs="arial"/>
          <w:color w:val="000000"/>
          <w:sz w:val="20"/>
          <w:lang w:val="en-US" w:eastAsia="en-US" w:bidi="ar-SA"/>
        </w:rPr>
        <w:t xml:space="preserve"> at para. 22. Certification will be denied if there is an insufficient evidentiary basis for the facts on which the claims of the class members depend: </w:t>
      </w:r>
      <w:r>
        <w:rPr>
          <w:rFonts w:ascii="arial" w:eastAsia="arial" w:hAnsi="arial" w:cs="arial"/>
          <w:i/>
          <w:color w:val="000000"/>
          <w:sz w:val="20"/>
          <w:lang w:val="en-US" w:eastAsia="en-US" w:bidi="ar-SA"/>
        </w:rPr>
        <w:t>Williams v. Canon Canada Inc</w:t>
      </w:r>
      <w:r>
        <w:rPr>
          <w:rFonts w:ascii="arial" w:eastAsia="arial" w:hAnsi="arial" w:cs="arial"/>
          <w:color w:val="000000"/>
          <w:sz w:val="20"/>
          <w:lang w:val="en-US" w:eastAsia="en-US" w:bidi="ar-SA"/>
        </w:rPr>
        <w:t xml:space="preserve">, </w:t>
      </w:r>
      <w:hyperlink r:id="rId791" w:history="1">
        <w:r>
          <w:rPr>
            <w:rFonts w:ascii="arial" w:eastAsia="arial" w:hAnsi="arial" w:cs="arial"/>
            <w:i/>
            <w:color w:val="0077CC"/>
            <w:sz w:val="20"/>
            <w:u w:val="single"/>
            <w:shd w:val="clear" w:color="auto" w:fill="FFFFFF"/>
            <w:lang w:val="en-US" w:eastAsia="en-US" w:bidi="ar-SA"/>
          </w:rPr>
          <w:t>2011 ONSC 6571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Chadha v. Bayer Inc.</w:t>
      </w:r>
      <w:r>
        <w:rPr>
          <w:rFonts w:ascii="arial" w:eastAsia="arial" w:hAnsi="arial" w:cs="arial"/>
          <w:color w:val="000000"/>
          <w:sz w:val="20"/>
          <w:lang w:val="en-US" w:eastAsia="en-US" w:bidi="ar-SA"/>
        </w:rPr>
        <w:t xml:space="preserve">, </w:t>
      </w:r>
      <w:hyperlink r:id="rId792" w:history="1">
        <w:r>
          <w:rPr>
            <w:rFonts w:ascii="arial" w:eastAsia="arial" w:hAnsi="arial" w:cs="arial"/>
            <w:i/>
            <w:color w:val="0077CC"/>
            <w:sz w:val="20"/>
            <w:u w:val="single"/>
            <w:shd w:val="clear" w:color="auto" w:fill="FFFFFF"/>
            <w:lang w:val="en-US" w:eastAsia="en-US" w:bidi="ar-SA"/>
          </w:rPr>
          <w:t>(2003) 63 O.R. (3d) 22</w:t>
        </w:r>
      </w:hyperlink>
      <w:r>
        <w:rPr>
          <w:rFonts w:ascii="arial" w:eastAsia="arial" w:hAnsi="arial" w:cs="arial"/>
          <w:color w:val="000000"/>
          <w:sz w:val="20"/>
          <w:lang w:val="en-US" w:eastAsia="en-US" w:bidi="ar-SA"/>
        </w:rPr>
        <w:t xml:space="preserve"> (C.A.), leave to appeal to S.C.C. ref'd </w:t>
      </w:r>
      <w:hyperlink r:id="rId793" w:history="1">
        <w:r>
          <w:rPr>
            <w:rFonts w:ascii="arial" w:eastAsia="arial" w:hAnsi="arial" w:cs="arial"/>
            <w:i/>
            <w:color w:val="0077CC"/>
            <w:sz w:val="20"/>
            <w:u w:val="single"/>
            <w:shd w:val="clear" w:color="auto" w:fill="FFFFFF"/>
            <w:lang w:val="en-US" w:eastAsia="en-US" w:bidi="ar-SA"/>
          </w:rPr>
          <w:t>[2003] S.C.C.A. No. 106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Ernewein v. General Motors of Canada Ltd.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 xml:space="preserve">Taub v. Manufacturers Life Insurance Co., </w:t>
      </w:r>
      <w:hyperlink r:id="rId794" w:history="1">
        <w:r>
          <w:rPr>
            <w:rFonts w:ascii="arial" w:eastAsia="arial" w:hAnsi="arial" w:cs="arial"/>
            <w:i/>
            <w:color w:val="0077CC"/>
            <w:sz w:val="20"/>
            <w:u w:val="single"/>
            <w:shd w:val="clear" w:color="auto" w:fill="FFFFFF"/>
            <w:lang w:val="en-US" w:eastAsia="en-US" w:bidi="ar-SA"/>
          </w:rPr>
          <w:t>[1998] O.J. No. 2694</w:t>
        </w:r>
      </w:hyperlink>
      <w:r>
        <w:rPr>
          <w:rFonts w:ascii="arial" w:eastAsia="arial" w:hAnsi="arial" w:cs="arial"/>
          <w:i/>
          <w:color w:val="000000"/>
          <w:sz w:val="20"/>
          <w:lang w:val="en-US" w:eastAsia="en-US" w:bidi="ar-SA"/>
        </w:rPr>
        <w:t>, supra</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 a certification motion, evidence directed at the merits may be admissible if it also bears on the requirements for certification but, in such cases, the issues are not decided on the basis of a balance of probabilities but rather on that of the applicable much less stringent test of "some basis in fact": </w:t>
      </w:r>
      <w:r>
        <w:rPr>
          <w:rFonts w:ascii="arial" w:eastAsia="arial" w:hAnsi="arial" w:cs="arial"/>
          <w:i/>
          <w:color w:val="000000"/>
          <w:sz w:val="20"/>
          <w:lang w:val="en-US" w:eastAsia="en-US" w:bidi="ar-SA"/>
        </w:rPr>
        <w:t>Hollick v. Toronto (City)</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at paras. 16-26; </w:t>
      </w:r>
      <w:r>
        <w:rPr>
          <w:rFonts w:ascii="arial" w:eastAsia="arial" w:hAnsi="arial" w:cs="arial"/>
          <w:i/>
          <w:color w:val="000000"/>
          <w:sz w:val="20"/>
          <w:lang w:val="en-US" w:eastAsia="en-US" w:bidi="ar-SA"/>
        </w:rPr>
        <w:t>Cloud v. Canada</w:t>
      </w:r>
      <w:r>
        <w:rPr>
          <w:rFonts w:ascii="arial" w:eastAsia="arial" w:hAnsi="arial" w:cs="arial"/>
          <w:color w:val="000000"/>
          <w:sz w:val="20"/>
          <w:lang w:val="en-US" w:eastAsia="en-US" w:bidi="ar-SA"/>
        </w:rPr>
        <w:t xml:space="preserve">, </w:t>
      </w:r>
      <w:hyperlink r:id="rId795" w:history="1">
        <w:r>
          <w:rPr>
            <w:rFonts w:ascii="arial" w:eastAsia="arial" w:hAnsi="arial" w:cs="arial"/>
            <w:i/>
            <w:color w:val="0077CC"/>
            <w:sz w:val="20"/>
            <w:u w:val="single"/>
            <w:shd w:val="clear" w:color="auto" w:fill="FFFFFF"/>
            <w:lang w:val="en-US" w:eastAsia="en-US" w:bidi="ar-SA"/>
          </w:rPr>
          <w:t>[2004] O.J. No. 4924</w:t>
        </w:r>
      </w:hyperlink>
      <w:r>
        <w:rPr>
          <w:rFonts w:ascii="arial" w:eastAsia="arial" w:hAnsi="arial" w:cs="arial"/>
          <w:color w:val="000000"/>
          <w:sz w:val="20"/>
          <w:lang w:val="en-US" w:eastAsia="en-US" w:bidi="ar-SA"/>
        </w:rPr>
        <w:t xml:space="preserve"> (C.A.), at para. 50.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evidence on a motion for certification must meet the usual standards for admissibility: </w:t>
      </w:r>
      <w:r>
        <w:rPr>
          <w:rFonts w:ascii="arial" w:eastAsia="arial" w:hAnsi="arial" w:cs="arial"/>
          <w:i/>
          <w:color w:val="000000"/>
          <w:sz w:val="20"/>
          <w:lang w:val="en-US" w:eastAsia="en-US" w:bidi="ar-SA"/>
        </w:rPr>
        <w:t>Martin v. Astrazeneca Pharmaceuticals PLC,</w:t>
      </w:r>
      <w:r>
        <w:rPr>
          <w:rFonts w:ascii="arial" w:eastAsia="arial" w:hAnsi="arial" w:cs="arial"/>
          <w:color w:val="000000"/>
          <w:sz w:val="20"/>
          <w:lang w:val="en-US" w:eastAsia="en-US" w:bidi="ar-SA"/>
        </w:rPr>
        <w:t xml:space="preserve"> </w:t>
      </w:r>
      <w:hyperlink r:id="rId789" w:history="1">
        <w:r>
          <w:rPr>
            <w:rFonts w:ascii="arial" w:eastAsia="arial" w:hAnsi="arial" w:cs="arial"/>
            <w:i/>
            <w:color w:val="0077CC"/>
            <w:sz w:val="20"/>
            <w:u w:val="single"/>
            <w:shd w:val="clear" w:color="auto" w:fill="FFFFFF"/>
            <w:lang w:val="en-US" w:eastAsia="en-US" w:bidi="ar-SA"/>
          </w:rPr>
          <w:t>2012 ONSC 2744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Williams v. Canon Canada Inc., supra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Ernewein v. General Motors of Canada Ltd.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Schick v. Boehringer Ingelheim (Canada) Ltd.</w:t>
      </w:r>
      <w:r>
        <w:rPr>
          <w:rFonts w:ascii="arial" w:eastAsia="arial" w:hAnsi="arial" w:cs="arial"/>
          <w:color w:val="000000"/>
          <w:sz w:val="20"/>
          <w:lang w:val="en-US" w:eastAsia="en-US" w:bidi="ar-SA"/>
        </w:rPr>
        <w:t xml:space="preserve">, </w:t>
      </w:r>
      <w:hyperlink r:id="rId796" w:history="1">
        <w:r>
          <w:rPr>
            <w:rFonts w:ascii="arial" w:eastAsia="arial" w:hAnsi="arial" w:cs="arial"/>
            <w:i/>
            <w:color w:val="0077CC"/>
            <w:sz w:val="20"/>
            <w:u w:val="single"/>
            <w:shd w:val="clear" w:color="auto" w:fill="FFFFFF"/>
            <w:lang w:val="en-US" w:eastAsia="en-US" w:bidi="ar-SA"/>
          </w:rPr>
          <w:t>2011 ONSC 63</w:t>
        </w:r>
      </w:hyperlink>
      <w:r>
        <w:rPr>
          <w:rFonts w:ascii="arial" w:eastAsia="arial" w:hAnsi="arial" w:cs="arial"/>
          <w:color w:val="000000"/>
          <w:sz w:val="20"/>
          <w:lang w:val="en-US" w:eastAsia="en-US" w:bidi="ar-SA"/>
        </w:rPr>
        <w:t xml:space="preserve"> at para. 13.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That the plaintiff has shown that there is some basis in fact for a criterion for certification does not end the analysis. The some basis in fact test is applied as a necessary but a sufficient condition for certification. In so far as a criterion is factual, the plaintiff is more favourably treated than is the defendant by the some basis in fact standard. However, all the criteria are issues of mixed fact and law, and the legal and policy side of the class definition, commonality, preferability, and the adequacy of the representative plaintiff are matters of argument and not just facts, although there must be a factual basis for the arguments: </w:t>
      </w:r>
      <w:r>
        <w:rPr>
          <w:rFonts w:ascii="arial" w:eastAsia="arial" w:hAnsi="arial" w:cs="arial"/>
          <w:i/>
          <w:color w:val="000000"/>
          <w:sz w:val="20"/>
          <w:lang w:val="en-US" w:eastAsia="en-US" w:bidi="ar-SA"/>
        </w:rPr>
        <w:t>McCracken v. Canadian National Railway</w:t>
      </w:r>
      <w:r>
        <w:rPr>
          <w:rFonts w:ascii="arial" w:eastAsia="arial" w:hAnsi="arial" w:cs="arial"/>
          <w:color w:val="000000"/>
          <w:sz w:val="20"/>
          <w:lang w:val="en-US" w:eastAsia="en-US" w:bidi="ar-SA"/>
        </w:rPr>
        <w:t xml:space="preserve">, </w:t>
      </w:r>
      <w:hyperlink r:id="rId797" w:history="1">
        <w:r>
          <w:rPr>
            <w:rFonts w:ascii="arial" w:eastAsia="arial" w:hAnsi="arial" w:cs="arial"/>
            <w:i/>
            <w:color w:val="0077CC"/>
            <w:sz w:val="20"/>
            <w:u w:val="single"/>
            <w:shd w:val="clear" w:color="auto" w:fill="FFFFFF"/>
            <w:lang w:val="en-US" w:eastAsia="en-US" w:bidi="ar-SA"/>
          </w:rPr>
          <w:t>2010 ONSC 4520</w:t>
        </w:r>
      </w:hyperlink>
      <w:r>
        <w:rPr>
          <w:rFonts w:ascii="arial" w:eastAsia="arial" w:hAnsi="arial" w:cs="arial"/>
          <w:color w:val="000000"/>
          <w:sz w:val="20"/>
          <w:lang w:val="en-US" w:eastAsia="en-US" w:bidi="ar-SA"/>
        </w:rPr>
        <w:t xml:space="preserve"> at paras. 283-301, rev'd on other grounds, </w:t>
      </w:r>
      <w:hyperlink r:id="rId798" w:history="1">
        <w:r>
          <w:rPr>
            <w:rFonts w:ascii="arial" w:eastAsia="arial" w:hAnsi="arial" w:cs="arial"/>
            <w:i/>
            <w:color w:val="0077CC"/>
            <w:sz w:val="20"/>
            <w:u w:val="single"/>
            <w:shd w:val="clear" w:color="auto" w:fill="FFFFFF"/>
            <w:lang w:val="en-US" w:eastAsia="en-US" w:bidi="ar-SA"/>
          </w:rPr>
          <w:t>2012 ONCA 445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The statement, "evidence directed at the merits may be admissible if it also bears on the requirements for certification" requires some comment. Where the defendants adduce evidence to challenge certification, as they have done here, it is proper for the court to scrutinize the plaintiffs' evidence by reference to the defendants' evidence but care must be taken not to engage in an impermissible weighing of the evidence: see </w:t>
      </w:r>
      <w:r>
        <w:rPr>
          <w:rFonts w:ascii="arial" w:eastAsia="arial" w:hAnsi="arial" w:cs="arial"/>
          <w:i/>
          <w:color w:val="000000"/>
          <w:sz w:val="20"/>
          <w:lang w:val="en-US" w:eastAsia="en-US" w:bidi="ar-SA"/>
        </w:rPr>
        <w:t>Martin v Astrazeneca Pharmaceuticals PLC</w:t>
      </w:r>
      <w:r>
        <w:rPr>
          <w:rFonts w:ascii="arial" w:eastAsia="arial" w:hAnsi="arial" w:cs="arial"/>
          <w:color w:val="000000"/>
          <w:sz w:val="20"/>
          <w:lang w:val="en-US" w:eastAsia="en-US" w:bidi="ar-SA"/>
        </w:rPr>
        <w:t xml:space="preserve">, </w:t>
      </w:r>
      <w:hyperlink r:id="rId789" w:history="1">
        <w:r>
          <w:rPr>
            <w:rFonts w:ascii="arial" w:eastAsia="arial" w:hAnsi="arial" w:cs="arial"/>
            <w:i/>
            <w:color w:val="0077CC"/>
            <w:sz w:val="20"/>
            <w:u w:val="single"/>
            <w:shd w:val="clear" w:color="auto" w:fill="FFFFFF"/>
            <w:lang w:val="en-US" w:eastAsia="en-US" w:bidi="ar-SA"/>
          </w:rPr>
          <w:t>2012 ONSC 2744</w:t>
        </w:r>
      </w:hyperlink>
      <w:r>
        <w:rPr>
          <w:rFonts w:ascii="arial" w:eastAsia="arial" w:hAnsi="arial" w:cs="arial"/>
          <w:color w:val="000000"/>
          <w:sz w:val="20"/>
          <w:lang w:val="en-US" w:eastAsia="en-US" w:bidi="ar-SA"/>
        </w:rPr>
        <w:t xml:space="preserve"> at paras. 38-39; </w:t>
      </w:r>
      <w:hyperlink r:id="rId790" w:history="1">
        <w:r>
          <w:rPr>
            <w:rFonts w:ascii="arial" w:eastAsia="arial" w:hAnsi="arial" w:cs="arial"/>
            <w:i/>
            <w:color w:val="0077CC"/>
            <w:sz w:val="20"/>
            <w:u w:val="single"/>
            <w:shd w:val="clear" w:color="auto" w:fill="FFFFFF"/>
            <w:lang w:val="en-US" w:eastAsia="en-US" w:bidi="ar-SA"/>
          </w:rPr>
          <w:t>2013 ONSC 1169</w:t>
        </w:r>
      </w:hyperlink>
      <w:r>
        <w:rPr>
          <w:rFonts w:ascii="arial" w:eastAsia="arial" w:hAnsi="arial" w:cs="arial"/>
          <w:color w:val="000000"/>
          <w:sz w:val="20"/>
          <w:lang w:val="en-US" w:eastAsia="en-US" w:bidi="ar-SA"/>
        </w:rPr>
        <w:t xml:space="preserve"> (Div Ct) at paras. 7-9.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In essence the court acts as a gatekeeper and must consider all of the admissible evidence and decide if the criteria for certification are satisfied.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defendants challenge this application for certification on numerous bases. The main issues relate to whether reasonable causes of action are disclosed in the pleadings, whether there is a sufficient evidentiary base for the certification requirements, whether there are common issues that can properly be certified, and whether a class proceeding is the preferable procedure.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New UFW's focus is on the causes of action and the common issues. Old UFW's focus is on the evidentiary base and the common issues. All defendants take the position that a class proceeding is not the preferable procedure.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Assessment of certification requirements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There is an overall problem with the pleadings in this case, which has made the court's assessment of the certification requirements quite difficult. In many instances, the plaintiffs failed to plead the material facts on which they base their claims, or failed to provide sufficient particulars of alleged misrepresentations.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As Kirkpatrick J. (as she then was) said in </w:t>
      </w:r>
      <w:r>
        <w:rPr>
          <w:rFonts w:ascii="arial" w:eastAsia="arial" w:hAnsi="arial" w:cs="arial"/>
          <w:i/>
          <w:color w:val="000000"/>
          <w:sz w:val="20"/>
          <w:lang w:val="en-US" w:eastAsia="en-US" w:bidi="ar-SA"/>
        </w:rPr>
        <w:t>LR v British Columbia</w:t>
      </w:r>
      <w:r>
        <w:rPr>
          <w:rFonts w:ascii="arial" w:eastAsia="arial" w:hAnsi="arial" w:cs="arial"/>
          <w:color w:val="000000"/>
          <w:sz w:val="20"/>
          <w:lang w:val="en-US" w:eastAsia="en-US" w:bidi="ar-SA"/>
        </w:rPr>
        <w:t xml:space="preserve"> </w:t>
      </w:r>
      <w:hyperlink r:id="rId799" w:history="1">
        <w:r>
          <w:rPr>
            <w:rFonts w:ascii="arial" w:eastAsia="arial" w:hAnsi="arial" w:cs="arial"/>
            <w:i/>
            <w:color w:val="0077CC"/>
            <w:sz w:val="20"/>
            <w:u w:val="single"/>
            <w:shd w:val="clear" w:color="auto" w:fill="FFFFFF"/>
            <w:lang w:val="en-US" w:eastAsia="en-US" w:bidi="ar-SA"/>
          </w:rPr>
          <w:t>(1998), 65 BCLR (3d) 382</w:t>
        </w:r>
      </w:hyperlink>
      <w:r>
        <w:rPr>
          <w:rFonts w:ascii="arial" w:eastAsia="arial" w:hAnsi="arial" w:cs="arial"/>
          <w:color w:val="000000"/>
          <w:sz w:val="20"/>
          <w:lang w:val="en-US" w:eastAsia="en-US" w:bidi="ar-SA"/>
        </w:rPr>
        <w:t xml:space="preserve"> (SC) at para. 23, rev'd on other grounds </w:t>
      </w:r>
      <w:hyperlink r:id="rId800" w:history="1">
        <w:r>
          <w:rPr>
            <w:rFonts w:ascii="arial" w:eastAsia="arial" w:hAnsi="arial" w:cs="arial"/>
            <w:i/>
            <w:color w:val="0077CC"/>
            <w:sz w:val="20"/>
            <w:u w:val="single"/>
            <w:shd w:val="clear" w:color="auto" w:fill="FFFFFF"/>
            <w:lang w:val="en-US" w:eastAsia="en-US" w:bidi="ar-SA"/>
          </w:rPr>
          <w:t>1999 BCCA 689</w:t>
        </w:r>
      </w:hyperlink>
      <w:r>
        <w:rPr>
          <w:rFonts w:ascii="arial" w:eastAsia="arial" w:hAnsi="arial" w:cs="arial"/>
          <w:color w:val="000000"/>
          <w:sz w:val="20"/>
          <w:lang w:val="en-US" w:eastAsia="en-US" w:bidi="ar-SA"/>
        </w:rPr>
        <w:t xml:space="preserve">, aff'd </w:t>
      </w:r>
      <w:hyperlink r:id="rId801" w:history="1">
        <w:r>
          <w:rPr>
            <w:rFonts w:ascii="arial" w:eastAsia="arial" w:hAnsi="arial" w:cs="arial"/>
            <w:i/>
            <w:color w:val="0077CC"/>
            <w:sz w:val="20"/>
            <w:u w:val="single"/>
            <w:shd w:val="clear" w:color="auto" w:fill="FFFFFF"/>
            <w:lang w:val="en-US" w:eastAsia="en-US" w:bidi="ar-SA"/>
          </w:rPr>
          <w:t>2001 SCC 69</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important to recognize that, in an application to certify a class action, the question of particulars is significant because the court is required to assess the suitability of the action as a class action. That exercise requires information traditionally supplied through particulars - the nature of the case and issues to be tried - as well as whether, in the words of s. 4(2)(a) of the Act, "questions of fact or law common to the members of the class predominate over any questions affecting only individual members." That assessment cannot be made in an information vacuum.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This lack of particulars resulted in a lack of focus by the plaintiffs on the real issues in this case. This was demonstrated in part by submissions that did not always relate to what was pleaded, and positions that changed throughout the submissions on key issues such as what documents and representations form the basis for the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For the reasons outlined below, I have concluded that the plaintiffs have not met the requirements for certification. The pleadings do not disclose reasonable causes of action for breach of warranty, successor supplier liability of New UFW under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there are few common issues; and there is an insufficient evidentiary basis to support many of the allegations.</w:t>
      </w:r>
      <w:r>
        <w:rPr>
          <w:rFonts w:ascii="arial" w:eastAsia="arial" w:hAnsi="arial" w:cs="arial"/>
          <w:sz w:val="20"/>
          <w:lang w:val="en-US" w:eastAsia="en-US" w:bidi="ar-SA"/>
        </w:rPr>
        <w:cr/>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pleadings disclose a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The test for determining if the pleadings disclose a cause of action is the same test that is applied to strike an action as disclosing no reasonable claim under Rule 9-5(1)(a)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168/2009</w:t>
      </w:r>
      <w:r>
        <w:rPr>
          <w:rFonts w:ascii="arial" w:eastAsia="arial" w:hAnsi="arial" w:cs="arial"/>
          <w:color w:val="000000"/>
          <w:sz w:val="20"/>
          <w:lang w:val="en-US" w:eastAsia="en-US" w:bidi="ar-SA"/>
        </w:rPr>
        <w:t xml:space="preserve">. This is the test established in </w:t>
      </w:r>
      <w:r>
        <w:rPr>
          <w:rFonts w:ascii="arial" w:eastAsia="arial" w:hAnsi="arial" w:cs="arial"/>
          <w:i/>
          <w:color w:val="000000"/>
          <w:sz w:val="20"/>
          <w:lang w:val="en-US" w:eastAsia="en-US" w:bidi="ar-SA"/>
        </w:rPr>
        <w:t>Hunt v Carey Canada Inc</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[1990] 2 SCR 959</w:t>
      </w:r>
      <w:r>
        <w:rPr>
          <w:rFonts w:ascii="arial" w:eastAsia="arial" w:hAnsi="arial" w:cs="arial"/>
          <w:color w:val="000000"/>
          <w:sz w:val="20"/>
          <w:lang w:val="en-US" w:eastAsia="en-US" w:bidi="ar-SA"/>
        </w:rPr>
        <w:t xml:space="preserve"> and reiterated more recently in </w:t>
      </w:r>
      <w:r>
        <w:rPr>
          <w:rFonts w:ascii="arial" w:eastAsia="arial" w:hAnsi="arial" w:cs="arial"/>
          <w:i/>
          <w:color w:val="000000"/>
          <w:sz w:val="20"/>
          <w:lang w:val="en-US" w:eastAsia="en-US" w:bidi="ar-SA"/>
        </w:rPr>
        <w:t>R v Imperial Tobacco Canada Ltd</w:t>
      </w:r>
      <w:r>
        <w:rPr>
          <w:rFonts w:ascii="arial" w:eastAsia="arial" w:hAnsi="arial" w:cs="arial"/>
          <w:color w:val="000000"/>
          <w:sz w:val="20"/>
          <w:lang w:val="en-US" w:eastAsia="en-US" w:bidi="ar-SA"/>
        </w:rPr>
        <w:t xml:space="preserve">, </w:t>
      </w:r>
      <w:hyperlink r:id="rId802" w:history="1">
        <w:r>
          <w:rPr>
            <w:rFonts w:ascii="arial" w:eastAsia="arial" w:hAnsi="arial" w:cs="arial"/>
            <w:i/>
            <w:color w:val="0077CC"/>
            <w:sz w:val="20"/>
            <w:u w:val="single"/>
            <w:shd w:val="clear" w:color="auto" w:fill="FFFFFF"/>
            <w:lang w:val="en-US" w:eastAsia="en-US" w:bidi="ar-SA"/>
          </w:rPr>
          <w:t>2011 SCC 42</w:t>
        </w:r>
      </w:hyperlink>
      <w:r>
        <w:rPr>
          <w:rFonts w:ascii="arial" w:eastAsia="arial" w:hAnsi="arial" w:cs="arial"/>
          <w:color w:val="000000"/>
          <w:sz w:val="20"/>
          <w:lang w:val="en-US" w:eastAsia="en-US" w:bidi="ar-SA"/>
        </w:rPr>
        <w:t xml:space="preserve">, whether it is "plain and obvious," assuming the facts pleaded are true, that the claim discloses no reasonable cause of action, has no reasonable prospect of success, or if the action is "certain to fail". If there is a chance that the plaintiffs might succeed, then they should not be "driven from the judgment seat": </w:t>
      </w:r>
      <w:r>
        <w:rPr>
          <w:rFonts w:ascii="arial" w:eastAsia="arial" w:hAnsi="arial" w:cs="arial"/>
          <w:i/>
          <w:color w:val="000000"/>
          <w:sz w:val="20"/>
          <w:lang w:val="en-US" w:eastAsia="en-US" w:bidi="ar-SA"/>
        </w:rPr>
        <w:t>Hunt</w:t>
      </w:r>
      <w:r>
        <w:rPr>
          <w:rFonts w:ascii="arial" w:eastAsia="arial" w:hAnsi="arial" w:cs="arial"/>
          <w:color w:val="000000"/>
          <w:sz w:val="20"/>
          <w:lang w:val="en-US" w:eastAsia="en-US" w:bidi="ar-SA"/>
        </w:rPr>
        <w:t xml:space="preserve"> at para. 33. Under Rule 9-5(2), no evidence is admissible on such an application. In the context of certification, it is the plaintiff who bears the burden of establishing the existence of a cause of action: </w:t>
      </w:r>
      <w:r>
        <w:rPr>
          <w:rFonts w:ascii="arial" w:eastAsia="arial" w:hAnsi="arial" w:cs="arial"/>
          <w:i/>
          <w:color w:val="000000"/>
          <w:sz w:val="20"/>
          <w:lang w:val="en-US" w:eastAsia="en-US" w:bidi="ar-SA"/>
        </w:rPr>
        <w:t>Fakhri</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v Alfalfa's Canada, Inc</w:t>
      </w:r>
      <w:r>
        <w:rPr>
          <w:rFonts w:ascii="arial" w:eastAsia="arial" w:hAnsi="arial" w:cs="arial"/>
          <w:color w:val="000000"/>
          <w:sz w:val="20"/>
          <w:lang w:val="en-US" w:eastAsia="en-US" w:bidi="ar-SA"/>
        </w:rPr>
        <w:t xml:space="preserve">, </w:t>
      </w:r>
      <w:hyperlink r:id="rId803" w:history="1">
        <w:r>
          <w:rPr>
            <w:rFonts w:ascii="arial" w:eastAsia="arial" w:hAnsi="arial" w:cs="arial"/>
            <w:i/>
            <w:color w:val="0077CC"/>
            <w:sz w:val="20"/>
            <w:u w:val="single"/>
            <w:shd w:val="clear" w:color="auto" w:fill="FFFFFF"/>
            <w:lang w:val="en-US" w:eastAsia="en-US" w:bidi="ar-SA"/>
          </w:rPr>
          <w:t>2003 BCSC 1717</w:t>
        </w:r>
      </w:hyperlink>
      <w:r>
        <w:rPr>
          <w:rFonts w:ascii="arial" w:eastAsia="arial" w:hAnsi="arial" w:cs="arial"/>
          <w:color w:val="000000"/>
          <w:sz w:val="20"/>
          <w:lang w:val="en-US" w:eastAsia="en-US" w:bidi="ar-SA"/>
        </w:rPr>
        <w:t xml:space="preserve"> at para. 30, aff'd </w:t>
      </w:r>
      <w:hyperlink r:id="rId804" w:history="1">
        <w:r>
          <w:rPr>
            <w:rFonts w:ascii="arial" w:eastAsia="arial" w:hAnsi="arial" w:cs="arial"/>
            <w:i/>
            <w:color w:val="0077CC"/>
            <w:sz w:val="20"/>
            <w:u w:val="single"/>
            <w:shd w:val="clear" w:color="auto" w:fill="FFFFFF"/>
            <w:lang w:val="en-US" w:eastAsia="en-US" w:bidi="ar-SA"/>
          </w:rPr>
          <w:t>2004 BCCA 549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Elms v Laurentian Bank of Canada</w:t>
      </w:r>
      <w:r>
        <w:rPr>
          <w:rFonts w:ascii="arial" w:eastAsia="arial" w:hAnsi="arial" w:cs="arial"/>
          <w:color w:val="000000"/>
          <w:sz w:val="20"/>
          <w:lang w:val="en-US" w:eastAsia="en-US" w:bidi="ar-SA"/>
        </w:rPr>
        <w:t xml:space="preserve">, </w:t>
      </w:r>
      <w:hyperlink r:id="rId805" w:history="1">
        <w:r>
          <w:rPr>
            <w:rFonts w:ascii="arial" w:eastAsia="arial" w:hAnsi="arial" w:cs="arial"/>
            <w:i/>
            <w:color w:val="0077CC"/>
            <w:sz w:val="20"/>
            <w:u w:val="single"/>
            <w:shd w:val="clear" w:color="auto" w:fill="FFFFFF"/>
            <w:lang w:val="en-US" w:eastAsia="en-US" w:bidi="ar-SA"/>
          </w:rPr>
          <w:t>2001 BCCA 429</w:t>
        </w:r>
      </w:hyperlink>
      <w:r>
        <w:rPr>
          <w:rFonts w:ascii="arial" w:eastAsia="arial" w:hAnsi="arial" w:cs="arial"/>
          <w:color w:val="000000"/>
          <w:sz w:val="20"/>
          <w:lang w:val="en-US" w:eastAsia="en-US" w:bidi="ar-SA"/>
        </w:rPr>
        <w:t xml:space="preserve"> at para. 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New UFW submits that the Notice of Civil Claim does not advance any claim against some of the corporate defendants and does not adequately plead material facts that disclose any cause of action for breach of contract,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any viable claim under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for liability of New UFW as a successor supplier or for consequential relief.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Claims against some of the corporate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Mr. Dixon, counsel for New UFW, advised the court that the named defendants The Brick Furniture Warehouse Ltd. and The Brick Warehouse Corporation do not exist. Because of this, no appearances were entered on behalf of these entities. Counsel for the plaintiffs took no issue with these statements from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Mr. Dixon submitted that no cause of action is disclosed against the remaining "Brick" group of defendants: The Brick GP Ltd. and The Brick Warehouse Limited Partnership. The only basis for their inclusion is the allegation of an ownership interest in New UFW. I agree with his submission that a pleading which simply lumps different corporate entities together as one without identifying specific acts undertaken by each is not a viable claim in law. Similar kinds of claims were struck in </w:t>
      </w:r>
      <w:r>
        <w:rPr>
          <w:rFonts w:ascii="arial" w:eastAsia="arial" w:hAnsi="arial" w:cs="arial"/>
          <w:i/>
          <w:color w:val="000000"/>
          <w:sz w:val="20"/>
          <w:lang w:val="en-US" w:eastAsia="en-US" w:bidi="ar-SA"/>
        </w:rPr>
        <w:t>Martin v Astrazeneca</w:t>
      </w:r>
      <w:r>
        <w:rPr>
          <w:rFonts w:ascii="arial" w:eastAsia="arial" w:hAnsi="arial" w:cs="arial"/>
          <w:color w:val="000000"/>
          <w:sz w:val="20"/>
          <w:lang w:val="en-US" w:eastAsia="en-US" w:bidi="ar-SA"/>
        </w:rPr>
        <w:t xml:space="preserve"> ( </w:t>
      </w:r>
      <w:hyperlink r:id="rId789" w:history="1">
        <w:r>
          <w:rPr>
            <w:rFonts w:ascii="arial" w:eastAsia="arial" w:hAnsi="arial" w:cs="arial"/>
            <w:i/>
            <w:color w:val="0077CC"/>
            <w:sz w:val="20"/>
            <w:u w:val="single"/>
            <w:shd w:val="clear" w:color="auto" w:fill="FFFFFF"/>
            <w:lang w:val="en-US" w:eastAsia="en-US" w:bidi="ar-SA"/>
          </w:rPr>
          <w:t>2012 ONSC 2744</w:t>
        </w:r>
      </w:hyperlink>
      <w:r>
        <w:rPr>
          <w:rFonts w:ascii="arial" w:eastAsia="arial" w:hAnsi="arial" w:cs="arial"/>
          <w:color w:val="000000"/>
          <w:sz w:val="20"/>
          <w:lang w:val="en-US" w:eastAsia="en-US" w:bidi="ar-SA"/>
        </w:rPr>
        <w:t>) at paras. 120-127.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The plaintiffs attempted to address this deficiency in their proposed Amended Claim by adding an allegation that The Brick Warehouse Limited Partnership is a limited partner of United Furniture Warehouse Limited Partnership and is liable for its debts and obligations "to the extent of property the limited partner has contributed or agreed to contribute" to its capital. I am told that this is based on s. 57 of the </w:t>
      </w:r>
      <w:r>
        <w:rPr>
          <w:rFonts w:ascii="arial" w:eastAsia="arial" w:hAnsi="arial" w:cs="arial"/>
          <w:i/>
          <w:color w:val="000000"/>
          <w:sz w:val="20"/>
          <w:lang w:val="en-US" w:eastAsia="en-US" w:bidi="ar-SA"/>
        </w:rPr>
        <w:t>Partnership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348</w:t>
      </w:r>
      <w:r>
        <w:rPr>
          <w:rFonts w:ascii="arial" w:eastAsia="arial" w:hAnsi="arial" w:cs="arial"/>
          <w:color w:val="000000"/>
          <w:sz w:val="20"/>
          <w:lang w:val="en-US" w:eastAsia="en-US" w:bidi="ar-SA"/>
        </w:rPr>
        <w:t>, which provides that "a limited partner is not liable for the obligations of the limited partnership except in respect of the amount of property he or she contributes or agrees to contribute to the capital of the limited partnership".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Mr. Dixon says that this does not address the omission of any pleading that sets out what the Brick defendants are alleged to have done. He submitted that s. 57 of the </w:t>
      </w:r>
      <w:r>
        <w:rPr>
          <w:rFonts w:ascii="arial" w:eastAsia="arial" w:hAnsi="arial" w:cs="arial"/>
          <w:i/>
          <w:color w:val="000000"/>
          <w:sz w:val="20"/>
          <w:lang w:val="en-US" w:eastAsia="en-US" w:bidi="ar-SA"/>
        </w:rPr>
        <w:t>Partnership Act</w:t>
      </w:r>
      <w:r>
        <w:rPr>
          <w:rFonts w:ascii="arial" w:eastAsia="arial" w:hAnsi="arial" w:cs="arial"/>
          <w:color w:val="000000"/>
          <w:sz w:val="20"/>
          <w:lang w:val="en-US" w:eastAsia="en-US" w:bidi="ar-SA"/>
        </w:rPr>
        <w:t xml:space="preserve"> does not create a cause of action and pointed out that under s. 77, it is not necessary to name any of the limited partners in a legal proceeding against the limited partnership. As I understand his position, The Brick Warehouse Limited Partnership will, as a matter of law, be liable for the obligations of United Furniture Warehouse Limited Partnership if it contributes or agrees to contribute to the capital of that limited partnership.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plaintiffs offered no response to this submission. My view is that in the absence of any basis in fact to include the Brick defendants, it is plain and obvious that any claims against them are bound to fail, and the proposed amendments do not remedy this deficiency.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Breach of warranty or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pleadings refer to both breach of warranty and breach of contract. The parties treated these claims as equivalent, and I have done the same. Although breach of warranty is a type of breach of contract that gives rise to specific legal consequences (for example, the different consequence of a breach of warranty and a breach of condition), any differences are not material on the basis of the claims made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To establish a claim for breach of warranty or breach of contract, a pleading must allege (a) the existence of a contract between the plaintiff and the defendant; (b) the material terms of the contract, and whether they are express or implied; (c) the particular conduct of the defendant that is alleged to constitute a breach of the express or implied terms of the contract; and (d) the damages, if any, alleged to have been suffered by the plaintiff: see S. Goulding, </w:t>
      </w:r>
      <w:r>
        <w:rPr>
          <w:rFonts w:ascii="arial" w:eastAsia="arial" w:hAnsi="arial" w:cs="arial"/>
          <w:i/>
          <w:color w:val="000000"/>
          <w:sz w:val="20"/>
          <w:lang w:val="en-US" w:eastAsia="en-US" w:bidi="ar-SA"/>
        </w:rPr>
        <w:t>Odgers on Civil Court Actions</w:t>
      </w:r>
      <w:r>
        <w:rPr>
          <w:rFonts w:ascii="arial" w:eastAsia="arial" w:hAnsi="arial" w:cs="arial"/>
          <w:color w:val="000000"/>
          <w:sz w:val="20"/>
          <w:lang w:val="en-US" w:eastAsia="en-US" w:bidi="ar-SA"/>
        </w:rPr>
        <w:t>, 24th ed (London: Sweet &amp; Maxwell, 1996) at paras. 12.13 to 12.20.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Where a claim relies on an implied contractual term, the material facts that establish the implied term must relate to one of three grounds: (a) custom or usage; (b) the legal incidents of a particular class or kind of contract; or (c) the presumed intention of the parties where the implied term is necessary "to give business efficacy" to a contract: </w:t>
      </w:r>
      <w:r>
        <w:rPr>
          <w:rFonts w:ascii="arial" w:eastAsia="arial" w:hAnsi="arial" w:cs="arial"/>
          <w:i/>
          <w:color w:val="000000"/>
          <w:sz w:val="20"/>
          <w:lang w:val="en-US" w:eastAsia="en-US" w:bidi="ar-SA"/>
        </w:rPr>
        <w:t>MJB Enterprises Ltd v Defence Construction (1951) Ltd</w:t>
      </w:r>
      <w:r>
        <w:rPr>
          <w:rFonts w:ascii="arial" w:eastAsia="arial" w:hAnsi="arial" w:cs="arial"/>
          <w:color w:val="000000"/>
          <w:sz w:val="20"/>
          <w:lang w:val="en-US" w:eastAsia="en-US" w:bidi="ar-SA"/>
        </w:rPr>
        <w:t xml:space="preserve">, </w:t>
      </w:r>
      <w:hyperlink r:id="rId806" w:history="1">
        <w:r>
          <w:rPr>
            <w:rFonts w:ascii="arial" w:eastAsia="arial" w:hAnsi="arial" w:cs="arial"/>
            <w:i/>
            <w:color w:val="0077CC"/>
            <w:sz w:val="20"/>
            <w:u w:val="single"/>
            <w:shd w:val="clear" w:color="auto" w:fill="FFFFFF"/>
            <w:lang w:val="en-US" w:eastAsia="en-US" w:bidi="ar-SA"/>
          </w:rPr>
          <w:t>[1999] 1 SCR 619</w:t>
        </w:r>
      </w:hyperlink>
      <w:r>
        <w:rPr>
          <w:rFonts w:ascii="arial" w:eastAsia="arial" w:hAnsi="arial" w:cs="arial"/>
          <w:color w:val="000000"/>
          <w:sz w:val="20"/>
          <w:lang w:val="en-US" w:eastAsia="en-US" w:bidi="ar-SA"/>
        </w:rPr>
        <w:t xml:space="preserve"> at para. 27. In this case, I understand the implied term to be based on the third 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The material facts to support a presumed intention of the parties must relate to the presumed intentions of the actual parties to the contract, and not to the presumed intentions of reasonable parties. This was explained in </w:t>
      </w:r>
      <w:r>
        <w:rPr>
          <w:rFonts w:ascii="arial" w:eastAsia="arial" w:hAnsi="arial" w:cs="arial"/>
          <w:i/>
          <w:color w:val="000000"/>
          <w:sz w:val="20"/>
          <w:lang w:val="en-US" w:eastAsia="en-US" w:bidi="ar-SA"/>
        </w:rPr>
        <w:t>MJB Enterprises</w:t>
      </w:r>
      <w:r>
        <w:rPr>
          <w:rFonts w:ascii="arial" w:eastAsia="arial" w:hAnsi="arial" w:cs="arial"/>
          <w:color w:val="000000"/>
          <w:sz w:val="20"/>
          <w:lang w:val="en-US" w:eastAsia="en-US" w:bidi="ar-SA"/>
        </w:rPr>
        <w:t xml:space="preserve"> at para. 29: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What is important in both formulations is a focus on the intentions of the </w:t>
      </w:r>
      <w:r>
        <w:rPr>
          <w:rFonts w:ascii="arial" w:eastAsia="arial" w:hAnsi="arial" w:cs="arial"/>
          <w:color w:val="000000"/>
          <w:sz w:val="20"/>
          <w:u w:val="single"/>
          <w:lang w:val="en-US" w:eastAsia="en-US" w:bidi="ar-SA"/>
        </w:rPr>
        <w:t>actual</w:t>
      </w:r>
      <w:r>
        <w:rPr>
          <w:rFonts w:ascii="arial" w:eastAsia="arial" w:hAnsi="arial" w:cs="arial"/>
          <w:color w:val="000000"/>
          <w:sz w:val="20"/>
          <w:lang w:val="en-US" w:eastAsia="en-US" w:bidi="ar-SA"/>
        </w:rPr>
        <w:t xml:space="preserve"> parties. A court, when dealing with terms implied in fact, must be careful not to slide into determining the intentions of </w:t>
      </w:r>
      <w:r>
        <w:rPr>
          <w:rFonts w:ascii="arial" w:eastAsia="arial" w:hAnsi="arial" w:cs="arial"/>
          <w:color w:val="000000"/>
          <w:sz w:val="20"/>
          <w:u w:val="single"/>
          <w:lang w:val="en-US" w:eastAsia="en-US" w:bidi="ar-SA"/>
        </w:rPr>
        <w:t>reasonable</w:t>
      </w:r>
      <w:r>
        <w:rPr>
          <w:rFonts w:ascii="arial" w:eastAsia="arial" w:hAnsi="arial" w:cs="arial"/>
          <w:color w:val="000000"/>
          <w:sz w:val="20"/>
          <w:lang w:val="en-US" w:eastAsia="en-US" w:bidi="ar-SA"/>
        </w:rPr>
        <w:t xml:space="preserve"> parties. This is why the implication of the term must have a certain degree of obviousness to it, and why, if there is evidence of a contrary intention, on the part of either party, an implied term may not be found on this basis. As G. H. L. Fridman states in </w:t>
      </w:r>
      <w:r>
        <w:rPr>
          <w:rFonts w:ascii="arial" w:eastAsia="arial" w:hAnsi="arial" w:cs="arial"/>
          <w:i/>
          <w:color w:val="000000"/>
          <w:sz w:val="20"/>
          <w:lang w:val="en-US" w:eastAsia="en-US" w:bidi="ar-SA"/>
        </w:rPr>
        <w:t>The Law of Contract in Canada</w:t>
      </w:r>
      <w:r>
        <w:rPr>
          <w:rFonts w:ascii="arial" w:eastAsia="arial" w:hAnsi="arial" w:cs="arial"/>
          <w:color w:val="000000"/>
          <w:sz w:val="20"/>
          <w:lang w:val="en-US" w:eastAsia="en-US" w:bidi="ar-SA"/>
        </w:rPr>
        <w:t xml:space="preserve"> (3rd ed. 1994), at p. 476:</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determining the intention of the parties, attention must be paid to the express terms of the contract in order to see whether the suggested implication is necessary and fits in with what has clearly been agreed upon, and the precise nature of what, if anything, should be implied.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breach of warranty claim is set out at paras. 62-67 of the Notice of Civil Claim:</w:t>
      </w:r>
      <w:r>
        <w:rPr>
          <w:rFonts w:ascii="arial" w:eastAsia="arial" w:hAnsi="arial" w:cs="arial"/>
          <w:sz w:val="20"/>
          <w:lang w:val="en-US" w:eastAsia="en-US" w:bidi="ar-SA"/>
        </w:rPr>
        <w:cr/>
      </w:r>
    </w:p>
    <w:p>
      <w:pPr>
        <w:numPr>
          <w:numId w:val="9"/>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As an express or implied term of contracts for the purchase of goods and services by the Plaintiffs and Class Plaintiffs from the Defendant Retailers, the Defendant Retailers warranted that if the Plaintiffs and Class Plaintiffs filled in and provided all required information and returned the Cashable Voucher within the time period, which would begin to run three years from the date of the purchase, then the Plaintiffs and Class Plaintiffs would receive the face value of their Cashable Voucher (the "Warranty").</w:t>
      </w:r>
    </w:p>
    <w:p>
      <w:pPr>
        <w:numPr>
          <w:numId w:val="10"/>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Retailers instructed their respective salespersons to offer the Warranty to induce the Plaintiffs and Class Plaintiffs to enter into contracts with the Defendant Retailers.</w:t>
      </w:r>
    </w:p>
    <w:p>
      <w:pPr>
        <w:numPr>
          <w:numId w:val="11"/>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and Class Plaintiffs relied on the Warranty, and entered into contracts, including the Marshall and Holmes Contracts, to purchased [sic] goods or services from the Defendant Retailers.</w:t>
      </w:r>
    </w:p>
    <w:p>
      <w:pPr>
        <w:numPr>
          <w:numId w:val="12"/>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absence of the Warranty, the Plaintiffs and Class Plaintiffs would not have purchased goods or services from the Defendant Retailers or would have purchased goods from the Defendant Retailers at reduced prices.</w:t>
      </w:r>
    </w:p>
    <w:p>
      <w:pPr>
        <w:numPr>
          <w:numId w:val="13"/>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Retailers are liable to pay to the Plaintiffs and Class Plaintiffs the face value of the Cashable Vouchers delivered by the Defendant Retailers.</w:t>
      </w:r>
    </w:p>
    <w:p>
      <w:pPr>
        <w:numPr>
          <w:numId w:val="14"/>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breach of Warranty, the Defendant Retailers have not paid the Plaintiffs and Class Plaintiffs the value of their respective Cashable Vouchers, breaching or repudiating their contracts with the Plaintiffs and Class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plaintiffs plead in para. 62 an express or implied term in "contracts for the purchase of goods and services" that the corporate defendants warranted the plaintiffs would receive the face value of their vouchers if they returned them with all required information in the three-year time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Mr. Lemer submitted that the contractual documents are the vouchers and the media and in-store advertising. However, the pleadings do not specify whether the contract is written or oral or both, and they say nothing about media and advertising. The pleadings appear to rely on the written terms of the vouchers and oral representations made by salespersons "instructed by" these defendants to offer the warranty.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pleadings do not expressly allege that it was the defendants who warranted to make payments on the vouchers, but it is alleged in para. 67 that the conduct of the defendants in not paying the plaintiffs the value of their vouchers constituted a breach of warranty. When these paragraphs are read together, it appears that this is the intent of the allegation. However, this alleged warranty is inconsistent with the written terms of the vouchers, as pleaded. At para. 39 of the Notice of Civil Claim, the plaintiffs plead that the voucher contains "text" that "Consumers Trust is exclusively responsible for payment" and "[t]he merchant has no such obligation or responsibility" to the voucher holder.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Therefore, as pleaded, the express or implied warranty alleged in paras. 62 and 67 can only arise from oral representations made by the defendants' salespersons alleged in para. 63. There are no particulars provided about these oral representations, there are no material facts pleaded which support the existence of an implied warranty, and the alleged implied warranty is inconsistent with the written terms of the voucher as referred to in the pleading. Generally, a term that is inconsistent with the written contract or does not fit within its terms will not be implied: see </w:t>
      </w:r>
      <w:r>
        <w:rPr>
          <w:rFonts w:ascii="arial" w:eastAsia="arial" w:hAnsi="arial" w:cs="arial"/>
          <w:i/>
          <w:color w:val="000000"/>
          <w:sz w:val="20"/>
          <w:lang w:val="en-US" w:eastAsia="en-US" w:bidi="ar-SA"/>
        </w:rPr>
        <w:t>Fantl v Transamerica Life Canada</w:t>
      </w:r>
      <w:r>
        <w:rPr>
          <w:rFonts w:ascii="arial" w:eastAsia="arial" w:hAnsi="arial" w:cs="arial"/>
          <w:color w:val="000000"/>
          <w:sz w:val="20"/>
          <w:lang w:val="en-US" w:eastAsia="en-US" w:bidi="ar-SA"/>
        </w:rPr>
        <w:t xml:space="preserve">, </w:t>
      </w:r>
      <w:hyperlink r:id="rId807" w:history="1">
        <w:r>
          <w:rPr>
            <w:rFonts w:ascii="arial" w:eastAsia="arial" w:hAnsi="arial" w:cs="arial"/>
            <w:i/>
            <w:color w:val="0077CC"/>
            <w:sz w:val="20"/>
            <w:u w:val="single"/>
            <w:shd w:val="clear" w:color="auto" w:fill="FFFFFF"/>
            <w:lang w:val="en-US" w:eastAsia="en-US" w:bidi="ar-SA"/>
          </w:rPr>
          <w:t>2013 ONSC 2298</w:t>
        </w:r>
      </w:hyperlink>
      <w:r>
        <w:rPr>
          <w:rFonts w:ascii="arial" w:eastAsia="arial" w:hAnsi="arial" w:cs="arial"/>
          <w:color w:val="000000"/>
          <w:sz w:val="20"/>
          <w:lang w:val="en-US" w:eastAsia="en-US" w:bidi="ar-SA"/>
        </w:rPr>
        <w:t xml:space="preserve"> at para. 146, aff'd </w:t>
      </w:r>
      <w:hyperlink r:id="rId808" w:history="1">
        <w:r>
          <w:rPr>
            <w:rFonts w:ascii="arial" w:eastAsia="arial" w:hAnsi="arial" w:cs="arial"/>
            <w:i/>
            <w:color w:val="0077CC"/>
            <w:sz w:val="20"/>
            <w:u w:val="single"/>
            <w:shd w:val="clear" w:color="auto" w:fill="FFFFFF"/>
            <w:lang w:val="en-US" w:eastAsia="en-US" w:bidi="ar-SA"/>
          </w:rPr>
          <w:t>2013 ONCA 580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There is also a gap between the allegation that the defendants warranted payment and breached that warranty by not paying. There is no allegation that the plaintiffs were eligible to receive payment, that they submitted their vouchers and the required information to the defendants within the time period, and that the defendants refused to make payment.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These are serious deficiencies in the Notice of Civil Claim. It is not possible to discern the material terms of the warranty, what terms are express and what are implied, and the basis for alleging implied terms.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proposed Amended Claim seeks to expand the alleged warranties, based on the vouchers, advertisements and in-store signs and tags, and to add a claim of collateral contract in the alternative:</w:t>
      </w:r>
      <w:r>
        <w:rPr>
          <w:rFonts w:ascii="arial" w:eastAsia="arial" w:hAnsi="arial" w:cs="arial"/>
          <w:sz w:val="20"/>
          <w:lang w:val="en-US" w:eastAsia="en-US" w:bidi="ar-SA"/>
        </w:rPr>
        <w:cr/>
      </w:r>
    </w:p>
    <w:p>
      <w:pPr>
        <w:numPr>
          <w:numId w:val="1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As an express or implied term of contracts for the purchase of goods and services by the Plaintiffs and Class Plaintiffs from the Defendant Retailers, the Defendant Retailers warranted:</w:t>
      </w:r>
    </w:p>
    <w:p>
      <w:pPr>
        <w:numPr>
          <w:numId w:val="1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 advertisements, in respect of a purchase of furniture or mattresses that the Defendant Retailers would provide a Cash Back Voucher for a future refund of 100% of the purchase price;</w:t>
      </w:r>
    </w:p>
    <w:p>
      <w:pPr>
        <w:numPr>
          <w:numId w:val="1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 advertisements, that the refund amount set out on the Cash Back Voucher was guaranteed, by including in the advertisement a logo with the words "CASH$ $BACK GUARANTEED";</w:t>
      </w:r>
    </w:p>
    <w:p>
      <w:pPr>
        <w:numPr>
          <w:numId w:val="1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on signs in the stores that read "Cash Back" or which had similar language suggestive that a cash refund was certain;</w:t>
      </w:r>
    </w:p>
    <w:p>
      <w:pPr>
        <w:numPr>
          <w:numId w:val="1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on tags on furniture and other items that read "$300 [or another amount] Cash Back to You - Consumer Cash$ $Back Guaranteed", language suggestive of a cash refund that was certain;</w:t>
      </w:r>
    </w:p>
    <w:p>
      <w:pPr>
        <w:numPr>
          <w:numId w:val="1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on a sample Cash Back Voucher (or the actual Cash Back Voucher) that stated, among other things, that the merchant - one of the Defendant Retailers - was presenting the Cash Back Voucher to the customer and that merchant had entered a promotion to issue vouchers to their customers, suggesting that the Defendant Retailers were themselves responsible for the payment of the refunds; or</w:t>
      </w:r>
    </w:p>
    <w:p>
      <w:pPr>
        <w:numPr>
          <w:numId w:val="1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 a Cash Back Scale setting out the value of the Cash Back Voucher, based on the purchase price for the furniture or other item, which listed the refund amount the customer would receive if he or she obtained a cashable voucher, in a manner suggestive that a cash refund was certain; and;</w:t>
      </w:r>
    </w:p>
    <w:p>
      <w:pPr>
        <w:numPr>
          <w:numId w:val="1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if the Plaintiffs and Class Plaintiffs filled in and provided all required information and returned the Cashable Voucher within the time period, which would begin to run three years from the date of the purchase, then the Plaintiffs and Class Plaintiffs would receive the face value of their Cashable Voucher (the "Warranty").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alternative, the Plaintiffs and Class Plaintiffs entered into a collateral contract with the Defendant Retailers for the Defendant Retailers to pay the face value of the Cashable Voucher to the Plaintiffs and Class Plaintiffs.</w:t>
      </w:r>
    </w:p>
    <w:p>
      <w:pPr>
        <w:numPr>
          <w:numId w:val="1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Retailers made representations (''Collateral Representations") to the Plaintiffs and Class Plaintiffs:</w:t>
      </w:r>
    </w:p>
    <w:p>
      <w:pPr>
        <w:numPr>
          <w:numId w:val="1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(f) [same as para. 66(a) - (f)]</w:t>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Acting in reliance on one or more of the Collateral Representations, the Plaintiffs and Class Plaintiffs agreed to purchase goods and services from the Defendant Retailers. The Defendant Retailers agreed with the Plaintiffs and Class Plaintiffs that if the Plaintiffs and Class Plaintiffs filled in the Cashable Voucher and provided all required information and returned the cashable voucher within the time period, which would begin to run three years from the date of the purchase, then the Defendant Retailers would pay the Plaintiffs and Class Plaintiff's the face value of the Cashable Voucher (the "Collateral Contract").</w:t>
      </w:r>
    </w:p>
    <w:p>
      <w:pPr>
        <w:numPr>
          <w:numId w:val="2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One or more of the Collateral Representations was false in that:</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refund amount mentioned in the advertisements was not "guaranteed";</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promise of "cash back" on the in-store signs was not certain;</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promise of "cash back" on the furniture tags was not guaranteed;</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language on the sample or actual Cash Back Voucher suggesting that the merchant - one of the Defendant retailers - would be responsible for payment was at odds with the private views of the Defendant Retailers that they would not be responsible for payment of the Cash Back Vouchers; or</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promise of "cash back" on the Cash Back Scale was not certain or guaranteed.</w:t>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breach of the Collateral Contract, and despite demand being made, the Defendant Retailers failed to pay the refund on the Cashable Vouchers to the Plaintiffs and Class Plaintiffs.</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By reason of the misrepresentation or misrepresentations, and breach of the Collateral Contract, the Plaintiffs and Class Plaintiffs have suffered loss and damage, namely damages in the amount of the Cashable Vouchers or damages to be assessed.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plaintiffs submitted that this is a "classic" collateral warranty case, in that the advertisements, in-store signs and tags, and what salespeople "would have said" (based on their training materials) were strongly promotional and intended to induce the purchase of products.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In my view, the proposed amendments do not cure the essential deficiencies of the breach of warranty claim. Reliance on the vouchers, advertisements and in-store signs and tags as contractual documents does not address the problems described above, nor does the addition of a claim of collateral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A collateral contract requires the same elements as any contract, as described by GHL Fridman in </w:t>
      </w:r>
      <w:r>
        <w:rPr>
          <w:rFonts w:ascii="arial" w:eastAsia="arial" w:hAnsi="arial" w:cs="arial"/>
          <w:i/>
          <w:color w:val="000000"/>
          <w:sz w:val="20"/>
          <w:lang w:val="en-US" w:eastAsia="en-US" w:bidi="ar-SA"/>
        </w:rPr>
        <w:t>The Law of Contract in Canada</w:t>
      </w:r>
      <w:r>
        <w:rPr>
          <w:rFonts w:ascii="arial" w:eastAsia="arial" w:hAnsi="arial" w:cs="arial"/>
          <w:color w:val="000000"/>
          <w:sz w:val="20"/>
          <w:lang w:val="en-US" w:eastAsia="en-US" w:bidi="ar-SA"/>
        </w:rPr>
        <w:t>, 5th ed (Toronto: Carswell, 2006) at 500: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 collateral contract requires the same kind of evidence as to certainty of terms and intention to enter into a binding, contractual agreement, as is needed where any contract is alleged to exist between the parties. What this means is that the statement purporting to be the contractual promise in such a collateral contract must amount to more than a broad, general inducement to enter into the main contract, or even a representation... The statement must constitute a definite, contractual undertaking, a binding promise meant to be taken seriously by the party to whom it is made, and intended to have such effect by the party who made the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Collateral contracts that vary or add to what the parties have expressed in their main contract are by their nature rare and viewed with suspicion: see </w:t>
      </w:r>
      <w:r>
        <w:rPr>
          <w:rFonts w:ascii="arial" w:eastAsia="arial" w:hAnsi="arial" w:cs="arial"/>
          <w:i/>
          <w:color w:val="000000"/>
          <w:sz w:val="20"/>
          <w:lang w:val="en-US" w:eastAsia="en-US" w:bidi="ar-SA"/>
        </w:rPr>
        <w:t>Heilbut, Symons &amp; Co v Buckleton</w:t>
      </w:r>
      <w:r>
        <w:rPr>
          <w:rFonts w:ascii="arial" w:eastAsia="arial" w:hAnsi="arial" w:cs="arial"/>
          <w:color w:val="000000"/>
          <w:sz w:val="20"/>
          <w:lang w:val="en-US" w:eastAsia="en-US" w:bidi="ar-SA"/>
        </w:rPr>
        <w:t xml:space="preserve">, [1913] AC 30 at 47. In </w:t>
      </w:r>
      <w:r>
        <w:rPr>
          <w:rFonts w:ascii="arial" w:eastAsia="arial" w:hAnsi="arial" w:cs="arial"/>
          <w:i/>
          <w:color w:val="000000"/>
          <w:sz w:val="20"/>
          <w:lang w:val="en-US" w:eastAsia="en-US" w:bidi="ar-SA"/>
        </w:rPr>
        <w:t>Fantl</w:t>
      </w:r>
      <w:r>
        <w:rPr>
          <w:rFonts w:ascii="arial" w:eastAsia="arial" w:hAnsi="arial" w:cs="arial"/>
          <w:color w:val="000000"/>
          <w:sz w:val="20"/>
          <w:lang w:val="en-US" w:eastAsia="en-US" w:bidi="ar-SA"/>
        </w:rPr>
        <w:t>, the court summarized at paras. 155-156 what a plaintiff must establish to prove a collateral contract or warranty: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(1) clear terms of the collateral contract or warranty; (2) an intention to be contractually bound by the collateral terms; (3) that the collateral terms do not contradict the terms of the main contract; and (4) consideration for the collateral promise: </w:t>
      </w:r>
      <w:r>
        <w:rPr>
          <w:rFonts w:ascii="arial" w:eastAsia="arial" w:hAnsi="arial" w:cs="arial"/>
          <w:i/>
          <w:color w:val="000000"/>
          <w:sz w:val="20"/>
          <w:lang w:val="en-US" w:eastAsia="en-US" w:bidi="ar-SA"/>
        </w:rPr>
        <w:t>Carman Construction Ltd. v. Canadian Pacific Railway Co</w:t>
      </w:r>
      <w:r>
        <w:rPr>
          <w:rFonts w:ascii="arial" w:eastAsia="arial" w:hAnsi="arial" w:cs="arial"/>
          <w:color w:val="000000"/>
          <w:sz w:val="20"/>
          <w:lang w:val="en-US" w:eastAsia="en-US" w:bidi="ar-SA"/>
        </w:rPr>
        <w:t xml:space="preserve">., </w:t>
      </w:r>
      <w:hyperlink r:id="rId809" w:history="1">
        <w:r>
          <w:rPr>
            <w:rFonts w:ascii="arial" w:eastAsia="arial" w:hAnsi="arial" w:cs="arial"/>
            <w:i/>
            <w:color w:val="0077CC"/>
            <w:sz w:val="20"/>
            <w:u w:val="single"/>
            <w:shd w:val="clear" w:color="auto" w:fill="FFFFFF"/>
            <w:lang w:val="en-US" w:eastAsia="en-US" w:bidi="ar-SA"/>
          </w:rPr>
          <w:t>[1982] 1 S.C.R. 958</w:t>
        </w:r>
      </w:hyperlink>
      <w:r>
        <w:rPr>
          <w:rFonts w:ascii="arial" w:eastAsia="arial" w:hAnsi="arial" w:cs="arial"/>
          <w:color w:val="000000"/>
          <w:sz w:val="20"/>
          <w:lang w:val="en-US" w:eastAsia="en-US" w:bidi="ar-SA"/>
        </w:rPr>
        <w:t xml:space="preserve"> at pp. 966-967, 969; </w:t>
      </w:r>
      <w:r>
        <w:rPr>
          <w:rFonts w:ascii="arial" w:eastAsia="arial" w:hAnsi="arial" w:cs="arial"/>
          <w:i/>
          <w:color w:val="000000"/>
          <w:sz w:val="20"/>
          <w:lang w:val="en-US" w:eastAsia="en-US" w:bidi="ar-SA"/>
        </w:rPr>
        <w:t>Hawrish v. Bank of Montreal</w:t>
      </w:r>
      <w:r>
        <w:rPr>
          <w:rFonts w:ascii="arial" w:eastAsia="arial" w:hAnsi="arial" w:cs="arial"/>
          <w:color w:val="000000"/>
          <w:sz w:val="20"/>
          <w:lang w:val="en-US" w:eastAsia="en-US" w:bidi="ar-SA"/>
        </w:rPr>
        <w:t xml:space="preserve">, </w:t>
      </w:r>
      <w:hyperlink r:id="rId810" w:history="1">
        <w:r>
          <w:rPr>
            <w:rFonts w:ascii="arial" w:eastAsia="arial" w:hAnsi="arial" w:cs="arial"/>
            <w:i/>
            <w:color w:val="0077CC"/>
            <w:sz w:val="20"/>
            <w:u w:val="single"/>
            <w:shd w:val="clear" w:color="auto" w:fill="FFFFFF"/>
            <w:lang w:val="en-US" w:eastAsia="en-US" w:bidi="ar-SA"/>
          </w:rPr>
          <w:t>[1969] S.C.R. 515</w:t>
        </w:r>
      </w:hyperlink>
      <w:r>
        <w:rPr>
          <w:rFonts w:ascii="arial" w:eastAsia="arial" w:hAnsi="arial" w:cs="arial"/>
          <w:color w:val="000000"/>
          <w:sz w:val="20"/>
          <w:lang w:val="en-US" w:eastAsia="en-US" w:bidi="ar-SA"/>
        </w:rPr>
        <w:t xml:space="preserve"> at pp. 519-520; </w:t>
      </w:r>
      <w:r>
        <w:rPr>
          <w:rFonts w:ascii="arial" w:eastAsia="arial" w:hAnsi="arial" w:cs="arial"/>
          <w:i/>
          <w:color w:val="000000"/>
          <w:sz w:val="20"/>
          <w:lang w:val="en-US" w:eastAsia="en-US" w:bidi="ar-SA"/>
        </w:rPr>
        <w:t>River Wind Ventures Ltd. v. British Columbia</w:t>
      </w:r>
      <w:r>
        <w:rPr>
          <w:rFonts w:ascii="arial" w:eastAsia="arial" w:hAnsi="arial" w:cs="arial"/>
          <w:color w:val="000000"/>
          <w:sz w:val="20"/>
          <w:lang w:val="en-US" w:eastAsia="en-US" w:bidi="ar-SA"/>
        </w:rPr>
        <w:t xml:space="preserve">, </w:t>
      </w:r>
      <w:hyperlink r:id="rId811" w:history="1">
        <w:r>
          <w:rPr>
            <w:rFonts w:ascii="arial" w:eastAsia="arial" w:hAnsi="arial" w:cs="arial"/>
            <w:i/>
            <w:color w:val="0077CC"/>
            <w:sz w:val="20"/>
            <w:u w:val="single"/>
            <w:shd w:val="clear" w:color="auto" w:fill="FFFFFF"/>
            <w:lang w:val="en-US" w:eastAsia="en-US" w:bidi="ar-SA"/>
          </w:rPr>
          <w:t>[2011] B.C.J. No. 257</w:t>
        </w:r>
      </w:hyperlink>
      <w:r>
        <w:rPr>
          <w:rFonts w:ascii="arial" w:eastAsia="arial" w:hAnsi="arial" w:cs="arial"/>
          <w:color w:val="000000"/>
          <w:sz w:val="20"/>
          <w:lang w:val="en-US" w:eastAsia="en-US" w:bidi="ar-SA"/>
        </w:rPr>
        <w:t xml:space="preserve"> (B.C.C.A.) at para. 14; leave to appeal ref'd </w:t>
      </w:r>
      <w:hyperlink r:id="rId812" w:history="1">
        <w:r>
          <w:rPr>
            <w:rFonts w:ascii="arial" w:eastAsia="arial" w:hAnsi="arial" w:cs="arial"/>
            <w:i/>
            <w:color w:val="0077CC"/>
            <w:sz w:val="20"/>
            <w:u w:val="single"/>
            <w:shd w:val="clear" w:color="auto" w:fill="FFFFFF"/>
            <w:lang w:val="en-US" w:eastAsia="en-US" w:bidi="ar-SA"/>
          </w:rPr>
          <w:t>[2011] S.C.C.A. No. 179</w:t>
        </w:r>
      </w:hyperlink>
      <w:r>
        <w:rPr>
          <w:rFonts w:ascii="arial" w:eastAsia="arial" w:hAnsi="arial" w:cs="arial"/>
          <w:color w:val="000000"/>
          <w:sz w:val="20"/>
          <w:lang w:val="en-US" w:eastAsia="en-US" w:bidi="ar-SA"/>
        </w:rPr>
        <w:t xml:space="preserve"> (S.C.C.).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statement will be considered to be a collateral warranty only where the evidence discloses that the parties intended or must be taken to have intended that the representation was to form part of the basis of the contractual relations between them: </w:t>
      </w:r>
      <w:r>
        <w:rPr>
          <w:rFonts w:ascii="arial" w:eastAsia="arial" w:hAnsi="arial" w:cs="arial"/>
          <w:i/>
          <w:color w:val="000000"/>
          <w:sz w:val="20"/>
          <w:lang w:val="en-US" w:eastAsia="en-US" w:bidi="ar-SA"/>
        </w:rPr>
        <w:t>Esso Petroleum v. Mardon</w:t>
      </w:r>
      <w:r>
        <w:rPr>
          <w:rFonts w:ascii="arial" w:eastAsia="arial" w:hAnsi="arial" w:cs="arial"/>
          <w:color w:val="000000"/>
          <w:sz w:val="20"/>
          <w:lang w:val="en-US" w:eastAsia="en-US" w:bidi="ar-SA"/>
        </w:rPr>
        <w:t xml:space="preserve">, [1976] 2 All E.R. 5,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at p. 826 (C.A.); </w:t>
      </w:r>
      <w:r>
        <w:rPr>
          <w:rFonts w:ascii="arial" w:eastAsia="arial" w:hAnsi="arial" w:cs="arial"/>
          <w:i/>
          <w:color w:val="000000"/>
          <w:sz w:val="20"/>
          <w:lang w:val="en-US" w:eastAsia="en-US" w:bidi="ar-SA"/>
        </w:rPr>
        <w:t>J.R.K. Car Wash Ltd. v. Gulf Canada Ltd</w:t>
      </w:r>
      <w:r>
        <w:rPr>
          <w:rFonts w:ascii="arial" w:eastAsia="arial" w:hAnsi="arial" w:cs="arial"/>
          <w:color w:val="000000"/>
          <w:sz w:val="20"/>
          <w:lang w:val="en-US" w:eastAsia="en-US" w:bidi="ar-SA"/>
        </w:rPr>
        <w:t xml:space="preserve">. </w:t>
      </w:r>
      <w:hyperlink r:id="rId813" w:history="1">
        <w:r>
          <w:rPr>
            <w:rFonts w:ascii="arial" w:eastAsia="arial" w:hAnsi="arial" w:cs="arial"/>
            <w:i/>
            <w:color w:val="0077CC"/>
            <w:sz w:val="20"/>
            <w:u w:val="single"/>
            <w:shd w:val="clear" w:color="auto" w:fill="FFFFFF"/>
            <w:lang w:val="en-US" w:eastAsia="en-US" w:bidi="ar-SA"/>
          </w:rPr>
          <w:t>(1992), 46 C.P.R. (3d) 525</w:t>
        </w:r>
      </w:hyperlink>
      <w:r>
        <w:rPr>
          <w:rFonts w:ascii="arial" w:eastAsia="arial" w:hAnsi="arial" w:cs="arial"/>
          <w:color w:val="000000"/>
          <w:sz w:val="20"/>
          <w:lang w:val="en-US" w:eastAsia="en-US" w:bidi="ar-SA"/>
        </w:rPr>
        <w:t xml:space="preserve"> at paras. 9-10 (Ont. Gen. Div.); </w:t>
      </w:r>
      <w:r>
        <w:rPr>
          <w:rFonts w:ascii="arial" w:eastAsia="arial" w:hAnsi="arial" w:cs="arial"/>
          <w:i/>
          <w:color w:val="000000"/>
          <w:sz w:val="20"/>
          <w:lang w:val="en-US" w:eastAsia="en-US" w:bidi="ar-SA"/>
        </w:rPr>
        <w:t>Granitile Inc. v. Canada</w:t>
      </w:r>
      <w:r>
        <w:rPr>
          <w:rFonts w:ascii="arial" w:eastAsia="arial" w:hAnsi="arial" w:cs="arial"/>
          <w:color w:val="000000"/>
          <w:sz w:val="20"/>
          <w:lang w:val="en-US" w:eastAsia="en-US" w:bidi="ar-SA"/>
        </w:rPr>
        <w:t xml:space="preserve">, </w:t>
      </w:r>
      <w:hyperlink r:id="rId814" w:history="1">
        <w:r>
          <w:rPr>
            <w:rFonts w:ascii="arial" w:eastAsia="arial" w:hAnsi="arial" w:cs="arial"/>
            <w:i/>
            <w:color w:val="0077CC"/>
            <w:sz w:val="20"/>
            <w:u w:val="single"/>
            <w:shd w:val="clear" w:color="auto" w:fill="FFFFFF"/>
            <w:lang w:val="en-US" w:eastAsia="en-US" w:bidi="ar-SA"/>
          </w:rPr>
          <w:t>[1998] O.J. No. 5028</w:t>
        </w:r>
      </w:hyperlink>
      <w:r>
        <w:rPr>
          <w:rFonts w:ascii="arial" w:eastAsia="arial" w:hAnsi="arial" w:cs="arial"/>
          <w:color w:val="000000"/>
          <w:sz w:val="20"/>
          <w:lang w:val="en-US" w:eastAsia="en-US" w:bidi="ar-SA"/>
        </w:rPr>
        <w:t xml:space="preserve"> at para. 125 (Gen. Div.).</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pleadings do not allege an intention to be contractually bound by the advertisements and in-store signs and tags, and as with the primary claim, there are no material facts pleaded concerning the content of the oral representations made by the defendants' sales staff. It is not sufficient to base a claim on what salespeople "would have said". In my view, the proposed amendments do not disclose sufficient material facts which, if proven, could establish a collateral contract. This claim really sounds in negligent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Mr. Lemer submitted that the deficiencies in the pleadings can be remedied by providing particulars. My view is that the deficiencies in respect of this cause of action cannot be remedied in this way. In essence, this claim is simply that the defendants warranted that they would pay the face value of the vouchers, but the pleadings provide no material facts on which to base this allegation. It is plain and obvious that the pleadings disclose no reasonable cause of action for breach of warranty, breach of contract or breach of a collateral contract.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Deceptive acts or practices under the BPCPA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New UFW raises three issues in respect of the plaintiffs' claims under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(i) whether New UFW can be liable for the acts or omissions of Old UFW as a successor supplier; (ii) whether some of the alleged representations are too vague to disclose a cause of action; and (iii) whether the pleadings disclose a cause of action for relief other than declaratory relief.</w:t>
      </w:r>
      <w:r>
        <w:rPr>
          <w:rFonts w:ascii="arial" w:eastAsia="arial" w:hAnsi="arial" w:cs="arial"/>
          <w:sz w:val="20"/>
          <w:lang w:val="en-US" w:eastAsia="en-US" w:bidi="ar-SA"/>
        </w:rPr>
        <w:cr/>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Successor supplier under the BPCPA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In the proposed Amended Claim, the plaintiffs seek to claim liability against New UFW for the deceptive acts or practices of Old UFW on the basis of the definition of "supplier" in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This definition, in s. 1(1), includes "the successor to, and assignee of, any rights or obligations" of a supplier. The plaintiffs allege that New UFW is a "successor" and therefore a "supplier" under the Act, and as such "is liable for an obligation or other liability arising under the Act" from a consumer transaction entered into on or before March 16, 2004 by Old UFW.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New UFW says that these pleadings disclose no cause action against it for any acts or omissions of Old UFW on the basis of the definition of "supplier" in the legislation. Mr. Dixon submitted that the statutory definition does not create a general successor liability and the proposed Amended Claim pleads only a bare allegation of successor liability with no material facts to support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Mr. Lemer submitted that the purchase of a supplier's business "must involve assignments of rights and obligations" such as those with respect to customers who may have purchased furniture before the sale of Old UFW and who continue to make payments on the furniture or have warranty claims. He acknowledged that this issue may be novel, but urged the court not to strike out such a claim at the pleadings stage. He referred me to </w:t>
      </w:r>
      <w:r>
        <w:rPr>
          <w:rFonts w:ascii="arial" w:eastAsia="arial" w:hAnsi="arial" w:cs="arial"/>
          <w:i/>
          <w:color w:val="000000"/>
          <w:sz w:val="20"/>
          <w:lang w:val="en-US" w:eastAsia="en-US" w:bidi="ar-SA"/>
        </w:rPr>
        <w:t>British Columbia (Director of Trade Practices) v Van City Construction Ltd</w:t>
      </w:r>
      <w:r>
        <w:rPr>
          <w:rFonts w:ascii="arial" w:eastAsia="arial" w:hAnsi="arial" w:cs="arial"/>
          <w:color w:val="000000"/>
          <w:sz w:val="20"/>
          <w:lang w:val="en-US" w:eastAsia="en-US" w:bidi="ar-SA"/>
        </w:rPr>
        <w:t xml:space="preserve">, </w:t>
      </w:r>
      <w:hyperlink r:id="rId815" w:history="1">
        <w:r>
          <w:rPr>
            <w:rFonts w:ascii="arial" w:eastAsia="arial" w:hAnsi="arial" w:cs="arial"/>
            <w:i/>
            <w:color w:val="0077CC"/>
            <w:sz w:val="20"/>
            <w:u w:val="single"/>
            <w:shd w:val="clear" w:color="auto" w:fill="FFFFFF"/>
            <w:lang w:val="en-US" w:eastAsia="en-US" w:bidi="ar-SA"/>
          </w:rPr>
          <w:t>[1999] B.C.J. No. 2033</w:t>
        </w:r>
      </w:hyperlink>
      <w:r>
        <w:rPr>
          <w:rFonts w:ascii="arial" w:eastAsia="arial" w:hAnsi="arial" w:cs="arial"/>
          <w:color w:val="000000"/>
          <w:sz w:val="20"/>
          <w:lang w:val="en-US" w:eastAsia="en-US" w:bidi="ar-SA"/>
        </w:rPr>
        <w:t xml:space="preserve"> (SC), a case decided under the former </w:t>
      </w:r>
      <w:r>
        <w:rPr>
          <w:rFonts w:ascii="arial" w:eastAsia="arial" w:hAnsi="arial" w:cs="arial"/>
          <w:i/>
          <w:color w:val="000000"/>
          <w:sz w:val="20"/>
          <w:lang w:val="en-US" w:eastAsia="en-US" w:bidi="ar-SA"/>
        </w:rPr>
        <w:t>Trade Practices Act</w:t>
      </w:r>
      <w:r>
        <w:rPr>
          <w:rFonts w:ascii="arial" w:eastAsia="arial" w:hAnsi="arial" w:cs="arial"/>
          <w:color w:val="000000"/>
          <w:sz w:val="20"/>
          <w:lang w:val="en-US" w:eastAsia="en-US" w:bidi="ar-SA"/>
        </w:rPr>
        <w:t xml:space="preserve">, </w:t>
      </w:r>
      <w:hyperlink r:id="rId816" w:history="1">
        <w:r>
          <w:rPr>
            <w:rFonts w:ascii="arial" w:eastAsia="arial" w:hAnsi="arial" w:cs="arial"/>
            <w:i/>
            <w:color w:val="0077CC"/>
            <w:sz w:val="20"/>
            <w:u w:val="single"/>
            <w:shd w:val="clear" w:color="auto" w:fill="FFFFFF"/>
            <w:lang w:val="en-US" w:eastAsia="en-US" w:bidi="ar-SA"/>
          </w:rPr>
          <w:t>RSBC 1996, c 457</w:t>
        </w:r>
      </w:hyperlink>
      <w:r>
        <w:rPr>
          <w:rFonts w:ascii="arial" w:eastAsia="arial" w:hAnsi="arial" w:cs="arial"/>
          <w:color w:val="000000"/>
          <w:sz w:val="20"/>
          <w:lang w:val="en-US" w:eastAsia="en-US" w:bidi="ar-SA"/>
        </w:rPr>
        <w:t>, where a company that was created to continue another company's business was found to be a successor and subject to orders made against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I did not find </w:t>
      </w:r>
      <w:r>
        <w:rPr>
          <w:rFonts w:ascii="arial" w:eastAsia="arial" w:hAnsi="arial" w:cs="arial"/>
          <w:i/>
          <w:color w:val="000000"/>
          <w:sz w:val="20"/>
          <w:lang w:val="en-US" w:eastAsia="en-US" w:bidi="ar-SA"/>
        </w:rPr>
        <w:t>Director of Trade Practices</w:t>
      </w:r>
      <w:r>
        <w:rPr>
          <w:rFonts w:ascii="arial" w:eastAsia="arial" w:hAnsi="arial" w:cs="arial"/>
          <w:color w:val="000000"/>
          <w:sz w:val="20"/>
          <w:lang w:val="en-US" w:eastAsia="en-US" w:bidi="ar-SA"/>
        </w:rPr>
        <w:t xml:space="preserve"> of assistance here. There, the successor company was established by the same officer and director, who operated both businesses from the same premises, and continued the same work with the successor company after the first company ceased to carry on business. The court found that the officer and director established the second company as a successor to the first. In this case, New UFW was not established as a successor to Old UFW, its purchase of Old UFW's assets was an arm's length transaction, and each entity is separate and distinct.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I agree with Mr. Dixon that the definition of "supplier" in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does not create a general successor liability. General definitions of "successor" or definitions in other contexts, such as labour or taxation, are not helpful. The fact that New UFW purchased the assets of Old UFW cannot in itself result in New UFW being liable as a supplier for the obligations of its predecessor. The fact that damages are available under s. 171 only against a supplier "who engaged in or acquiesced in the contravention that caused the damage or loss" reinforces this point. New UFW could only be liable under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for the obligations of Old UFW if it had engaged in or acquiesced in a contravention committed by Old UFW, and to support such a claim, material facts related to this requirement must be pleaded.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In the absence of any pleading of material facts, it is plain and obvious that the pleadings disclose no cause of action against New UFW for any acts or omissions of Old UFW on the basis of successor liability founded on the definition of "supplier" in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xml:space="preserve">  It is not disputed that both Old UFW and New UFW are "suppliers" under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as persons supplying goods or services to a consumer in a consumer transaction as defined in the Act. However, as suppliers, each is responsible for its own acts or omissions.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(ii)</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Misrepresentations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New UFW says that the following allegations in the Notice of Civil Claim provide insufficient particulars and do not plead material facts to establish that the misrepresentations had the capability, tendency or effect of deceiving or misleading a consumer:</w:t>
      </w:r>
      <w:r>
        <w:rPr>
          <w:rFonts w:ascii="arial" w:eastAsia="arial" w:hAnsi="arial" w:cs="arial"/>
          <w:sz w:val="20"/>
          <w:lang w:val="en-US" w:eastAsia="en-US" w:bidi="ar-SA"/>
        </w:rPr>
        <w:cr/>
      </w:r>
    </w:p>
    <w:p>
      <w:pPr>
        <w:numPr>
          <w:numId w:val="2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Retailers ... portrayed the Cashable Voucher program as a simple and reputable promotion;</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Retailers ... exaggerated the likelihood that the Plaintiffs ... would receive the full coupon value of their Cashable Vouchers;</w:t>
      </w:r>
    </w:p>
    <w:p>
      <w:pPr>
        <w:numPr>
          <w:numId w:val="2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Retailers ... used exaggeration, innuendo and ambiguity about material facts in promoting Cashable Vouchers.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These are but three of a fairly long list of allegations of deceptive or misleading acts or practices, the rest which are conceded to be sufficiently particular to constitute a pleading of a deceptive act or practice. I agree they are rather vague but I see no basis to parse them out of the analysis at this stage.</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(iii)</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Cause of action for relief other than declaratory relief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xml:space="preserve">  The plaintiffs claim relief under ss. 171 and 172 of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Section 171 permits an action in damages against a supplier who engaged or acquiesced in a contravention that caused damage. Section 172(1) provides for declaratory and injunctive relief and s. 172(3)(a) provides for orders requiring a supplier to restore "any money or other property or thing, in which a person has an interest, that may have been acquired because of a contravention".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xml:space="preserve">  New UFW questions the plaintiffs' ability to claim relief under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other than declaratory relief under s. 172. They say that the Notice of Civil Claim does not plead any reliance or causal connection between any losses and a contravention of the Act, which is required for relief under s. 171. They also say that relief under both ss. 171 and 172(3)(a) is limited to the plaintiffs' own losses.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With respect to relief under s. 171, the plaintiffs acknowledged that reliance is required, and they have asserted in the proposed Amended Claim that they relied on the deceptive acts or practices in entering into their contracts.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The extent of damages that can be claimed under both ss. 171 and 172(3)(a) is more troubling.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The Notice of Civil Claim seeks damages under s. 172 "that the Defendants restore to the Plaintiffs ... money acquired by the Defendants". Para. 79 refers to the defendants having "unfairly and unjustly profited from their deceptive acts and practices" and para. 81 simply states that the deceptive acts or practices of the defendants entitle the plaintiffs to an award of damages under ss. 171 or 172. In their submissions, the plaintiffs say that the measure of the restoration order under s. 172 "could include increases in sales and profit that accompanied the cash back coupon programme, the profit from the sale of warranties required as a condition for receiving a cash back voucher or the value of the vouchers issued".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Mr. Dixon submitted that the plaintiffs cannot recover profits, and they cannot recover the value of the vouchers because this was not money that was ever acquired by the supplier such that it could be restored by the supplier. He also submitted that there is no pleading of material facts that discloses any basis for restoring any money, property or thing to the plaintiffs in the absence of a claim for rescission.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xml:space="preserve">  Mr. Dixon relies on </w:t>
      </w:r>
      <w:r>
        <w:rPr>
          <w:rFonts w:ascii="arial" w:eastAsia="arial" w:hAnsi="arial" w:cs="arial"/>
          <w:i/>
          <w:color w:val="000000"/>
          <w:sz w:val="20"/>
          <w:lang w:val="en-US" w:eastAsia="en-US" w:bidi="ar-SA"/>
        </w:rPr>
        <w:t>Koubi v Mazda Canada Inc</w:t>
      </w:r>
      <w:r>
        <w:rPr>
          <w:rFonts w:ascii="arial" w:eastAsia="arial" w:hAnsi="arial" w:cs="arial"/>
          <w:color w:val="000000"/>
          <w:sz w:val="20"/>
          <w:lang w:val="en-US" w:eastAsia="en-US" w:bidi="ar-SA"/>
        </w:rPr>
        <w:t xml:space="preserve">, </w:t>
      </w:r>
      <w:hyperlink r:id="rId817" w:history="1">
        <w:r>
          <w:rPr>
            <w:rFonts w:ascii="arial" w:eastAsia="arial" w:hAnsi="arial" w:cs="arial"/>
            <w:i/>
            <w:color w:val="0077CC"/>
            <w:sz w:val="20"/>
            <w:u w:val="single"/>
            <w:shd w:val="clear" w:color="auto" w:fill="FFFFFF"/>
            <w:lang w:val="en-US" w:eastAsia="en-US" w:bidi="ar-SA"/>
          </w:rPr>
          <w:t>2012 BCCA 310</w:t>
        </w:r>
      </w:hyperlink>
      <w:r>
        <w:rPr>
          <w:rFonts w:ascii="arial" w:eastAsia="arial" w:hAnsi="arial" w:cs="arial"/>
          <w:color w:val="000000"/>
          <w:sz w:val="20"/>
          <w:lang w:val="en-US" w:eastAsia="en-US" w:bidi="ar-SA"/>
        </w:rPr>
        <w:t xml:space="preserve">, leave to appeal ref'd </w:t>
      </w:r>
      <w:hyperlink r:id="rId818" w:history="1">
        <w:r>
          <w:rPr>
            <w:rFonts w:ascii="arial" w:eastAsia="arial" w:hAnsi="arial" w:cs="arial"/>
            <w:i/>
            <w:color w:val="0077CC"/>
            <w:sz w:val="20"/>
            <w:u w:val="single"/>
            <w:shd w:val="clear" w:color="auto" w:fill="FFFFFF"/>
            <w:lang w:val="en-US" w:eastAsia="en-US" w:bidi="ar-SA"/>
          </w:rPr>
          <w:t>[2012] SCCA No 398</w:t>
        </w:r>
      </w:hyperlink>
      <w:r>
        <w:rPr>
          <w:rFonts w:ascii="arial" w:eastAsia="arial" w:hAnsi="arial" w:cs="arial"/>
          <w:color w:val="000000"/>
          <w:sz w:val="20"/>
          <w:lang w:val="en-US" w:eastAsia="en-US" w:bidi="ar-SA"/>
        </w:rPr>
        <w:t xml:space="preserve">, which held at para. 64 that the statutory remedies under ss. 171 and 172(3) "clearly limit recovery for pecuniary loss to restoration of the consumer's own damages or loss arising from a deceptive act". </w:t>
      </w:r>
      <w:r>
        <w:rPr>
          <w:rFonts w:ascii="arial" w:eastAsia="arial" w:hAnsi="arial" w:cs="arial"/>
          <w:i/>
          <w:color w:val="000000"/>
          <w:sz w:val="20"/>
          <w:lang w:val="en-US" w:eastAsia="en-US" w:bidi="ar-SA"/>
        </w:rPr>
        <w:t>Koubi</w:t>
      </w:r>
      <w:r>
        <w:rPr>
          <w:rFonts w:ascii="arial" w:eastAsia="arial" w:hAnsi="arial" w:cs="arial"/>
          <w:color w:val="000000"/>
          <w:sz w:val="20"/>
          <w:lang w:val="en-US" w:eastAsia="en-US" w:bidi="ar-SA"/>
        </w:rPr>
        <w:t xml:space="preserve"> also determined that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was "an exhaustive code regulating consumer transactions" and this precluded consumers from bringing actions against suppliers for restitutionary relief based on the doctrine of waiver of tort (at paras. 63-64).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xml:space="preserve">  Mr. Lemer submitted that the unusual facts of this case may distinguish it from </w:t>
      </w:r>
      <w:r>
        <w:rPr>
          <w:rFonts w:ascii="arial" w:eastAsia="arial" w:hAnsi="arial" w:cs="arial"/>
          <w:i/>
          <w:color w:val="000000"/>
          <w:sz w:val="20"/>
          <w:lang w:val="en-US" w:eastAsia="en-US" w:bidi="ar-SA"/>
        </w:rPr>
        <w:t>Koubi</w:t>
      </w:r>
      <w:r>
        <w:rPr>
          <w:rFonts w:ascii="arial" w:eastAsia="arial" w:hAnsi="arial" w:cs="arial"/>
          <w:color w:val="000000"/>
          <w:sz w:val="20"/>
          <w:lang w:val="en-US" w:eastAsia="en-US" w:bidi="ar-SA"/>
        </w:rPr>
        <w:t>, and being a novel issue, the extent of the remedy under s. 172 should not be foreclosed at the pleadings stage but rather should be determined on a full record. In answer to New UFW's submission on this issue, the plaintiffs sought to add a claim for rescission. However, Mr. Lemer withdrew this in his Reply submissions, arguing that such a claim is not required under the legislation.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xml:space="preserve">  It is clear from </w:t>
      </w:r>
      <w:r>
        <w:rPr>
          <w:rFonts w:ascii="arial" w:eastAsia="arial" w:hAnsi="arial" w:cs="arial"/>
          <w:i/>
          <w:color w:val="000000"/>
          <w:sz w:val="20"/>
          <w:lang w:val="en-US" w:eastAsia="en-US" w:bidi="ar-SA"/>
        </w:rPr>
        <w:t>Koubi</w:t>
      </w:r>
      <w:r>
        <w:rPr>
          <w:rFonts w:ascii="arial" w:eastAsia="arial" w:hAnsi="arial" w:cs="arial"/>
          <w:color w:val="000000"/>
          <w:sz w:val="20"/>
          <w:lang w:val="en-US" w:eastAsia="en-US" w:bidi="ar-SA"/>
        </w:rPr>
        <w:t xml:space="preserve"> that a restoration order under s. 172(3)(a) could not include recovery of profits or a remedy not limited to the consumer's own losses. This is a question of law that does not require a full record.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The more vexing problem is whether any kind of restoration order could be made in the unusual circumstances of this case. Section 172(3)(a) contemplates an order that the supplier restore any money, property or thing in which a plaintiff has an interest "that may have been acquired because of a contravention of this Act". Mr. Dixon says that this addresses the return of money, property or things that flowed from a consumer to a supplier, which is entirely lacking here, since the value of the vouchers was not money acquired by the supplier and it was not money in which the plaintiffs have an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xml:space="preserve">  Mr. Dixon raises valid questions about what remedies may be available under s. 172. It is difficult to understand what could actually be restored given that the purchases were made a decade ago and the plaintiffs have had use of the furniture since then. However, I am not convinced these arguments support a determination that there is no reasonable cause of action for damages under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I see this as an issue of what, if any, damages could be awarded if the plaintiffs successfully prove that the defendants committed a contravention of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and it is more pertinent to the question of common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xml:space="preserve">  In these circumstances, it is not plain and obvious that the claims for relief under s. 171 and 172 of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will fail.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xml:space="preserve">  New UFW submits that the Notice of Civil Claim discloses no cause of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two bases: (i) within this claim are allegations of negligent misrepresentation, a different cause of action, and (ii) there can be no duty of care to the plaintiffs for pure economic loss in the circumstances of this case. New UFW also submits that this claim is bound to fail because there are no material facts pleaded and no particulars that provide any causal link between the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any loss.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(i)</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Misrepresentations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With respect to the first point, the claim includes allegations that the corporate defendants breached their duty of care to the plaintiffs by making misrepresentations or failing to disclose certain things:</w:t>
      </w:r>
      <w:r>
        <w:rPr>
          <w:rFonts w:ascii="arial" w:eastAsia="arial" w:hAnsi="arial" w:cs="arial"/>
          <w:sz w:val="20"/>
          <w:lang w:val="en-US" w:eastAsia="en-US" w:bidi="ar-SA"/>
        </w:rPr>
        <w:cr/>
      </w:r>
    </w:p>
    <w:p>
      <w:pPr>
        <w:numPr>
          <w:numId w:val="2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Defendant Retailers breached their duty of care to the Plaintiffs and Class Plaintiffs,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by exaggerating the likelihood that the Plaintiffs and Class Plaintiffs would receive the full coupon value of their Cashable Vouchers;</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by failing to inform the Plaintiffs and Class Plaintiffs that payment of some or all of the full coupon value of the Cashable Vouchers would depend not only on compliance by the Plaintiffs and Class Plaintiffs with their obligations on their Cashable Vouchers, but also on uncontrollable factors, including the competence and integrity of persons connected with The Consumers Trust;</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by failing to inform the Plaintiffs and Class Plaintiffs of the Merchant's Key Terms;</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by failing to inform the Plaintiffs and Class Plaintiffs that a failure by the Defendant Retailers to comply with any of the Merchant's Key Terms could jeopardize the rights of all customers of the Defendant Retailers to ever claim the value of their vouchers;</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by failing to disclose to the Plaintiffs and Class Plaintiffs statistics that would support the assertion on the Cashable Vouchers that they would reach full maturity within 36 months from the date of purchase (such information would have informed consumers of the likelihood of their Cashable Vouchers ever reaching maturity);</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by failing to monitor the track record of The Consumers Trust in paying Cashable Vouchers issued by the Defendant or in paying cashable vouchers issued by other merchants participating in the Cashable Voucher Program;</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by failing to investigate the Cashable Voucher Program and The Consumers Trust to determine if the Cashable Voucher Program was viable and based upon sound business principles;</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by instructing the Defendant Retailers' salespersons to offer the Warranty or the Class Warranties and make standard sales pitches or by negligently failing to supervise the Defendant Retailers' salespersons in the manner in which they offered the Warranty or the Class Warranties;</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by falsely representing that the fourteen persons pictured on the brochure entitled </w:t>
      </w:r>
      <w:r>
        <w:rPr>
          <w:rFonts w:ascii="arial" w:eastAsia="arial" w:hAnsi="arial" w:cs="arial"/>
          <w:b/>
          <w:color w:val="000000"/>
          <w:sz w:val="20"/>
          <w:lang w:val="en-US" w:eastAsia="en-US" w:bidi="ar-SA"/>
        </w:rPr>
        <w:t>"</w:t>
      </w:r>
      <w:r>
        <w:rPr>
          <w:rFonts w:ascii="arial" w:eastAsia="arial" w:hAnsi="arial" w:cs="arial"/>
          <w:b/>
          <w:i/>
          <w:color w:val="000000"/>
          <w:sz w:val="20"/>
          <w:lang w:val="en-US" w:eastAsia="en-US" w:bidi="ar-SA"/>
        </w:rPr>
        <w:t>A Gesture of Thanks</w:t>
      </w:r>
      <w:r>
        <w:rPr>
          <w:rFonts w:ascii="arial" w:eastAsia="arial" w:hAnsi="arial" w:cs="arial"/>
          <w:b/>
          <w:color w:val="000000"/>
          <w:sz w:val="20"/>
          <w:lang w:val="en-US" w:eastAsia="en-US" w:bidi="ar-SA"/>
        </w:rPr>
        <w:t>"</w:t>
      </w:r>
      <w:r>
        <w:rPr>
          <w:rFonts w:ascii="arial" w:eastAsia="arial" w:hAnsi="arial" w:cs="arial"/>
          <w:color w:val="000000"/>
          <w:sz w:val="20"/>
          <w:lang w:val="en-US" w:eastAsia="en-US" w:bidi="ar-SA"/>
        </w:rPr>
        <w:t xml:space="preserve"> under the heading </w:t>
      </w:r>
      <w:r>
        <w:rPr>
          <w:rFonts w:ascii="arial" w:eastAsia="arial" w:hAnsi="arial" w:cs="arial"/>
          <w:b/>
          <w:color w:val="000000"/>
          <w:sz w:val="20"/>
          <w:lang w:val="en-US" w:eastAsia="en-US" w:bidi="ar-SA"/>
        </w:rPr>
        <w:t>"Paid Claims!"</w:t>
      </w:r>
      <w:r>
        <w:rPr>
          <w:rFonts w:ascii="arial" w:eastAsia="arial" w:hAnsi="arial" w:cs="arial"/>
          <w:color w:val="000000"/>
          <w:sz w:val="20"/>
          <w:lang w:val="en-US" w:eastAsia="en-US" w:bidi="ar-SA"/>
        </w:rPr>
        <w:t xml:space="preserve"> had received their cash back awards under the Cashable Voucher Program; and</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portraying the Cashable Voucher Program as a simple and reputable promotion.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xml:space="preserve">  Mr. Lemer acknowledged that the allegations in paras. 88(a)-(e) and (h)-(j) should not be included in the claim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but rather in the claim for negligent misrepresentation, and that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was in essence one of failing to investigate the cashable voucher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xml:space="preserve">  The plaintiffs make further claims in paras. 90 and 91 that the defendants had a duty to warn them about the Missouri proceeding and the bankruptcy of Consumers Trust, but Mr. Lemer made submissions only on the basis that this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is focused on the failure to investigate. I will address New UFW's submission on the basis that the alleged breach of the duty of care is contained in paras. 88(f) and (g) only.</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(ii)</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xml:space="preserve">  New UFW says that this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is one for recovery of economic loss caused by the delivery of a defective product - here a cashable voucher alleged not to be viable - and the law does not extend a duty of care to the plaintiffs in these circumstances. They rely on </w:t>
      </w:r>
      <w:r>
        <w:rPr>
          <w:rFonts w:ascii="arial" w:eastAsia="arial" w:hAnsi="arial" w:cs="arial"/>
          <w:i/>
          <w:color w:val="000000"/>
          <w:sz w:val="20"/>
          <w:lang w:val="en-US" w:eastAsia="en-US" w:bidi="ar-SA"/>
        </w:rPr>
        <w:t>Arora v Whirlpool Canada LP</w:t>
      </w:r>
      <w:r>
        <w:rPr>
          <w:rFonts w:ascii="arial" w:eastAsia="arial" w:hAnsi="arial" w:cs="arial"/>
          <w:color w:val="000000"/>
          <w:sz w:val="20"/>
          <w:lang w:val="en-US" w:eastAsia="en-US" w:bidi="ar-SA"/>
        </w:rPr>
        <w:t xml:space="preserve">, </w:t>
      </w:r>
      <w:hyperlink r:id="rId788" w:history="1">
        <w:r>
          <w:rPr>
            <w:rFonts w:ascii="arial" w:eastAsia="arial" w:hAnsi="arial" w:cs="arial"/>
            <w:i/>
            <w:color w:val="0077CC"/>
            <w:sz w:val="20"/>
            <w:u w:val="single"/>
            <w:shd w:val="clear" w:color="auto" w:fill="FFFFFF"/>
            <w:lang w:val="en-US" w:eastAsia="en-US" w:bidi="ar-SA"/>
          </w:rPr>
          <w:t>2012 ONSC 4642</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M. Hasegawa &amp; Co v Pepsi Bottling Group (Canada), Co</w:t>
      </w:r>
      <w:r>
        <w:rPr>
          <w:rFonts w:ascii="arial" w:eastAsia="arial" w:hAnsi="arial" w:cs="arial"/>
          <w:color w:val="000000"/>
          <w:sz w:val="20"/>
          <w:lang w:val="en-US" w:eastAsia="en-US" w:bidi="ar-SA"/>
        </w:rPr>
        <w:t xml:space="preserve">, </w:t>
      </w:r>
      <w:hyperlink r:id="rId819" w:history="1">
        <w:r>
          <w:rPr>
            <w:rFonts w:ascii="arial" w:eastAsia="arial" w:hAnsi="arial" w:cs="arial"/>
            <w:i/>
            <w:color w:val="0077CC"/>
            <w:sz w:val="20"/>
            <w:u w:val="single"/>
            <w:shd w:val="clear" w:color="auto" w:fill="FFFFFF"/>
            <w:lang w:val="en-US" w:eastAsia="en-US" w:bidi="ar-SA"/>
          </w:rPr>
          <w:t>2002 BCCA 324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Arora</w:t>
      </w:r>
      <w:r>
        <w:rPr>
          <w:rFonts w:ascii="arial" w:eastAsia="arial" w:hAnsi="arial" w:cs="arial"/>
          <w:color w:val="000000"/>
          <w:sz w:val="20"/>
          <w:lang w:val="en-US" w:eastAsia="en-US" w:bidi="ar-SA"/>
        </w:rPr>
        <w:t xml:space="preserve">, Perell J. denied an application for certification in part on the basis that it was plain and obvious that a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for pure economic loss for a non-dangerous, negligently designed washing machine was untenable. He reviewed in considerable detail the reasoning in </w:t>
      </w:r>
      <w:r>
        <w:rPr>
          <w:rFonts w:ascii="arial" w:eastAsia="arial" w:hAnsi="arial" w:cs="arial"/>
          <w:i/>
          <w:color w:val="000000"/>
          <w:sz w:val="20"/>
          <w:lang w:val="en-US" w:eastAsia="en-US" w:bidi="ar-SA"/>
        </w:rPr>
        <w:t>Winnipeg Condominium Corporation No 36 v Bird Construction Co</w:t>
      </w:r>
      <w:r>
        <w:rPr>
          <w:rFonts w:ascii="arial" w:eastAsia="arial" w:hAnsi="arial" w:cs="arial"/>
          <w:color w:val="000000"/>
          <w:sz w:val="20"/>
          <w:lang w:val="en-US" w:eastAsia="en-US" w:bidi="ar-SA"/>
        </w:rPr>
        <w:t xml:space="preserve">, </w:t>
      </w:r>
      <w:hyperlink r:id="rId820" w:history="1">
        <w:r>
          <w:rPr>
            <w:rFonts w:ascii="arial" w:eastAsia="arial" w:hAnsi="arial" w:cs="arial"/>
            <w:i/>
            <w:color w:val="0077CC"/>
            <w:sz w:val="20"/>
            <w:u w:val="single"/>
            <w:shd w:val="clear" w:color="auto" w:fill="FFFFFF"/>
            <w:lang w:val="en-US" w:eastAsia="en-US" w:bidi="ar-SA"/>
          </w:rPr>
          <w:t>[1995] 1 SCR 85</w:t>
        </w:r>
      </w:hyperlink>
      <w:r>
        <w:rPr>
          <w:rFonts w:ascii="arial" w:eastAsia="arial" w:hAnsi="arial" w:cs="arial"/>
          <w:color w:val="000000"/>
          <w:sz w:val="20"/>
          <w:lang w:val="en-US" w:eastAsia="en-US" w:bidi="ar-SA"/>
        </w:rPr>
        <w:t xml:space="preserve">, and the jurisprudence following it, and concluded that after </w:t>
      </w:r>
      <w:r>
        <w:rPr>
          <w:rFonts w:ascii="arial" w:eastAsia="arial" w:hAnsi="arial" w:cs="arial"/>
          <w:i/>
          <w:color w:val="000000"/>
          <w:sz w:val="20"/>
          <w:lang w:val="en-US" w:eastAsia="en-US" w:bidi="ar-SA"/>
        </w:rPr>
        <w:t>Winnipeg Condominium</w:t>
      </w:r>
      <w:r>
        <w:rPr>
          <w:rFonts w:ascii="arial" w:eastAsia="arial" w:hAnsi="arial" w:cs="arial"/>
          <w:color w:val="000000"/>
          <w:sz w:val="20"/>
          <w:lang w:val="en-US" w:eastAsia="en-US" w:bidi="ar-SA"/>
        </w:rPr>
        <w:t>, "it became settled law that there is not, and for good policy reasons, there should not be, compensation in tort for shoddy but non-dangerous products" (at para. 227).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Winnipeg Condominium</w:t>
      </w:r>
      <w:r>
        <w:rPr>
          <w:rFonts w:ascii="arial" w:eastAsia="arial" w:hAnsi="arial" w:cs="arial"/>
          <w:color w:val="000000"/>
          <w:sz w:val="20"/>
          <w:lang w:val="en-US" w:eastAsia="en-US" w:bidi="ar-SA"/>
        </w:rPr>
        <w:t xml:space="preserve">, La Forest J. held that a general contractor responsible for the construction of a building could be held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to a subsequent purchaser for the cost of repairing defects in the building arising from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its construction. He held at para. 12 that the case fell partially within the category of "supply of shoddy goods or structures", subject to an important caveat that the negligently supplied structure was not just shoddy, it was dangerous: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view, this is important because the degree of danger to persons and other property created by the negligent construction of a building is a cornerstone of the policy analysis that must take place in determining whether the cost of repair of the building is recoverable in tort. As I will attempt to show, a distinction can be drawn on a policy level between "dangerous" defects in buildings and merely "shoddy" construction in buildings and that, at least with respect to dangerous defects, compelling policy reasons exist for the imposition upon contractors of tortious liability for the cost of repair of these defects.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xml:space="preserve">  Applying the test developed in </w:t>
      </w:r>
      <w:r>
        <w:rPr>
          <w:rFonts w:ascii="arial" w:eastAsia="arial" w:hAnsi="arial" w:cs="arial"/>
          <w:i/>
          <w:color w:val="000000"/>
          <w:sz w:val="20"/>
          <w:lang w:val="en-US" w:eastAsia="en-US" w:bidi="ar-SA"/>
        </w:rPr>
        <w:t>Anns v Merton London Borough Council</w:t>
      </w:r>
      <w:r>
        <w:rPr>
          <w:rFonts w:ascii="arial" w:eastAsia="arial" w:hAnsi="arial" w:cs="arial"/>
          <w:color w:val="000000"/>
          <w:sz w:val="20"/>
          <w:lang w:val="en-US" w:eastAsia="en-US" w:bidi="ar-SA"/>
        </w:rPr>
        <w:t xml:space="preserve">, [1978] AC 728 and </w:t>
      </w:r>
      <w:r>
        <w:rPr>
          <w:rFonts w:ascii="arial" w:eastAsia="arial" w:hAnsi="arial" w:cs="arial"/>
          <w:i/>
          <w:color w:val="000000"/>
          <w:sz w:val="20"/>
          <w:lang w:val="en-US" w:eastAsia="en-US" w:bidi="ar-SA"/>
        </w:rPr>
        <w:t>Kamloops (City) v Nielsen</w:t>
      </w:r>
      <w:r>
        <w:rPr>
          <w:rFonts w:ascii="arial" w:eastAsia="arial" w:hAnsi="arial" w:cs="arial"/>
          <w:color w:val="000000"/>
          <w:sz w:val="20"/>
          <w:lang w:val="en-US" w:eastAsia="en-US" w:bidi="ar-SA"/>
        </w:rPr>
        <w:t xml:space="preserve">, </w:t>
      </w:r>
      <w:hyperlink r:id="rId266" w:history="1">
        <w:r>
          <w:rPr>
            <w:rFonts w:ascii="arial" w:eastAsia="arial" w:hAnsi="arial" w:cs="arial"/>
            <w:i/>
            <w:color w:val="0077CC"/>
            <w:sz w:val="20"/>
            <w:u w:val="single"/>
            <w:shd w:val="clear" w:color="auto" w:fill="FFFFFF"/>
            <w:lang w:val="en-US" w:eastAsia="en-US" w:bidi="ar-SA"/>
          </w:rPr>
          <w:t>[1984] 2 SCR 2</w:t>
        </w:r>
      </w:hyperlink>
      <w:r>
        <w:rPr>
          <w:rFonts w:ascii="arial" w:eastAsia="arial" w:hAnsi="arial" w:cs="arial"/>
          <w:color w:val="000000"/>
          <w:sz w:val="20"/>
          <w:lang w:val="en-US" w:eastAsia="en-US" w:bidi="ar-SA"/>
        </w:rPr>
        <w:t>, La Forest J. concluded that where there is a reasonable likelihood that a defect in a building will cause injury to its inhabitants, this is sufficient to ground a contractor's duty in tort to subsequent purchasers of the building for the cost of repairing the defect if that defect is discovered prior to any injury. Important to his analysis was the fact that the defect in question posed a real and substantial danger to the inhabitants of the building. His reasons were rooted in policy considerations, as "[a]llowing recovery against contractors in tort for the cost of repair of dangerous defects ... serves an important preventative function by encouraging socially responsible behaviour" (at para. 37).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Of most relevance to the issue here are his comments at para. 41: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Given the clear presence of a real and substantial danger in this case, I do not find it necessary to consider whether contractors should also in principle be held to owe a duty to subsequent purchasers for the cost of repairing non-dangerous defects in buildings. It was not raised by the parties. I note that appellate courts in New Zealand ... Australia ... and in numerous American states ... have all recognized some form of general duty of builders and contractors to subsequent purchasers with regard to the reasonable fitness and habitability of a building. In Quebec, it is also now well-established that contractors, subcontractors, engineers and architects owe a duty to successors in title in immovable property for economic loss suffered as a result of faulty construction, design and workmanship ... However, it is right to note that from the tone of Dickson J.'s reasons in Fraser-Reid v. Droumtsekas ... he would appear to be cool to the idea, though he found it unnecessary to canvass the point. For my part, I would require argument more squarely focused on the issue before entertaining this possibility. [Citations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xml:space="preserve">  This comment has been interpreted by some courts to indicate that the law in this area is not yet settled and it remains possible that claims for repairs in non-dangerous situations may yet be held to be recoverable, and therefore such claims should not be struck out at the pleadings or certification stage: see </w:t>
      </w:r>
      <w:r>
        <w:rPr>
          <w:rFonts w:ascii="arial" w:eastAsia="arial" w:hAnsi="arial" w:cs="arial"/>
          <w:i/>
          <w:color w:val="000000"/>
          <w:sz w:val="20"/>
          <w:lang w:val="en-US" w:eastAsia="en-US" w:bidi="ar-SA"/>
        </w:rPr>
        <w:t>Gariepy v Shell Oil Co</w:t>
      </w:r>
      <w:r>
        <w:rPr>
          <w:rFonts w:ascii="arial" w:eastAsia="arial" w:hAnsi="arial" w:cs="arial"/>
          <w:color w:val="000000"/>
          <w:sz w:val="20"/>
          <w:lang w:val="en-US" w:eastAsia="en-US" w:bidi="ar-SA"/>
        </w:rPr>
        <w:t xml:space="preserve">, </w:t>
      </w:r>
      <w:hyperlink r:id="rId821" w:history="1">
        <w:r>
          <w:rPr>
            <w:rFonts w:ascii="arial" w:eastAsia="arial" w:hAnsi="arial" w:cs="arial"/>
            <w:i/>
            <w:color w:val="0077CC"/>
            <w:sz w:val="20"/>
            <w:u w:val="single"/>
            <w:shd w:val="clear" w:color="auto" w:fill="FFFFFF"/>
            <w:lang w:val="en-US" w:eastAsia="en-US" w:bidi="ar-SA"/>
          </w:rPr>
          <w:t>[2002] O.J. No. 2766</w:t>
        </w:r>
      </w:hyperlink>
      <w:r>
        <w:rPr>
          <w:rFonts w:ascii="arial" w:eastAsia="arial" w:hAnsi="arial" w:cs="arial"/>
          <w:color w:val="000000"/>
          <w:sz w:val="20"/>
          <w:lang w:val="en-US" w:eastAsia="en-US" w:bidi="ar-SA"/>
        </w:rPr>
        <w:t xml:space="preserve"> (SC), aff'd by </w:t>
      </w:r>
      <w:hyperlink r:id="rId822" w:history="1">
        <w:r>
          <w:rPr>
            <w:rFonts w:ascii="arial" w:eastAsia="arial" w:hAnsi="arial" w:cs="arial"/>
            <w:i/>
            <w:color w:val="0077CC"/>
            <w:sz w:val="20"/>
            <w:u w:val="single"/>
            <w:shd w:val="clear" w:color="auto" w:fill="FFFFFF"/>
            <w:lang w:val="en-US" w:eastAsia="en-US" w:bidi="ar-SA"/>
          </w:rPr>
          <w:t>[2004] O.J. No 5309</w:t>
        </w:r>
      </w:hyperlink>
      <w:r>
        <w:rPr>
          <w:rFonts w:ascii="arial" w:eastAsia="arial" w:hAnsi="arial" w:cs="arial"/>
          <w:color w:val="000000"/>
          <w:sz w:val="20"/>
          <w:lang w:val="en-US" w:eastAsia="en-US" w:bidi="ar-SA"/>
        </w:rPr>
        <w:t xml:space="preserve"> (Div Ct); </w:t>
      </w:r>
      <w:r>
        <w:rPr>
          <w:rFonts w:ascii="arial" w:eastAsia="arial" w:hAnsi="arial" w:cs="arial"/>
          <w:i/>
          <w:color w:val="000000"/>
          <w:sz w:val="20"/>
          <w:lang w:val="en-US" w:eastAsia="en-US" w:bidi="ar-SA"/>
        </w:rPr>
        <w:t>Bondy v. Toshiba of Canada Ltd</w:t>
      </w:r>
      <w:r>
        <w:rPr>
          <w:rFonts w:ascii="arial" w:eastAsia="arial" w:hAnsi="arial" w:cs="arial"/>
          <w:color w:val="000000"/>
          <w:sz w:val="20"/>
          <w:lang w:val="en-US" w:eastAsia="en-US" w:bidi="ar-SA"/>
        </w:rPr>
        <w:t xml:space="preserve">, </w:t>
      </w:r>
      <w:hyperlink r:id="rId823" w:history="1">
        <w:r>
          <w:rPr>
            <w:rFonts w:ascii="arial" w:eastAsia="arial" w:hAnsi="arial" w:cs="arial"/>
            <w:i/>
            <w:color w:val="0077CC"/>
            <w:sz w:val="20"/>
            <w:u w:val="single"/>
            <w:shd w:val="clear" w:color="auto" w:fill="FFFFFF"/>
            <w:lang w:val="en-US" w:eastAsia="en-US" w:bidi="ar-SA"/>
          </w:rPr>
          <w:t>[2006] O.J. No. 1665</w:t>
        </w:r>
      </w:hyperlink>
      <w:r>
        <w:rPr>
          <w:rFonts w:ascii="arial" w:eastAsia="arial" w:hAnsi="arial" w:cs="arial"/>
          <w:color w:val="000000"/>
          <w:sz w:val="20"/>
          <w:lang w:val="en-US" w:eastAsia="en-US" w:bidi="ar-SA"/>
        </w:rPr>
        <w:t xml:space="preserve"> (SC), leave to appeal ref'd </w:t>
      </w:r>
      <w:hyperlink r:id="rId824" w:history="1">
        <w:r>
          <w:rPr>
            <w:rFonts w:ascii="arial" w:eastAsia="arial" w:hAnsi="arial" w:cs="arial"/>
            <w:i/>
            <w:color w:val="0077CC"/>
            <w:sz w:val="20"/>
            <w:u w:val="single"/>
            <w:shd w:val="clear" w:color="auto" w:fill="FFFFFF"/>
            <w:lang w:val="en-US" w:eastAsia="en-US" w:bidi="ar-SA"/>
          </w:rPr>
          <w:t>2006 CarswellOnt 9490</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Griffin v Dell Canada Inc</w:t>
      </w:r>
      <w:r>
        <w:rPr>
          <w:rFonts w:ascii="arial" w:eastAsia="arial" w:hAnsi="arial" w:cs="arial"/>
          <w:color w:val="000000"/>
          <w:sz w:val="20"/>
          <w:lang w:val="en-US" w:eastAsia="en-US" w:bidi="ar-SA"/>
        </w:rPr>
        <w:t xml:space="preserve">, </w:t>
      </w:r>
      <w:hyperlink r:id="rId825" w:history="1">
        <w:r>
          <w:rPr>
            <w:rFonts w:ascii="arial" w:eastAsia="arial" w:hAnsi="arial" w:cs="arial"/>
            <w:i/>
            <w:color w:val="0077CC"/>
            <w:sz w:val="20"/>
            <w:u w:val="single"/>
            <w:shd w:val="clear" w:color="auto" w:fill="FFFFFF"/>
            <w:lang w:val="en-US" w:eastAsia="en-US" w:bidi="ar-SA"/>
          </w:rPr>
          <w:t>[2009] O.J. No. 418</w:t>
        </w:r>
      </w:hyperlink>
      <w:r>
        <w:rPr>
          <w:rFonts w:ascii="arial" w:eastAsia="arial" w:hAnsi="arial" w:cs="arial"/>
          <w:color w:val="000000"/>
          <w:sz w:val="20"/>
          <w:lang w:val="en-US" w:eastAsia="en-US" w:bidi="ar-SA"/>
        </w:rPr>
        <w:t xml:space="preserve"> (SC), leave to appeal ref'd </w:t>
      </w:r>
      <w:hyperlink r:id="rId826" w:history="1">
        <w:r>
          <w:rPr>
            <w:rFonts w:ascii="arial" w:eastAsia="arial" w:hAnsi="arial" w:cs="arial"/>
            <w:i/>
            <w:color w:val="0077CC"/>
            <w:sz w:val="20"/>
            <w:u w:val="single"/>
            <w:shd w:val="clear" w:color="auto" w:fill="FFFFFF"/>
            <w:lang w:val="en-US" w:eastAsia="en-US" w:bidi="ar-SA"/>
          </w:rPr>
          <w:t>[2009] O.J. No. 3438</w:t>
        </w:r>
      </w:hyperlink>
      <w:r>
        <w:rPr>
          <w:rFonts w:ascii="arial" w:eastAsia="arial" w:hAnsi="arial" w:cs="arial"/>
          <w:color w:val="000000"/>
          <w:sz w:val="20"/>
          <w:lang w:val="en-US" w:eastAsia="en-US" w:bidi="ar-SA"/>
        </w:rPr>
        <w:t xml:space="preserve"> (Div Ct); and </w:t>
      </w:r>
      <w:r>
        <w:rPr>
          <w:rFonts w:ascii="arial" w:eastAsia="arial" w:hAnsi="arial" w:cs="arial"/>
          <w:i/>
          <w:color w:val="000000"/>
          <w:sz w:val="20"/>
          <w:lang w:val="en-US" w:eastAsia="en-US" w:bidi="ar-SA"/>
        </w:rPr>
        <w:t>Sable Offshore Energy Inc v Ameron International Corp</w:t>
      </w:r>
      <w:r>
        <w:rPr>
          <w:rFonts w:ascii="arial" w:eastAsia="arial" w:hAnsi="arial" w:cs="arial"/>
          <w:color w:val="000000"/>
          <w:sz w:val="20"/>
          <w:lang w:val="en-US" w:eastAsia="en-US" w:bidi="ar-SA"/>
        </w:rPr>
        <w:t xml:space="preserve">, </w:t>
      </w:r>
      <w:hyperlink r:id="rId827" w:history="1">
        <w:r>
          <w:rPr>
            <w:rFonts w:ascii="arial" w:eastAsia="arial" w:hAnsi="arial" w:cs="arial"/>
            <w:i/>
            <w:color w:val="0077CC"/>
            <w:sz w:val="20"/>
            <w:u w:val="single"/>
            <w:shd w:val="clear" w:color="auto" w:fill="FFFFFF"/>
            <w:lang w:val="en-US" w:eastAsia="en-US" w:bidi="ar-SA"/>
          </w:rPr>
          <w:t>2007 NSCA 70</w:t>
        </w:r>
      </w:hyperlink>
      <w:r>
        <w:rPr>
          <w:rFonts w:ascii="arial" w:eastAsia="arial" w:hAnsi="arial" w:cs="arial"/>
          <w:color w:val="000000"/>
          <w:sz w:val="20"/>
          <w:lang w:val="en-US" w:eastAsia="en-US" w:bidi="ar-SA"/>
        </w:rPr>
        <w:t xml:space="preserve">, aff'g </w:t>
      </w:r>
      <w:hyperlink r:id="rId828" w:history="1">
        <w:r>
          <w:rPr>
            <w:rFonts w:ascii="arial" w:eastAsia="arial" w:hAnsi="arial" w:cs="arial"/>
            <w:i/>
            <w:color w:val="0077CC"/>
            <w:sz w:val="20"/>
            <w:u w:val="single"/>
            <w:shd w:val="clear" w:color="auto" w:fill="FFFFFF"/>
            <w:lang w:val="en-US" w:eastAsia="en-US" w:bidi="ar-SA"/>
          </w:rPr>
          <w:t>2006 NSSC 332</w:t>
        </w:r>
      </w:hyperlink>
      <w:r>
        <w:rPr>
          <w:rFonts w:ascii="arial" w:eastAsia="arial" w:hAnsi="arial" w:cs="arial"/>
          <w:color w:val="000000"/>
          <w:sz w:val="20"/>
          <w:lang w:val="en-US" w:eastAsia="en-US" w:bidi="ar-SA"/>
        </w:rPr>
        <w:t xml:space="preserve">, leave to appeal ref'd </w:t>
      </w:r>
      <w:hyperlink r:id="rId829" w:history="1">
        <w:r>
          <w:rPr>
            <w:rFonts w:ascii="arial" w:eastAsia="arial" w:hAnsi="arial" w:cs="arial"/>
            <w:i/>
            <w:color w:val="0077CC"/>
            <w:sz w:val="20"/>
            <w:u w:val="single"/>
            <w:shd w:val="clear" w:color="auto" w:fill="FFFFFF"/>
            <w:lang w:val="en-US" w:eastAsia="en-US" w:bidi="ar-SA"/>
          </w:rPr>
          <w:t>[2007] SCCA No 425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Arora</w:t>
      </w:r>
      <w:r>
        <w:rPr>
          <w:rFonts w:ascii="arial" w:eastAsia="arial" w:hAnsi="arial" w:cs="arial"/>
          <w:color w:val="000000"/>
          <w:sz w:val="20"/>
          <w:lang w:val="en-US" w:eastAsia="en-US" w:bidi="ar-SA"/>
        </w:rPr>
        <w:t>, Perrell J. disagreed with these decisions, providing comprehensive reasons why he concluded that the law is settled. He interpreted La Forest J.'s remarks (at para. 255):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as being universalist and admitting the possibility of other circumstances where there might be recovery for pure economic losses but as foreclosing pure economic losses being recovered when goods are simply shoddy. For non-dangerous goods, Justice La Forest was well aware that there were weighty policy reasons for leaving compensation to the realm of contract and property law or to statutory regimes.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He concluded at para. 257: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there must be some operative public policy factor such as promoting health and safety to justify tort's intrusion into the realm of contract and property law, bargaining, and the consensual allocation of economic risk and there also should be some measure to avoid indeterminate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xml:space="preserve">  In my view, Perrell J.'s conclusion overstates the effect of </w:t>
      </w:r>
      <w:r>
        <w:rPr>
          <w:rFonts w:ascii="arial" w:eastAsia="arial" w:hAnsi="arial" w:cs="arial"/>
          <w:i/>
          <w:color w:val="000000"/>
          <w:sz w:val="20"/>
          <w:lang w:val="en-US" w:eastAsia="en-US" w:bidi="ar-SA"/>
        </w:rPr>
        <w:t>Winnipeg Condominium</w:t>
      </w:r>
      <w:r>
        <w:rPr>
          <w:rFonts w:ascii="arial" w:eastAsia="arial" w:hAnsi="arial" w:cs="arial"/>
          <w:color w:val="000000"/>
          <w:sz w:val="20"/>
          <w:lang w:val="en-US" w:eastAsia="en-US" w:bidi="ar-SA"/>
        </w:rPr>
        <w:t xml:space="preserve">. I see the words of La Forest J. at para. 41 of </w:t>
      </w:r>
      <w:r>
        <w:rPr>
          <w:rFonts w:ascii="arial" w:eastAsia="arial" w:hAnsi="arial" w:cs="arial"/>
          <w:i/>
          <w:color w:val="000000"/>
          <w:sz w:val="20"/>
          <w:lang w:val="en-US" w:eastAsia="en-US" w:bidi="ar-SA"/>
        </w:rPr>
        <w:t>Winnipeg Condominium</w:t>
      </w:r>
      <w:r>
        <w:rPr>
          <w:rFonts w:ascii="arial" w:eastAsia="arial" w:hAnsi="arial" w:cs="arial"/>
          <w:color w:val="000000"/>
          <w:sz w:val="20"/>
          <w:lang w:val="en-US" w:eastAsia="en-US" w:bidi="ar-SA"/>
        </w:rPr>
        <w:t xml:space="preserve"> as confirming the state of the law in Canada, which rejects a broad rule excluding recovery in tort for economic loss. It remains possible to establish a duty of care not yet recognized, in accordance with the test in </w:t>
      </w:r>
      <w:r>
        <w:rPr>
          <w:rFonts w:ascii="arial" w:eastAsia="arial" w:hAnsi="arial" w:cs="arial"/>
          <w:i/>
          <w:color w:val="000000"/>
          <w:sz w:val="20"/>
          <w:lang w:val="en-US" w:eastAsia="en-US" w:bidi="ar-SA"/>
        </w:rPr>
        <w:t>Anns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Kamloops</w:t>
      </w:r>
      <w:r>
        <w:rPr>
          <w:rFonts w:ascii="arial" w:eastAsia="arial" w:hAnsi="arial" w:cs="arial"/>
          <w:color w:val="000000"/>
          <w:sz w:val="20"/>
          <w:lang w:val="en-US" w:eastAsia="en-US" w:bidi="ar-SA"/>
        </w:rPr>
        <w:t>. However, the fact that this is a possibility does not in itself render it an error to determine that a cause of action not yet recognized in law is not a reasonable cause of action and is bound to fail. In assessing this issue, much will depend on the nature of the claim, the alleged defects, and the policy issues that may come into play. Also important here is the law in this province that is binding on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 Hasegawa</w:t>
      </w:r>
      <w:r>
        <w:rPr>
          <w:rFonts w:ascii="arial" w:eastAsia="arial" w:hAnsi="arial" w:cs="arial"/>
          <w:color w:val="000000"/>
          <w:sz w:val="20"/>
          <w:lang w:val="en-US" w:eastAsia="en-US" w:bidi="ar-SA"/>
        </w:rPr>
        <w:t xml:space="preserve">, the Court of Appeal declined to recognize a duty of care in connection with the sale of defective bottled water where no danger to consumers was established. On the issue of proximity, Finch, CJBC (as he then was) interpreted </w:t>
      </w:r>
      <w:r>
        <w:rPr>
          <w:rFonts w:ascii="arial" w:eastAsia="arial" w:hAnsi="arial" w:cs="arial"/>
          <w:i/>
          <w:color w:val="000000"/>
          <w:sz w:val="20"/>
          <w:lang w:val="en-US" w:eastAsia="en-US" w:bidi="ar-SA"/>
        </w:rPr>
        <w:t>Winnipeg Condominium</w:t>
      </w:r>
      <w:r>
        <w:rPr>
          <w:rFonts w:ascii="arial" w:eastAsia="arial" w:hAnsi="arial" w:cs="arial"/>
          <w:color w:val="000000"/>
          <w:sz w:val="20"/>
          <w:lang w:val="en-US" w:eastAsia="en-US" w:bidi="ar-SA"/>
        </w:rPr>
        <w:t xml:space="preserve"> as deciding that the kind of harm which may potentially be suffered determines the existence of the duty of care and the duty does not extend to distributing products that are not dangerous, but merely shoddy or defective (at para. 37):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can be no doubt that on the law as presently understood, the potential nature of the harm determines the existence of the prima facie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xml:space="preserve">  With respect to the second part of the </w:t>
      </w:r>
      <w:r>
        <w:rPr>
          <w:rFonts w:ascii="arial" w:eastAsia="arial" w:hAnsi="arial" w:cs="arial"/>
          <w:i/>
          <w:color w:val="000000"/>
          <w:sz w:val="20"/>
          <w:lang w:val="en-US" w:eastAsia="en-US" w:bidi="ar-SA"/>
        </w:rPr>
        <w:t>Anns</w:t>
      </w:r>
      <w:r>
        <w:rPr>
          <w:rFonts w:ascii="arial" w:eastAsia="arial" w:hAnsi="arial" w:cs="arial"/>
          <w:color w:val="000000"/>
          <w:sz w:val="20"/>
          <w:lang w:val="en-US" w:eastAsia="en-US" w:bidi="ar-SA"/>
        </w:rPr>
        <w:t xml:space="preserve"> test, the Chief Justice found valid policy reasons why liability for pure economic loss should be denied (at paras. 57-58):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legal rule which imposed liability for the manufacture or supply of defective, but non-dangerous, goods would create an implied warranty of product quality for the sale of commercial products, in the absence of contract. Such a rule would be an enormous change in the law, and would indeed create "liability in an indeterminate amount for an indeterminate time to an indeterminate class": per Cardozo C.J. in </w:t>
      </w:r>
      <w:r>
        <w:rPr>
          <w:rFonts w:ascii="arial" w:eastAsia="arial" w:hAnsi="arial" w:cs="arial"/>
          <w:i/>
          <w:color w:val="000000"/>
          <w:sz w:val="20"/>
          <w:lang w:val="en-US" w:eastAsia="en-US" w:bidi="ar-SA"/>
        </w:rPr>
        <w:t>Ultramares Corp. v Touche</w:t>
      </w:r>
      <w:r>
        <w:rPr>
          <w:rFonts w:ascii="arial" w:eastAsia="arial" w:hAnsi="arial" w:cs="arial"/>
          <w:color w:val="000000"/>
          <w:sz w:val="20"/>
          <w:lang w:val="en-US" w:eastAsia="en-US" w:bidi="ar-SA"/>
        </w:rPr>
        <w:t xml:space="preserv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 agree with the defendant's submissions that the law of contract and sale of goods already allocates risk for goods of poor quality, and that tort law should not interfere.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M. Hasegawa</w:t>
      </w:r>
      <w:r>
        <w:rPr>
          <w:rFonts w:ascii="arial" w:eastAsia="arial" w:hAnsi="arial" w:cs="arial"/>
          <w:color w:val="000000"/>
          <w:sz w:val="20"/>
          <w:lang w:val="en-US" w:eastAsia="en-US" w:bidi="ar-SA"/>
        </w:rPr>
        <w:t xml:space="preserve"> was a claim that was permitted to go to trial. However, the determination of law is significant, as it establishes that the law in this province has restricted claims in tort for economic loss to dangerous, not just defective, goods. The court saw an extension of the duty of care as "an enormous change in 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xml:space="preserve">  When these principles are considered in the context of this case, I see no legal basis for the plaintiffs' claim against the corporate defendants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allegation that the defendants failed to investigate the voucher program is a very different kind of shoddy product allegation than any of the cases cited here. This allegation raises the issue of whether a retailer has a duty of care to all potential customers to properly investigate the financial strength of an entity with whom it contracts to provide a sales promotion. While the class of potential claimants may be limited by the period of time in which the promotion is offered, the law in British Columbia does not extend tort liability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pure economic loss to circumstances anywhere close to those alleged in the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I agree with the submission of New UFW that the plaintiffs are seeking to use tort law to obtain a form of insurance or warranty from the defendants that Consumers Trust would be able to carry out its obligation to pay out on the vouchers. My view is that the true claim here is against Consumers Trust in contract, and tort law should not interfere.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xml:space="preserve">  Finally, I note that this claim and the way it is framed is entirely inconsistent with the rest of the plaintiffs' claims, which rely on a warranty or representation that the corporate defendants were to pay them the face value of the vouchers, not Consumers Trust. I also note that the plaintiffs include in their claim for negligent misrepresentation the allegation that representations made by the corporate defendants were negligently made due in part to their failure to investigate the reputation and financial responsibility of Consumers Trust and the viability of the voucher program. This is similar to the claim made in </w:t>
      </w:r>
      <w:r>
        <w:rPr>
          <w:rFonts w:ascii="arial" w:eastAsia="arial" w:hAnsi="arial" w:cs="arial"/>
          <w:i/>
          <w:color w:val="000000"/>
          <w:sz w:val="20"/>
          <w:lang w:val="en-US" w:eastAsia="en-US" w:bidi="ar-SA"/>
        </w:rPr>
        <w:t>Payne v Eagle Ridge Pontiac GMC Ltd</w:t>
      </w:r>
      <w:r>
        <w:rPr>
          <w:rFonts w:ascii="arial" w:eastAsia="arial" w:hAnsi="arial" w:cs="arial"/>
          <w:color w:val="000000"/>
          <w:sz w:val="20"/>
          <w:lang w:val="en-US" w:eastAsia="en-US" w:bidi="ar-SA"/>
        </w:rPr>
        <w:t xml:space="preserve">, </w:t>
      </w:r>
      <w:hyperlink r:id="rId830" w:history="1">
        <w:r>
          <w:rPr>
            <w:rFonts w:ascii="arial" w:eastAsia="arial" w:hAnsi="arial" w:cs="arial"/>
            <w:i/>
            <w:color w:val="0077CC"/>
            <w:sz w:val="20"/>
            <w:u w:val="single"/>
            <w:shd w:val="clear" w:color="auto" w:fill="FFFFFF"/>
            <w:lang w:val="en-US" w:eastAsia="en-US" w:bidi="ar-SA"/>
          </w:rPr>
          <w:t>2009 BCSC 530</w:t>
        </w:r>
      </w:hyperlink>
      <w:r>
        <w:rPr>
          <w:rFonts w:ascii="arial" w:eastAsia="arial" w:hAnsi="arial" w:cs="arial"/>
          <w:color w:val="000000"/>
          <w:sz w:val="20"/>
          <w:lang w:val="en-US" w:eastAsia="en-US" w:bidi="ar-SA"/>
        </w:rPr>
        <w:t>. Such an allegation, aside from its inconsistency with the basis of the other claims, more properly belongs in the claim for negligent misrepresentation.</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(iii)</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Causation of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xml:space="preserve">  In addition to the problems discussed above, the Notice of Civil Claim pleads a bare assertion that the plaintiffs suffered a loss as a result of the defendants' breach of duty, with no material facts of a causal link between the failure to investigate and the loss. There is an assertion in relation to the claim in negligent misrepresentation (at para. 99) that the vouchers would not have been offered to the plaintiffs had the defendants made reasonable investigations. Even if this assertion were made in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it provides no causal link to the losses claimed, which are based on the defendants' failure to pay.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xml:space="preserve">  I agree with New UFW that a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must be based on a pleading of some loss that would have been avoided if the defendants had investigated and monitored Consumers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xml:space="preserve">  Accordingly, I have concluded that it is plain and obvious that the pleadings disclose no reasonable cause of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corporate defendants.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There is an identifiable class of two or more persons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The plaintiffs seek certification for a class defined as "all persons who received cashable vouchers in connection with the purchase of goods and services" from both Old UFW and New UFW.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xml:space="preserve">  The jurisprudence requires that the class be capable of clear definition and there are issues of fact or law common to all class members. As the Chief Justice explained in </w:t>
      </w:r>
      <w:r>
        <w:rPr>
          <w:rFonts w:ascii="arial" w:eastAsia="arial" w:hAnsi="arial" w:cs="arial"/>
          <w:i/>
          <w:color w:val="000000"/>
          <w:sz w:val="20"/>
          <w:lang w:val="en-US" w:eastAsia="en-US" w:bidi="ar-SA"/>
        </w:rPr>
        <w:t>Western Canadian Shopping Centres Inc v Dutton</w:t>
      </w:r>
      <w:r>
        <w:rPr>
          <w:rFonts w:ascii="arial" w:eastAsia="arial" w:hAnsi="arial" w:cs="arial"/>
          <w:color w:val="000000"/>
          <w:sz w:val="20"/>
          <w:lang w:val="en-US" w:eastAsia="en-US" w:bidi="ar-SA"/>
        </w:rPr>
        <w:t xml:space="preserve">, </w:t>
      </w:r>
      <w:hyperlink r:id="rId831" w:history="1">
        <w:r>
          <w:rPr>
            <w:rFonts w:ascii="arial" w:eastAsia="arial" w:hAnsi="arial" w:cs="arial"/>
            <w:i/>
            <w:color w:val="0077CC"/>
            <w:sz w:val="20"/>
            <w:u w:val="single"/>
            <w:shd w:val="clear" w:color="auto" w:fill="FFFFFF"/>
            <w:lang w:val="en-US" w:eastAsia="en-US" w:bidi="ar-SA"/>
          </w:rPr>
          <w:t>2001 SCC 46</w:t>
        </w:r>
      </w:hyperlink>
      <w:r>
        <w:rPr>
          <w:rFonts w:ascii="arial" w:eastAsia="arial" w:hAnsi="arial" w:cs="arial"/>
          <w:color w:val="000000"/>
          <w:sz w:val="20"/>
          <w:lang w:val="en-US" w:eastAsia="en-US" w:bidi="ar-SA"/>
        </w:rPr>
        <w:t xml:space="preserve"> at para. 38: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class must be capable of clear definition. Class definition is critical because it identifies the individuals entitled to notice, entitled to relief (if relief is awarded), and bound by the judgment. It is essential, therefore, that the class be defined clearly at the outset of the litigation. The definition should state objective criteria by which members of the class can be identified. While the criteria should bear a rational relationship to the common issues asserted by all class members, the criteria should not depend on the outcome of the litigation. It is not necessary that every class member be named or known. It is necessary, however, that any particular person's claim to membership in the class be determinable by stated, objective criteria.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xml:space="preserve">  Establishing a rational relationship between the identified class and the common issues is not an onerous requirement. As stated in </w:t>
      </w:r>
      <w:r>
        <w:rPr>
          <w:rFonts w:ascii="arial" w:eastAsia="arial" w:hAnsi="arial" w:cs="arial"/>
          <w:i/>
          <w:color w:val="000000"/>
          <w:sz w:val="20"/>
          <w:lang w:val="en-US" w:eastAsia="en-US" w:bidi="ar-SA"/>
        </w:rPr>
        <w:t>Hollick</w:t>
      </w:r>
      <w:r>
        <w:rPr>
          <w:rFonts w:ascii="arial" w:eastAsia="arial" w:hAnsi="arial" w:cs="arial"/>
          <w:color w:val="000000"/>
          <w:sz w:val="20"/>
          <w:lang w:val="en-US" w:eastAsia="en-US" w:bidi="ar-SA"/>
        </w:rPr>
        <w:t xml:space="preserve"> at para. 21: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representative need not show that everyone in the class shares the same interest in the resolution of the asserted common issue. There must be some showing, however, that the class is not unnecessarily broad -- that is, that the class could not be defined more narrowly without arbitrarily excluding some people who share the same interest in the resolution of the common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New UFW concedes that the plaintiffs have established an identifiable class in accordance with this requirement. Old UFW, however, asserts that the class proposed is overly broad. Ms. Reinertson submitted that many members of the proposed class do not have "any colourable claim" or may have conflicting interests with the plaintiffs, as some individuals would not be able to comply with the conditions on the voucher (and thus would not be eligible to redeem), while others would not have received any of the alleged misrepresentations before or at the time of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The plaintiffs submitted that this is a merits-based concern that raises issues to be determined on an individual basis within the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xml:space="preserve">  In my view, the proposed class is clearly defined and the issues raised by Old UFW do not impact on the proposed common issues. I do not think that individual differences on eligibility or liability will affect the representative plaintiffs' ability to fairly represent the class, and in any event this is a matter more pertinent to the suitability of the proposed representative plaintiffs under s. 4(1)(e). If differences among class members subsequently become material, they can be dealt with through subclasses or as individual issues: see </w:t>
      </w:r>
      <w:r>
        <w:rPr>
          <w:rFonts w:ascii="arial" w:eastAsia="arial" w:hAnsi="arial" w:cs="arial"/>
          <w:i/>
          <w:color w:val="000000"/>
          <w:sz w:val="20"/>
          <w:lang w:val="en-US" w:eastAsia="en-US" w:bidi="ar-SA"/>
        </w:rPr>
        <w:t>Fakhri</w:t>
      </w:r>
      <w:r>
        <w:rPr>
          <w:rFonts w:ascii="arial" w:eastAsia="arial" w:hAnsi="arial" w:cs="arial"/>
          <w:color w:val="000000"/>
          <w:sz w:val="20"/>
          <w:lang w:val="en-US" w:eastAsia="en-US" w:bidi="ar-SA"/>
        </w:rPr>
        <w:t xml:space="preserve"> at para. 55.</w:t>
      </w:r>
      <w:r>
        <w:rPr>
          <w:rFonts w:ascii="arial" w:eastAsia="arial" w:hAnsi="arial" w:cs="arial"/>
          <w:sz w:val="20"/>
          <w:lang w:val="en-US" w:eastAsia="en-US" w:bidi="ar-SA"/>
        </w:rPr>
        <w:cr/>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claims raise common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Class Proceedings Act</w:t>
      </w:r>
      <w:r>
        <w:rPr>
          <w:rFonts w:ascii="arial" w:eastAsia="arial" w:hAnsi="arial" w:cs="arial"/>
          <w:color w:val="000000"/>
          <w:sz w:val="20"/>
          <w:lang w:val="en-US" w:eastAsia="en-US" w:bidi="ar-SA"/>
        </w:rPr>
        <w:t xml:space="preserve"> defines common issues in s. 1 as:</w:t>
      </w:r>
      <w:r>
        <w:rPr>
          <w:rFonts w:ascii="arial" w:eastAsia="arial" w:hAnsi="arial" w:cs="arial"/>
          <w:sz w:val="20"/>
          <w:lang w:val="en-US" w:eastAsia="en-US" w:bidi="ar-SA"/>
        </w:rPr>
        <w:cr/>
      </w:r>
    </w:p>
    <w:p>
      <w:pPr>
        <w:numPr>
          <w:numId w:val="3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common but not necessarily identical issues of fact, or</w:t>
      </w:r>
    </w:p>
    <w:p>
      <w:pPr>
        <w:numPr>
          <w:numId w:val="3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common but not necessarily identical issues of law that arise from common but not necessarily identical facts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xml:space="preserve">  The question of whether the claims raise common issues is to be approached purposively. In </w:t>
      </w:r>
      <w:r>
        <w:rPr>
          <w:rFonts w:ascii="arial" w:eastAsia="arial" w:hAnsi="arial" w:cs="arial"/>
          <w:i/>
          <w:color w:val="000000"/>
          <w:sz w:val="20"/>
          <w:lang w:val="en-US" w:eastAsia="en-US" w:bidi="ar-SA"/>
        </w:rPr>
        <w:t>Western Canadian Shopping</w:t>
      </w:r>
      <w:r>
        <w:rPr>
          <w:rFonts w:ascii="arial" w:eastAsia="arial" w:hAnsi="arial" w:cs="arial"/>
          <w:color w:val="000000"/>
          <w:sz w:val="20"/>
          <w:lang w:val="en-US" w:eastAsia="en-US" w:bidi="ar-SA"/>
        </w:rPr>
        <w:t>, the court held (at paras. 39-40) that the underlying question is "whether allowing the suit to proceed as a representative one will avoid duplication of fact-finding or legal analysis", and an issue will be common "only where its resolution is necessary to the resolution of each class member's claim":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not essential that the class members be identically situated vis-à-vis the opposing party. Nor is it necessary that common issues predominate over non-common issues or that the resolution of the common issues would be determinative of each class member's claim. However, the class members' claims must share a substantial common ingredient to justify a class action. Determining whether the common issues justify a class action may require the court to examine the significance of the common issues in relation to individual issues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[W]ith regard to the common issues, success for one class member must mean success for all. All members of the class must benefit from the successful prosecution of the action, although not necessarily to the same extent.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To be common, the issue must be a substantial ingredient of the claims of each class member (</w:t>
      </w:r>
      <w:r>
        <w:rPr>
          <w:rFonts w:ascii="arial" w:eastAsia="arial" w:hAnsi="arial" w:cs="arial"/>
          <w:i/>
          <w:color w:val="000000"/>
          <w:sz w:val="20"/>
          <w:lang w:val="en-US" w:eastAsia="en-US" w:bidi="ar-SA"/>
        </w:rPr>
        <w:t>Hollick</w:t>
      </w:r>
      <w:r>
        <w:rPr>
          <w:rFonts w:ascii="arial" w:eastAsia="arial" w:hAnsi="arial" w:cs="arial"/>
          <w:color w:val="000000"/>
          <w:sz w:val="20"/>
          <w:lang w:val="en-US" w:eastAsia="en-US" w:bidi="ar-SA"/>
        </w:rPr>
        <w:t xml:space="preserve"> at para. 18); its resolution does not have to be determinative of liability but it must advance the litigation for (or against) the class (</w:t>
      </w:r>
      <w:r>
        <w:rPr>
          <w:rFonts w:ascii="arial" w:eastAsia="arial" w:hAnsi="arial" w:cs="arial"/>
          <w:i/>
          <w:color w:val="000000"/>
          <w:sz w:val="20"/>
          <w:lang w:val="en-US" w:eastAsia="en-US" w:bidi="ar-SA"/>
        </w:rPr>
        <w:t>Harrington v Dow Corning Corp</w:t>
      </w:r>
      <w:r>
        <w:rPr>
          <w:rFonts w:ascii="arial" w:eastAsia="arial" w:hAnsi="arial" w:cs="arial"/>
          <w:color w:val="000000"/>
          <w:sz w:val="20"/>
          <w:lang w:val="en-US" w:eastAsia="en-US" w:bidi="ar-SA"/>
        </w:rPr>
        <w:t xml:space="preserve">, </w:t>
      </w:r>
      <w:hyperlink r:id="rId832" w:history="1">
        <w:r>
          <w:rPr>
            <w:rFonts w:ascii="arial" w:eastAsia="arial" w:hAnsi="arial" w:cs="arial"/>
            <w:i/>
            <w:color w:val="0077CC"/>
            <w:sz w:val="20"/>
            <w:u w:val="single"/>
            <w:shd w:val="clear" w:color="auto" w:fill="FFFFFF"/>
            <w:lang w:val="en-US" w:eastAsia="en-US" w:bidi="ar-SA"/>
          </w:rPr>
          <w:t>2000 BCCA 605</w:t>
        </w:r>
      </w:hyperlink>
      <w:r>
        <w:rPr>
          <w:rFonts w:ascii="arial" w:eastAsia="arial" w:hAnsi="arial" w:cs="arial"/>
          <w:color w:val="000000"/>
          <w:sz w:val="20"/>
          <w:lang w:val="en-US" w:eastAsia="en-US" w:bidi="ar-SA"/>
        </w:rPr>
        <w:t xml:space="preserve"> paras. 20-22, leave to appeal ref'd </w:t>
      </w:r>
      <w:hyperlink r:id="rId833" w:history="1">
        <w:r>
          <w:rPr>
            <w:rFonts w:ascii="arial" w:eastAsia="arial" w:hAnsi="arial" w:cs="arial"/>
            <w:i/>
            <w:color w:val="0077CC"/>
            <w:sz w:val="20"/>
            <w:u w:val="single"/>
            <w:shd w:val="clear" w:color="auto" w:fill="FFFFFF"/>
            <w:lang w:val="en-US" w:eastAsia="en-US" w:bidi="ar-SA"/>
          </w:rPr>
          <w:t>[2001] SCCA No 21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Campbell v Flexwatt Corp</w:t>
      </w:r>
      <w:r>
        <w:rPr>
          <w:rFonts w:ascii="arial" w:eastAsia="arial" w:hAnsi="arial" w:cs="arial"/>
          <w:color w:val="000000"/>
          <w:sz w:val="20"/>
          <w:lang w:val="en-US" w:eastAsia="en-US" w:bidi="ar-SA"/>
        </w:rPr>
        <w:t xml:space="preserve"> </w:t>
      </w:r>
      <w:hyperlink r:id="rId834" w:history="1">
        <w:r>
          <w:rPr>
            <w:rFonts w:ascii="arial" w:eastAsia="arial" w:hAnsi="arial" w:cs="arial"/>
            <w:i/>
            <w:color w:val="0077CC"/>
            <w:sz w:val="20"/>
            <w:u w:val="single"/>
            <w:shd w:val="clear" w:color="auto" w:fill="FFFFFF"/>
            <w:lang w:val="en-US" w:eastAsia="en-US" w:bidi="ar-SA"/>
          </w:rPr>
          <w:t>(1997), 44 BCLR (3d) 343</w:t>
        </w:r>
      </w:hyperlink>
      <w:r>
        <w:rPr>
          <w:rFonts w:ascii="arial" w:eastAsia="arial" w:hAnsi="arial" w:cs="arial"/>
          <w:color w:val="000000"/>
          <w:sz w:val="20"/>
          <w:lang w:val="en-US" w:eastAsia="en-US" w:bidi="ar-SA"/>
        </w:rPr>
        <w:t xml:space="preserve"> (CA) at para. 53, leave to appeal ref'd </w:t>
      </w:r>
      <w:hyperlink r:id="rId835" w:history="1">
        <w:r>
          <w:rPr>
            <w:rFonts w:ascii="arial" w:eastAsia="arial" w:hAnsi="arial" w:cs="arial"/>
            <w:i/>
            <w:color w:val="0077CC"/>
            <w:sz w:val="20"/>
            <w:u w:val="single"/>
            <w:shd w:val="clear" w:color="auto" w:fill="FFFFFF"/>
            <w:lang w:val="en-US" w:eastAsia="en-US" w:bidi="ar-SA"/>
          </w:rPr>
          <w:t>[1998] SCCA No 13</w:t>
        </w:r>
      </w:hyperlink>
      <w:r>
        <w:rPr>
          <w:rFonts w:ascii="arial" w:eastAsia="arial" w:hAnsi="arial" w:cs="arial"/>
          <w:color w:val="000000"/>
          <w:sz w:val="20"/>
          <w:lang w:val="en-US" w:eastAsia="en-US" w:bidi="ar-SA"/>
        </w:rPr>
        <w:t>); and its resolution must be applicable or capable of extrapolation to all in the class or subclass who will be bound by it (</w:t>
      </w:r>
      <w:r>
        <w:rPr>
          <w:rFonts w:ascii="arial" w:eastAsia="arial" w:hAnsi="arial" w:cs="arial"/>
          <w:i/>
          <w:color w:val="000000"/>
          <w:sz w:val="20"/>
          <w:lang w:val="en-US" w:eastAsia="en-US" w:bidi="ar-SA"/>
        </w:rPr>
        <w:t>Harrington</w:t>
      </w:r>
      <w:r>
        <w:rPr>
          <w:rFonts w:ascii="arial" w:eastAsia="arial" w:hAnsi="arial" w:cs="arial"/>
          <w:color w:val="000000"/>
          <w:sz w:val="20"/>
          <w:lang w:val="en-US" w:eastAsia="en-US" w:bidi="ar-SA"/>
        </w:rPr>
        <w:t xml:space="preserve"> at para. 24). There must be commonality in the actual wrong that is alleged (</w:t>
      </w:r>
      <w:r>
        <w:rPr>
          <w:rFonts w:ascii="arial" w:eastAsia="arial" w:hAnsi="arial" w:cs="arial"/>
          <w:i/>
          <w:color w:val="000000"/>
          <w:sz w:val="20"/>
          <w:lang w:val="en-US" w:eastAsia="en-US" w:bidi="ar-SA"/>
        </w:rPr>
        <w:t>Martin v Astrazeneca</w:t>
      </w:r>
      <w:r>
        <w:rPr>
          <w:rFonts w:ascii="arial" w:eastAsia="arial" w:hAnsi="arial" w:cs="arial"/>
          <w:color w:val="000000"/>
          <w:sz w:val="20"/>
          <w:lang w:val="en-US" w:eastAsia="en-US" w:bidi="ar-SA"/>
        </w:rPr>
        <w:t xml:space="preserve"> (</w:t>
      </w:r>
      <w:hyperlink r:id="rId789" w:history="1">
        <w:r>
          <w:rPr>
            <w:rFonts w:ascii="arial" w:eastAsia="arial" w:hAnsi="arial" w:cs="arial"/>
            <w:i/>
            <w:color w:val="0077CC"/>
            <w:sz w:val="20"/>
            <w:u w:val="single"/>
            <w:shd w:val="clear" w:color="auto" w:fill="FFFFFF"/>
            <w:lang w:val="en-US" w:eastAsia="en-US" w:bidi="ar-SA"/>
          </w:rPr>
          <w:t>2012 ONSC 2744</w:t>
        </w:r>
      </w:hyperlink>
      <w:r>
        <w:rPr>
          <w:rFonts w:ascii="arial" w:eastAsia="arial" w:hAnsi="arial" w:cs="arial"/>
          <w:color w:val="000000"/>
          <w:sz w:val="20"/>
          <w:lang w:val="en-US" w:eastAsia="en-US" w:bidi="ar-SA"/>
        </w:rPr>
        <w:t>) at para. 95) and in respect of each defendant (</w:t>
      </w:r>
      <w:r>
        <w:rPr>
          <w:rFonts w:ascii="arial" w:eastAsia="arial" w:hAnsi="arial" w:cs="arial"/>
          <w:i/>
          <w:color w:val="000000"/>
          <w:sz w:val="20"/>
          <w:lang w:val="en-US" w:eastAsia="en-US" w:bidi="ar-SA"/>
        </w:rPr>
        <w:t>Magill v Expedia Inc</w:t>
      </w:r>
      <w:r>
        <w:rPr>
          <w:rFonts w:ascii="arial" w:eastAsia="arial" w:hAnsi="arial" w:cs="arial"/>
          <w:color w:val="000000"/>
          <w:sz w:val="20"/>
          <w:lang w:val="en-US" w:eastAsia="en-US" w:bidi="ar-SA"/>
        </w:rPr>
        <w:t xml:space="preserve">, </w:t>
      </w:r>
      <w:hyperlink r:id="rId836" w:history="1">
        <w:r>
          <w:rPr>
            <w:rFonts w:ascii="arial" w:eastAsia="arial" w:hAnsi="arial" w:cs="arial"/>
            <w:i/>
            <w:color w:val="0077CC"/>
            <w:sz w:val="20"/>
            <w:u w:val="single"/>
            <w:shd w:val="clear" w:color="auto" w:fill="FFFFFF"/>
            <w:lang w:val="en-US" w:eastAsia="en-US" w:bidi="ar-SA"/>
          </w:rPr>
          <w:t>2013 ONSC 683</w:t>
        </w:r>
      </w:hyperlink>
      <w:r>
        <w:rPr>
          <w:rFonts w:ascii="arial" w:eastAsia="arial" w:hAnsi="arial" w:cs="arial"/>
          <w:color w:val="000000"/>
          <w:sz w:val="20"/>
          <w:lang w:val="en-US" w:eastAsia="en-US" w:bidi="ar-SA"/>
        </w:rPr>
        <w:t xml:space="preserve"> at paras. 73-76). See also </w:t>
      </w:r>
      <w:r>
        <w:rPr>
          <w:rFonts w:ascii="arial" w:eastAsia="arial" w:hAnsi="arial" w:cs="arial"/>
          <w:i/>
          <w:color w:val="000000"/>
          <w:sz w:val="20"/>
          <w:lang w:val="en-US" w:eastAsia="en-US" w:bidi="ar-SA"/>
        </w:rPr>
        <w:t>Stanway v Wyeth Canada Inc,</w:t>
      </w:r>
      <w:r>
        <w:rPr>
          <w:rFonts w:ascii="arial" w:eastAsia="arial" w:hAnsi="arial" w:cs="arial"/>
          <w:color w:val="000000"/>
          <w:sz w:val="20"/>
          <w:lang w:val="en-US" w:eastAsia="en-US" w:bidi="ar-SA"/>
        </w:rPr>
        <w:t xml:space="preserve"> </w:t>
      </w:r>
      <w:hyperlink r:id="rId837" w:history="1">
        <w:r>
          <w:rPr>
            <w:rFonts w:ascii="arial" w:eastAsia="arial" w:hAnsi="arial" w:cs="arial"/>
            <w:i/>
            <w:color w:val="0077CC"/>
            <w:sz w:val="20"/>
            <w:u w:val="single"/>
            <w:shd w:val="clear" w:color="auto" w:fill="FFFFFF"/>
            <w:lang w:val="en-US" w:eastAsia="en-US" w:bidi="ar-SA"/>
          </w:rPr>
          <w:t>2012 BCCA 260</w:t>
        </w:r>
      </w:hyperlink>
      <w:r>
        <w:rPr>
          <w:rFonts w:ascii="arial" w:eastAsia="arial" w:hAnsi="arial" w:cs="arial"/>
          <w:color w:val="000000"/>
          <w:sz w:val="20"/>
          <w:lang w:val="en-US" w:eastAsia="en-US" w:bidi="ar-SA"/>
        </w:rPr>
        <w:t xml:space="preserve"> at para. 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xml:space="preserve">  The common issues should not be framed in overly broad terms and the court must be careful to ensure that an issue is not simply made to appear common by the manner in which it is posed. As the Chief Justice stated in </w:t>
      </w:r>
      <w:r>
        <w:rPr>
          <w:rFonts w:ascii="arial" w:eastAsia="arial" w:hAnsi="arial" w:cs="arial"/>
          <w:i/>
          <w:color w:val="000000"/>
          <w:sz w:val="20"/>
          <w:lang w:val="en-US" w:eastAsia="en-US" w:bidi="ar-SA"/>
        </w:rPr>
        <w:t>Rumley v British Columbia</w:t>
      </w:r>
      <w:r>
        <w:rPr>
          <w:rFonts w:ascii="arial" w:eastAsia="arial" w:hAnsi="arial" w:cs="arial"/>
          <w:color w:val="000000"/>
          <w:sz w:val="20"/>
          <w:lang w:val="en-US" w:eastAsia="en-US" w:bidi="ar-SA"/>
        </w:rPr>
        <w:t xml:space="preserve">, </w:t>
      </w:r>
      <w:hyperlink r:id="rId801" w:history="1">
        <w:r>
          <w:rPr>
            <w:rFonts w:ascii="arial" w:eastAsia="arial" w:hAnsi="arial" w:cs="arial"/>
            <w:i/>
            <w:color w:val="0077CC"/>
            <w:sz w:val="20"/>
            <w:u w:val="single"/>
            <w:shd w:val="clear" w:color="auto" w:fill="FFFFFF"/>
            <w:lang w:val="en-US" w:eastAsia="en-US" w:bidi="ar-SA"/>
          </w:rPr>
          <w:t>2001 SCC 69</w:t>
        </w:r>
      </w:hyperlink>
      <w:r>
        <w:rPr>
          <w:rFonts w:ascii="arial" w:eastAsia="arial" w:hAnsi="arial" w:cs="arial"/>
          <w:color w:val="000000"/>
          <w:sz w:val="20"/>
          <w:lang w:val="en-US" w:eastAsia="en-US" w:bidi="ar-SA"/>
        </w:rPr>
        <w:t xml:space="preserve"> at para. 29: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guiding question should be the practical one of "whether allowing the suit to proceed as a representative one will avoid duplication of fact-finding or legal analysis". It would not serve the ends of either fairness or efficiency to certify an action on the basis of issues that are common only when stated in the most general terms. Inevitably such an action would ultimately break down into individual proceedings. That the suit had initially been certified as a class action could only make the proceeding less fair and less efficient.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xml:space="preserve">  It is important to note that a common issue is something different from a common cause of action, as a common cause of action does not in itself give rise to a common issue. This was considered in </w:t>
      </w:r>
      <w:r>
        <w:rPr>
          <w:rFonts w:ascii="arial" w:eastAsia="arial" w:hAnsi="arial" w:cs="arial"/>
          <w:i/>
          <w:color w:val="000000"/>
          <w:sz w:val="20"/>
          <w:lang w:val="en-US" w:eastAsia="en-US" w:bidi="ar-SA"/>
        </w:rPr>
        <w:t>Williams v Mutual Life Assurance Co</w:t>
      </w:r>
      <w:r>
        <w:rPr>
          <w:rFonts w:ascii="arial" w:eastAsia="arial" w:hAnsi="arial" w:cs="arial"/>
          <w:color w:val="000000"/>
          <w:sz w:val="20"/>
          <w:lang w:val="en-US" w:eastAsia="en-US" w:bidi="ar-SA"/>
        </w:rPr>
        <w:t xml:space="preserve">, </w:t>
      </w:r>
      <w:hyperlink r:id="rId838" w:history="1">
        <w:r>
          <w:rPr>
            <w:rFonts w:ascii="arial" w:eastAsia="arial" w:hAnsi="arial" w:cs="arial"/>
            <w:i/>
            <w:color w:val="0077CC"/>
            <w:sz w:val="20"/>
            <w:u w:val="single"/>
            <w:shd w:val="clear" w:color="auto" w:fill="FFFFFF"/>
            <w:lang w:val="en-US" w:eastAsia="en-US" w:bidi="ar-SA"/>
          </w:rPr>
          <w:t>[2000] O.J. No. 3821</w:t>
        </w:r>
      </w:hyperlink>
      <w:r>
        <w:rPr>
          <w:rFonts w:ascii="arial" w:eastAsia="arial" w:hAnsi="arial" w:cs="arial"/>
          <w:color w:val="000000"/>
          <w:sz w:val="20"/>
          <w:lang w:val="en-US" w:eastAsia="en-US" w:bidi="ar-SA"/>
        </w:rPr>
        <w:t xml:space="preserve"> (SC), aff'd </w:t>
      </w:r>
      <w:hyperlink r:id="rId839" w:history="1">
        <w:r>
          <w:rPr>
            <w:rFonts w:ascii="arial" w:eastAsia="arial" w:hAnsi="arial" w:cs="arial"/>
            <w:i/>
            <w:color w:val="0077CC"/>
            <w:sz w:val="20"/>
            <w:u w:val="single"/>
            <w:shd w:val="clear" w:color="auto" w:fill="FFFFFF"/>
            <w:lang w:val="en-US" w:eastAsia="en-US" w:bidi="ar-SA"/>
          </w:rPr>
          <w:t>[2001] O.J. No. 4952</w:t>
        </w:r>
      </w:hyperlink>
      <w:r>
        <w:rPr>
          <w:rFonts w:ascii="arial" w:eastAsia="arial" w:hAnsi="arial" w:cs="arial"/>
          <w:color w:val="000000"/>
          <w:sz w:val="20"/>
          <w:lang w:val="en-US" w:eastAsia="en-US" w:bidi="ar-SA"/>
        </w:rPr>
        <w:t xml:space="preserve"> (Div Ct), aff'd </w:t>
      </w:r>
      <w:r>
        <w:rPr>
          <w:rFonts w:ascii="arial" w:eastAsia="arial" w:hAnsi="arial" w:cs="arial"/>
          <w:i/>
          <w:color w:val="000000"/>
          <w:sz w:val="20"/>
          <w:lang w:val="en-US" w:eastAsia="en-US" w:bidi="ar-SA"/>
        </w:rPr>
        <w:t>[2003] O.J. No. 1160</w:t>
      </w:r>
      <w:r>
        <w:rPr>
          <w:rFonts w:ascii="arial" w:eastAsia="arial" w:hAnsi="arial" w:cs="arial"/>
          <w:color w:val="000000"/>
          <w:sz w:val="20"/>
          <w:lang w:val="en-US" w:eastAsia="en-US" w:bidi="ar-SA"/>
        </w:rPr>
        <w:t xml:space="preserve"> (CA), leave to appeal ref'd </w:t>
      </w:r>
      <w:hyperlink r:id="rId840" w:history="1">
        <w:r>
          <w:rPr>
            <w:rFonts w:ascii="arial" w:eastAsia="arial" w:hAnsi="arial" w:cs="arial"/>
            <w:i/>
            <w:color w:val="0077CC"/>
            <w:sz w:val="20"/>
            <w:u w:val="single"/>
            <w:shd w:val="clear" w:color="auto" w:fill="FFFFFF"/>
            <w:lang w:val="en-US" w:eastAsia="en-US" w:bidi="ar-SA"/>
          </w:rPr>
          <w:t>[2003] SCCA 283</w:t>
        </w:r>
      </w:hyperlink>
      <w:r>
        <w:rPr>
          <w:rFonts w:ascii="arial" w:eastAsia="arial" w:hAnsi="arial" w:cs="arial"/>
          <w:color w:val="000000"/>
          <w:sz w:val="20"/>
          <w:lang w:val="en-US" w:eastAsia="en-US" w:bidi="ar-SA"/>
        </w:rPr>
        <w:t>, where it was held at para. 39 that despite a common cause of action and a commonly phrased theory of liability, a common issue could not be established where the actual determination of liability for each class member could only be made upon an examination of unique circumstances in respect of each class member.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xml:space="preserve">  Where there are many individual issues arising from the common issues proposed, the court may restrict common issues to be certified in cases where a class proceeding is otherwise the preferable procedure: see </w:t>
      </w:r>
      <w:r>
        <w:rPr>
          <w:rFonts w:ascii="arial" w:eastAsia="arial" w:hAnsi="arial" w:cs="arial"/>
          <w:i/>
          <w:color w:val="000000"/>
          <w:sz w:val="20"/>
          <w:lang w:val="en-US" w:eastAsia="en-US" w:bidi="ar-SA"/>
        </w:rPr>
        <w:t>Campbell</w:t>
      </w:r>
      <w:r>
        <w:rPr>
          <w:rFonts w:ascii="arial" w:eastAsia="arial" w:hAnsi="arial" w:cs="arial"/>
          <w:color w:val="000000"/>
          <w:sz w:val="20"/>
          <w:lang w:val="en-US" w:eastAsia="en-US" w:bidi="ar-SA"/>
        </w:rPr>
        <w:t xml:space="preserve"> at para. 54.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xml:space="preserve">  Finally, while the common issues criterion is not a high legal hurdle, the plaintiffs must adduce some basis in the evidence to show that an issue exists and the court is able to assess it in common. Otherwise, the court's task "would not be to determine a common issue, but rather to identify one": see </w:t>
      </w:r>
      <w:r>
        <w:rPr>
          <w:rFonts w:ascii="arial" w:eastAsia="arial" w:hAnsi="arial" w:cs="arial"/>
          <w:i/>
          <w:color w:val="000000"/>
          <w:sz w:val="20"/>
          <w:lang w:val="en-US" w:eastAsia="en-US" w:bidi="ar-SA"/>
        </w:rPr>
        <w:t>Martin v Astrazeneca</w:t>
      </w:r>
      <w:r>
        <w:rPr>
          <w:rFonts w:ascii="arial" w:eastAsia="arial" w:hAnsi="arial" w:cs="arial"/>
          <w:color w:val="000000"/>
          <w:sz w:val="20"/>
          <w:lang w:val="en-US" w:eastAsia="en-US" w:bidi="ar-SA"/>
        </w:rPr>
        <w:t xml:space="preserve"> ( </w:t>
      </w:r>
      <w:hyperlink r:id="rId789" w:history="1">
        <w:r>
          <w:rPr>
            <w:rFonts w:ascii="arial" w:eastAsia="arial" w:hAnsi="arial" w:cs="arial"/>
            <w:i/>
            <w:color w:val="0077CC"/>
            <w:sz w:val="20"/>
            <w:u w:val="single"/>
            <w:shd w:val="clear" w:color="auto" w:fill="FFFFFF"/>
            <w:lang w:val="en-US" w:eastAsia="en-US" w:bidi="ar-SA"/>
          </w:rPr>
          <w:t>2012 ONSC 2744</w:t>
        </w:r>
      </w:hyperlink>
      <w:r>
        <w:rPr>
          <w:rFonts w:ascii="arial" w:eastAsia="arial" w:hAnsi="arial" w:cs="arial"/>
          <w:color w:val="000000"/>
          <w:sz w:val="20"/>
          <w:lang w:val="en-US" w:eastAsia="en-US" w:bidi="ar-SA"/>
        </w:rPr>
        <w:t>) at para. 216.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The plaintiffs seek to certify the following common issues: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Business Practices and Consumer Protection Act</w:t>
      </w:r>
    </w:p>
    <w:p>
      <w:pPr>
        <w:numPr>
          <w:numId w:val="3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Are the class members "consumers" as defined by the </w:t>
      </w:r>
      <w:r>
        <w:rPr>
          <w:rFonts w:ascii="arial" w:eastAsia="arial" w:hAnsi="arial" w:cs="arial"/>
          <w:i/>
          <w:color w:val="000000"/>
          <w:sz w:val="20"/>
          <w:lang w:val="en-US" w:eastAsia="en-US" w:bidi="ar-SA"/>
        </w:rPr>
        <w:t>Business Practices and Consumer Protection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2004, c. 2</w:t>
      </w:r>
      <w:r>
        <w:rPr>
          <w:rFonts w:ascii="arial" w:eastAsia="arial" w:hAnsi="arial" w:cs="arial"/>
          <w:color w:val="000000"/>
          <w:sz w:val="20"/>
          <w:lang w:val="en-US" w:eastAsia="en-US" w:bidi="ar-SA"/>
        </w:rPr>
        <w:t>?</w:t>
      </w:r>
    </w:p>
    <w:p>
      <w:pPr>
        <w:numPr>
          <w:numId w:val="3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Are any of the Defendants a "supplier" as defined by the </w:t>
      </w:r>
      <w:r>
        <w:rPr>
          <w:rFonts w:ascii="arial" w:eastAsia="arial" w:hAnsi="arial" w:cs="arial"/>
          <w:i/>
          <w:color w:val="000000"/>
          <w:sz w:val="20"/>
          <w:lang w:val="en-US" w:eastAsia="en-US" w:bidi="ar-SA"/>
        </w:rPr>
        <w:t>Business Practices and Consumer Protection Act</w:t>
      </w:r>
      <w:r>
        <w:rPr>
          <w:rFonts w:ascii="arial" w:eastAsia="arial" w:hAnsi="arial" w:cs="arial"/>
          <w:color w:val="000000"/>
          <w:sz w:val="20"/>
          <w:lang w:val="en-US" w:eastAsia="en-US" w:bidi="ar-SA"/>
        </w:rPr>
        <w:t>?</w:t>
      </w:r>
    </w:p>
    <w:p>
      <w:pPr>
        <w:numPr>
          <w:numId w:val="3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Were the sales, solicitations or promotions by the Defendants to the Class "consumer transactions" as defined by the </w:t>
      </w:r>
      <w:r>
        <w:rPr>
          <w:rFonts w:ascii="arial" w:eastAsia="arial" w:hAnsi="arial" w:cs="arial"/>
          <w:i/>
          <w:color w:val="000000"/>
          <w:sz w:val="20"/>
          <w:lang w:val="en-US" w:eastAsia="en-US" w:bidi="ar-SA"/>
        </w:rPr>
        <w:t>Business Practices and Consumer Protection Act</w:t>
      </w:r>
      <w:r>
        <w:rPr>
          <w:rFonts w:ascii="arial" w:eastAsia="arial" w:hAnsi="arial" w:cs="arial"/>
          <w:color w:val="000000"/>
          <w:sz w:val="20"/>
          <w:lang w:val="en-US" w:eastAsia="en-US" w:bidi="ar-SA"/>
        </w:rPr>
        <w:t>?</w:t>
      </w:r>
    </w:p>
    <w:p>
      <w:pPr>
        <w:numPr>
          <w:numId w:val="3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Were any of the Defendant Retailers a "successor" or "assignee of rights or obligations" under the definition of "supplier" as defined by the </w:t>
      </w:r>
      <w:r>
        <w:rPr>
          <w:rFonts w:ascii="arial" w:eastAsia="arial" w:hAnsi="arial" w:cs="arial"/>
          <w:i/>
          <w:color w:val="000000"/>
          <w:sz w:val="20"/>
          <w:lang w:val="en-US" w:eastAsia="en-US" w:bidi="ar-SA"/>
        </w:rPr>
        <w:t>Business Practices and Consumer Protection Act</w:t>
      </w:r>
      <w:r>
        <w:rPr>
          <w:rFonts w:ascii="arial" w:eastAsia="arial" w:hAnsi="arial" w:cs="arial"/>
          <w:color w:val="000000"/>
          <w:sz w:val="20"/>
          <w:lang w:val="en-US" w:eastAsia="en-US" w:bidi="ar-SA"/>
        </w:rPr>
        <w:t>?</w:t>
      </w:r>
    </w:p>
    <w:p>
      <w:pPr>
        <w:numPr>
          <w:numId w:val="3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During the period of time in which the Defendant Retailers provided Cashable Vouchers to the Class (the "Material Time"), were any actions or practices of the Defendants set out in the Consolidated Statement of Claim at paragraphs 73-80 a "deceptive act or practice" or "unconscionable acts or practices" as defined by the </w:t>
      </w:r>
      <w:r>
        <w:rPr>
          <w:rFonts w:ascii="arial" w:eastAsia="arial" w:hAnsi="arial" w:cs="arial"/>
          <w:i/>
          <w:color w:val="000000"/>
          <w:sz w:val="20"/>
          <w:lang w:val="en-US" w:eastAsia="en-US" w:bidi="ar-SA"/>
        </w:rPr>
        <w:t>Business Practices and Consumer Protection Act</w:t>
      </w:r>
      <w:r>
        <w:rPr>
          <w:rFonts w:ascii="arial" w:eastAsia="arial" w:hAnsi="arial" w:cs="arial"/>
          <w:color w:val="000000"/>
          <w:sz w:val="20"/>
          <w:lang w:val="en-US" w:eastAsia="en-US" w:bidi="ar-SA"/>
        </w:rPr>
        <w:t>?</w:t>
      </w:r>
    </w:p>
    <w:p>
      <w:pPr>
        <w:numPr>
          <w:numId w:val="3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the Court finds that any of the Defendants' actions and practices were a "deceptive act or practice" or "unconscionable acts or practices" contrary to the </w:t>
      </w:r>
      <w:r>
        <w:rPr>
          <w:rFonts w:ascii="arial" w:eastAsia="arial" w:hAnsi="arial" w:cs="arial"/>
          <w:i/>
          <w:color w:val="000000"/>
          <w:sz w:val="20"/>
          <w:lang w:val="en-US" w:eastAsia="en-US" w:bidi="ar-SA"/>
        </w:rPr>
        <w:t>Business Practices and Consumer Protection Act</w:t>
      </w:r>
      <w:r>
        <w:rPr>
          <w:rFonts w:ascii="arial" w:eastAsia="arial" w:hAnsi="arial" w:cs="arial"/>
          <w:color w:val="000000"/>
          <w:sz w:val="20"/>
          <w:lang w:val="en-US" w:eastAsia="en-US" w:bidi="ar-SA"/>
        </w:rPr>
        <w:t>, are the Class Plaintiffs and other members of the Class entitled to:</w:t>
      </w:r>
    </w:p>
    <w:p>
      <w:pPr>
        <w:numPr>
          <w:numId w:val="34"/>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declaratory order under s. 172(1)(a) to the effect that the Defendants or any of them has engaged in an act or practice that contravenes the provisions of the </w:t>
      </w:r>
      <w:r>
        <w:rPr>
          <w:rFonts w:ascii="arial" w:eastAsia="arial" w:hAnsi="arial" w:cs="arial"/>
          <w:i/>
          <w:color w:val="000000"/>
          <w:sz w:val="20"/>
          <w:lang w:val="en-US" w:eastAsia="en-US" w:bidi="ar-SA"/>
        </w:rPr>
        <w:t>Business Practices and Consumer Protection Act</w:t>
      </w:r>
      <w:r>
        <w:rPr>
          <w:rFonts w:ascii="arial" w:eastAsia="arial" w:hAnsi="arial" w:cs="arial"/>
          <w:color w:val="000000"/>
          <w:sz w:val="20"/>
          <w:lang w:val="en-US" w:eastAsia="en-US" w:bidi="ar-SA"/>
        </w:rPr>
        <w:t>;</w:t>
      </w:r>
    </w:p>
    <w:p>
      <w:pPr>
        <w:numPr>
          <w:numId w:val="35"/>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under s. 172(3)(a) compelling the Defendants or any of them to restore the monies improperly paid as a result of the act or practice?</w:t>
      </w:r>
    </w:p>
    <w:p>
      <w:pPr>
        <w:numPr>
          <w:numId w:val="36"/>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under s. 171 that the Defendants or any of them pay damages?</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Class is entitled to such orders, should a monetary award be made in favour of the Class, and, if so, in what amount?</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Breach of warranty</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any of the Defendants breach an express or implied term or warranty in the contract for purchase of goods and services between the Class and any of the Defendant Retailers to the effect that if the Class filled in the required information and returned the Cashable Vouchers within the specified time period, then the Class would receive the face value of the Cashable Vouchers?</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any of the Defendants breached an express or implied term or warranty, what is the measure of damages?</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p>
    <w:p>
      <w:pPr>
        <w:numPr>
          <w:numId w:val="3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Defendants or any of them owe the Class a duty of care to reasonably investigate the nature and reliability of the Cashable Voucher program?</w:t>
      </w:r>
    </w:p>
    <w:p>
      <w:pPr>
        <w:numPr>
          <w:numId w:val="3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Defendants or any of them breach their duty of care in the manner described in paragraphs 88, 91, 98,104,105,108 and 109 (or elsewhere in) of the Consolidated Statement of Claim?</w:t>
      </w:r>
    </w:p>
    <w:p>
      <w:pPr>
        <w:numPr>
          <w:numId w:val="3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Is the Cashable Voucher a "security" as defined by section 1 of the </w:t>
      </w:r>
      <w:r>
        <w:rPr>
          <w:rFonts w:ascii="arial" w:eastAsia="arial" w:hAnsi="arial" w:cs="arial"/>
          <w:i/>
          <w:color w:val="000000"/>
          <w:sz w:val="20"/>
          <w:lang w:val="en-US" w:eastAsia="en-US" w:bidi="ar-SA"/>
        </w:rPr>
        <w:t>Securities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418</w:t>
      </w:r>
      <w:r>
        <w:rPr>
          <w:rFonts w:ascii="arial" w:eastAsia="arial" w:hAnsi="arial" w:cs="arial"/>
          <w:color w:val="000000"/>
          <w:sz w:val="20"/>
          <w:lang w:val="en-US" w:eastAsia="en-US" w:bidi="ar-SA"/>
        </w:rPr>
        <w:t>?</w:t>
      </w:r>
    </w:p>
    <w:p>
      <w:pPr>
        <w:numPr>
          <w:numId w:val="3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any of the Defendants breached their duty of care, what is the measure of damages?</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Negligent misrepresentation</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any of the Defendants owe a duty of care to the Class to represent accurately the facts relating to the Cashable Voucher program?</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Defendants or any of them breach their duty of care in the manner described in paragraphs 94, 95, 98, 106, 107, and 108 (or elsewhere in) of the Consolidated Statement of Claim?</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any of the Defendants breached their duty of care, what is the measure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xml:space="preserve">  There are several problems with the proposed common issues. One is that the claims under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and in negligent misrepresentation (and even in contract if that claim were viable) require consideration of various documents and individual oral representations, rather than a common representation. Another is that the plaintiffs have provided insufficient evidence with respect to this criterion in a number of aspects. I will discuss these problems in relation to the common issues sought to be certified.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Business Practices and Consumer Protection Act</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a.</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Are the class members "consumers" as defined by the Business Practices and Consumer Protection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xml:space="preserve">  The plaintiffs conceded that this was not a common issue, as it requires an assessment as to whether each individual class member purchased goods primarily for personal, family or household purposes.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applies to "consumer transactions", which are defined in s. 1(1) as:</w:t>
      </w:r>
      <w:r>
        <w:rPr>
          <w:rFonts w:ascii="arial" w:eastAsia="arial" w:hAnsi="arial" w:cs="arial"/>
          <w:sz w:val="20"/>
          <w:lang w:val="en-US" w:eastAsia="en-US" w:bidi="ar-SA"/>
        </w:rPr>
        <w:cr/>
      </w:r>
    </w:p>
    <w:p>
      <w:pPr>
        <w:numPr>
          <w:numId w:val="41"/>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supply of goods or services or real property by a supplier to a consumer for purposes that are primarily personal, family or household, or</w:t>
      </w:r>
    </w:p>
    <w:p>
      <w:pPr>
        <w:numPr>
          <w:numId w:val="41"/>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solicitation, offer, advertisement or promotion by a supplier with respect to a transaction referred to in paragraph (a)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xml:space="preserve">  This question affects the proposed class only in relation to the claims under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I have not considered the possibility of certifying a subclass to address this, as it was not raised by any party and no submissions were made on the point.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b.</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Are any of the Defendants a "supplier" as defined by the Business Practices and Consumer Protection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xml:space="preserve">  There is no real dispute that Old UFW and New UFW are suppliers as defined in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provided they participated in a consumer transaction. However, this issue on its own does not advance the litigation, as it is dependent for its resolution on issues that are not common: namely, whether the class members are consumers and whether the sales by these defendants were consumer transactions.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With respect to Mr. Volken and Mr. Gerstner, the pleadings allege that they personally developed and directed the implementation of the voucher program but there is no evidence to support this. There is no basis to certify this as a common issue in respect of these personal defendants.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c.</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Were the sales, solicitations or promotions by the Defendants to the Class "consumer transactions" as defined by the Business Practices and Consumer Protection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The plaintiffs also conceded that this was not a common issue, for the same reason that the question of whether the class members are "consumers" is not a common issue.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Were any of the Defendant Retailers a "successor" or "assignee of rights or obligations" under the definition of "supplier" as defined by the Business Practices and Consumer Protection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I have already concluded that the pleadings do not disclose a cause of action on this basis. Even if they do, there is no basis in the evidence to certify this as a common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New UFW concedes that if orders were placed before, but not filled by the purchase date of March 16, 2004, there could be a finding that it was the successor to and assignee of the right to be paid and the obligation to deliver the goods. It submits, however, that where goods were purchased, paid for and delivered before the purchase date, as is the case with both Mr. Marshall and Mr. Wong, there is no basis in the evidence to suggest that New UFW is the successor and assignee of any rights or obligations with respect to those transactions.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xml:space="preserve">  I agree with this submission. In addition to the lack of material facts pleaded, there is no evidence that would provide any basis in fact that New UFW could be found to be the successor </w:t>
      </w:r>
      <w:r>
        <w:rPr>
          <w:rFonts w:ascii="arial" w:eastAsia="arial" w:hAnsi="arial" w:cs="arial"/>
          <w:i/>
          <w:color w:val="000000"/>
          <w:sz w:val="20"/>
          <w:lang w:val="en-US" w:eastAsia="en-US" w:bidi="ar-SA"/>
        </w:rPr>
        <w:t>and</w:t>
      </w:r>
      <w:r>
        <w:rPr>
          <w:rFonts w:ascii="arial" w:eastAsia="arial" w:hAnsi="arial" w:cs="arial"/>
          <w:color w:val="000000"/>
          <w:sz w:val="20"/>
          <w:lang w:val="en-US" w:eastAsia="en-US" w:bidi="ar-SA"/>
        </w:rPr>
        <w:t xml:space="preserve"> assignee (I note this is not disjunctive as framed by the plaintiffs) of any rights or obligations of Old UFW.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e.</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During the period of time in which the Defendant Retailers provided Cashable Vouchers to the Class (the "Material Time"), were any actions or practices of the Defendants set out in the Consolidated Statement of Claim at paragraphs 73-80 a "deceptive act or practice" or "unconscionable acts or practices" as defined by the Business Practices and Consumer Protection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xml:space="preserve">  This is the principle common issue proposed by the plaintiffs in respect of their claims under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The allegations are made against Mr. Volken and Mr. Gerstner as well as the corporate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2614"/>
        <w:gridCol w:w="543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i/>
                <w:color w:val="000000"/>
                <w:sz w:val="18"/>
                <w:lang w:val="en-US" w:eastAsia="en-US" w:bidi="ar-SA"/>
              </w:rPr>
              <w:t>(i)</w:t>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i/>
                <w:color w:val="000000"/>
                <w:sz w:val="18"/>
                <w:lang w:val="en-US" w:eastAsia="en-US" w:bidi="ar-SA"/>
              </w:rPr>
              <w:t>Deceptive act or</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i/>
                <w:color w:val="000000"/>
                <w:sz w:val="18"/>
                <w:lang w:val="en-US" w:eastAsia="en-US" w:bidi="ar-SA"/>
              </w:rPr>
              <w:t> </w:t>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i/>
                <w:color w:val="000000"/>
                <w:sz w:val="18"/>
                <w:lang w:val="en-US" w:eastAsia="en-US" w:bidi="ar-SA"/>
              </w:rPr>
              <w:t>practice</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xml:space="preserve">  A deceptive act or practice is defined in s. 4(1) of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as, in relation to a consumer transaction:</w:t>
      </w:r>
      <w:r>
        <w:rPr>
          <w:rFonts w:ascii="arial" w:eastAsia="arial" w:hAnsi="arial" w:cs="arial"/>
          <w:sz w:val="20"/>
          <w:lang w:val="en-US" w:eastAsia="en-US" w:bidi="ar-SA"/>
        </w:rPr>
        <w:cr/>
      </w:r>
    </w:p>
    <w:p>
      <w:pPr>
        <w:numPr>
          <w:numId w:val="42"/>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 oral, written, visual, descriptive or other representation by a supplier, or</w:t>
      </w:r>
    </w:p>
    <w:p>
      <w:pPr>
        <w:numPr>
          <w:numId w:val="42"/>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any conduct by a supplier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that has the capability, tendency or effect of deceiving or misleading a consumer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A deceptive act or practice does not have to be intentional, but it must be an act or omission that is capable of deceiving or misleading a consumer. It has been held that such an act is one "that tends to lead that person astray into making an error of judgment" (</w:t>
      </w:r>
      <w:r>
        <w:rPr>
          <w:rFonts w:ascii="arial" w:eastAsia="arial" w:hAnsi="arial" w:cs="arial"/>
          <w:i/>
          <w:color w:val="000000"/>
          <w:sz w:val="20"/>
          <w:lang w:val="en-US" w:eastAsia="en-US" w:bidi="ar-SA"/>
        </w:rPr>
        <w:t>Rushak v Henneken</w:t>
      </w:r>
      <w:r>
        <w:rPr>
          <w:rFonts w:ascii="arial" w:eastAsia="arial" w:hAnsi="arial" w:cs="arial"/>
          <w:color w:val="000000"/>
          <w:sz w:val="20"/>
          <w:lang w:val="en-US" w:eastAsia="en-US" w:bidi="ar-SA"/>
        </w:rPr>
        <w:t xml:space="preserve"> </w:t>
      </w:r>
      <w:hyperlink r:id="rId841" w:history="1">
        <w:r>
          <w:rPr>
            <w:rFonts w:ascii="arial" w:eastAsia="arial" w:hAnsi="arial" w:cs="arial"/>
            <w:i/>
            <w:color w:val="0077CC"/>
            <w:sz w:val="20"/>
            <w:u w:val="single"/>
            <w:shd w:val="clear" w:color="auto" w:fill="FFFFFF"/>
            <w:lang w:val="en-US" w:eastAsia="en-US" w:bidi="ar-SA"/>
          </w:rPr>
          <w:t>(1991), 59 BCLR (2d) 250</w:t>
        </w:r>
      </w:hyperlink>
      <w:r>
        <w:rPr>
          <w:rFonts w:ascii="arial" w:eastAsia="arial" w:hAnsi="arial" w:cs="arial"/>
          <w:color w:val="000000"/>
          <w:sz w:val="20"/>
          <w:lang w:val="en-US" w:eastAsia="en-US" w:bidi="ar-SA"/>
        </w:rPr>
        <w:t xml:space="preserve"> (CA)) and an omission may include non-disclosure of a material fact (</w:t>
      </w:r>
      <w:r>
        <w:rPr>
          <w:rFonts w:ascii="arial" w:eastAsia="arial" w:hAnsi="arial" w:cs="arial"/>
          <w:i/>
          <w:color w:val="000000"/>
          <w:sz w:val="20"/>
          <w:lang w:val="en-US" w:eastAsia="en-US" w:bidi="ar-SA"/>
        </w:rPr>
        <w:t>Stanway</w:t>
      </w:r>
      <w:r>
        <w:rPr>
          <w:rFonts w:ascii="arial" w:eastAsia="arial" w:hAnsi="arial" w:cs="arial"/>
          <w:color w:val="000000"/>
          <w:sz w:val="20"/>
          <w:lang w:val="en-US" w:eastAsia="en-US" w:bidi="ar-SA"/>
        </w:rPr>
        <w:t xml:space="preserve"> at para. 80). Once an allegation has been made, the supplier has the burden of proving that the deceptive act or practice was not committed: s. 5(2) of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xml:space="preserve">  This is a broad definition, and generally the question of whether an act or omission is capable of being deceptive or misleading does not depend on the circumstances of the plaintiffs and does not require individual inquiry: </w:t>
      </w:r>
      <w:r>
        <w:rPr>
          <w:rFonts w:ascii="arial" w:eastAsia="arial" w:hAnsi="arial" w:cs="arial"/>
          <w:i/>
          <w:color w:val="000000"/>
          <w:sz w:val="20"/>
          <w:lang w:val="en-US" w:eastAsia="en-US" w:bidi="ar-SA"/>
        </w:rPr>
        <w:t>Knight v Imperial Tobacco Canada Ltd</w:t>
      </w:r>
      <w:r>
        <w:rPr>
          <w:rFonts w:ascii="arial" w:eastAsia="arial" w:hAnsi="arial" w:cs="arial"/>
          <w:color w:val="000000"/>
          <w:sz w:val="20"/>
          <w:lang w:val="en-US" w:eastAsia="en-US" w:bidi="ar-SA"/>
        </w:rPr>
        <w:t xml:space="preserve">, </w:t>
      </w:r>
      <w:hyperlink r:id="rId842" w:history="1">
        <w:r>
          <w:rPr>
            <w:rFonts w:ascii="arial" w:eastAsia="arial" w:hAnsi="arial" w:cs="arial"/>
            <w:i/>
            <w:color w:val="0077CC"/>
            <w:sz w:val="20"/>
            <w:u w:val="single"/>
            <w:shd w:val="clear" w:color="auto" w:fill="FFFFFF"/>
            <w:lang w:val="en-US" w:eastAsia="en-US" w:bidi="ar-SA"/>
          </w:rPr>
          <w:t>2006 BCCA 235</w:t>
        </w:r>
      </w:hyperlink>
      <w:r>
        <w:rPr>
          <w:rFonts w:ascii="arial" w:eastAsia="arial" w:hAnsi="arial" w:cs="arial"/>
          <w:color w:val="000000"/>
          <w:sz w:val="20"/>
          <w:lang w:val="en-US" w:eastAsia="en-US" w:bidi="ar-SA"/>
        </w:rPr>
        <w:t xml:space="preserve"> at para. 26; </w:t>
      </w:r>
      <w:r>
        <w:rPr>
          <w:rFonts w:ascii="arial" w:eastAsia="arial" w:hAnsi="arial" w:cs="arial"/>
          <w:i/>
          <w:color w:val="000000"/>
          <w:sz w:val="20"/>
          <w:lang w:val="en-US" w:eastAsia="en-US" w:bidi="ar-SA"/>
        </w:rPr>
        <w:t>Wakelam v Johnson &amp; Johnson</w:t>
      </w:r>
      <w:r>
        <w:rPr>
          <w:rFonts w:ascii="arial" w:eastAsia="arial" w:hAnsi="arial" w:cs="arial"/>
          <w:color w:val="000000"/>
          <w:sz w:val="20"/>
          <w:lang w:val="en-US" w:eastAsia="en-US" w:bidi="ar-SA"/>
        </w:rPr>
        <w:t xml:space="preserve">, </w:t>
      </w:r>
      <w:hyperlink r:id="rId843" w:history="1">
        <w:r>
          <w:rPr>
            <w:rFonts w:ascii="arial" w:eastAsia="arial" w:hAnsi="arial" w:cs="arial"/>
            <w:i/>
            <w:color w:val="0077CC"/>
            <w:sz w:val="20"/>
            <w:u w:val="single"/>
            <w:shd w:val="clear" w:color="auto" w:fill="FFFFFF"/>
            <w:lang w:val="en-US" w:eastAsia="en-US" w:bidi="ar-SA"/>
          </w:rPr>
          <w:t>2009 BCSC 839</w:t>
        </w:r>
      </w:hyperlink>
      <w:r>
        <w:rPr>
          <w:rFonts w:ascii="arial" w:eastAsia="arial" w:hAnsi="arial" w:cs="arial"/>
          <w:color w:val="000000"/>
          <w:sz w:val="20"/>
          <w:lang w:val="en-US" w:eastAsia="en-US" w:bidi="ar-SA"/>
        </w:rPr>
        <w:t xml:space="preserve"> at para. 39.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This broad principle suggests that this proposed common issue is appropriate for certification. However, the issue as framed is extremely broad, and in fact includes many issues, as it asks whether any acts or practices of the defendants set out in paras. 73-80 of the Notice of Civil Claim constitute a deceptive act or practice. These paragraphs contain numerous allegations, many of which are very broad in themselves. The main allegations are in para. 74:</w:t>
      </w:r>
      <w:r>
        <w:rPr>
          <w:rFonts w:ascii="arial" w:eastAsia="arial" w:hAnsi="arial" w:cs="arial"/>
          <w:sz w:val="20"/>
          <w:lang w:val="en-US" w:eastAsia="en-US" w:bidi="ar-SA"/>
        </w:rPr>
        <w:cr/>
      </w:r>
    </w:p>
    <w:p>
      <w:pPr>
        <w:numPr>
          <w:numId w:val="4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Retailers, Defendant Officers, Ole and CP portrayed the Cashable Voucher Program as a simple and reputable promotion;</w:t>
      </w:r>
    </w:p>
    <w:p>
      <w:pPr>
        <w:numPr>
          <w:numId w:val="4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Retailers, Defendant Officers, Ole and CP exaggerated the likelihood that the Plaintiffs and Class Plaintiffs would receive the full coupon value of their Cashable Vouchers;</w:t>
      </w:r>
    </w:p>
    <w:p>
      <w:pPr>
        <w:numPr>
          <w:numId w:val="4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Defendant Retailers, Defendant Officers, Ole and CP did </w:t>
      </w:r>
      <w:r>
        <w:rPr>
          <w:rFonts w:ascii="arial" w:eastAsia="arial" w:hAnsi="arial" w:cs="arial"/>
          <w:i/>
          <w:color w:val="000000"/>
          <w:sz w:val="20"/>
          <w:lang w:val="en-US" w:eastAsia="en-US" w:bidi="ar-SA"/>
        </w:rPr>
        <w:t>not</w:t>
      </w:r>
      <w:r>
        <w:rPr>
          <w:rFonts w:ascii="arial" w:eastAsia="arial" w:hAnsi="arial" w:cs="arial"/>
          <w:color w:val="000000"/>
          <w:sz w:val="20"/>
          <w:lang w:val="en-US" w:eastAsia="en-US" w:bidi="ar-SA"/>
        </w:rPr>
        <w:t xml:space="preserve"> disclose the Merchant's Key Terms to the Plaintiffs or Class Plaintiffs;</w:t>
      </w:r>
    </w:p>
    <w:p>
      <w:pPr>
        <w:numPr>
          <w:numId w:val="4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Cashable Vouchers provided by the Defendant Retailers, Defendant Officers, Ole and CP did not refer to or direct the Plaintiffs or Class Plaintiffs to a document or other source that discloses the Merchant's Key Terms;</w:t>
      </w:r>
    </w:p>
    <w:p>
      <w:pPr>
        <w:numPr>
          <w:numId w:val="4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Cashable Vouchers provided by the Defendant Retailers, Defendant Officers, Ole and CP did not disclose Merchant's Key Terms to the Plaintiffs or Class Plaintiffs;</w:t>
      </w:r>
    </w:p>
    <w:p>
      <w:pPr>
        <w:numPr>
          <w:numId w:val="4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Defendant Retailers, Defendant Officers, Ole and CP did </w:t>
      </w:r>
      <w:r>
        <w:rPr>
          <w:rFonts w:ascii="arial" w:eastAsia="arial" w:hAnsi="arial" w:cs="arial"/>
          <w:i/>
          <w:color w:val="000000"/>
          <w:sz w:val="20"/>
          <w:lang w:val="en-US" w:eastAsia="en-US" w:bidi="ar-SA"/>
        </w:rPr>
        <w:t>not</w:t>
      </w:r>
      <w:r>
        <w:rPr>
          <w:rFonts w:ascii="arial" w:eastAsia="arial" w:hAnsi="arial" w:cs="arial"/>
          <w:color w:val="000000"/>
          <w:sz w:val="20"/>
          <w:lang w:val="en-US" w:eastAsia="en-US" w:bidi="ar-SA"/>
        </w:rPr>
        <w:t xml:space="preserve"> disclose to the Plaintiffs or Class Plaintiffs the material fact that The Consumers Trust could void all Cashable Vouchers that the Defendant Retailers had ever provided to customers in the event of a failure by the Defendant Retailers and the Defendant Officers to immediately remit to The Consumers Trust 15% of the purchase price for each sale of covered merchandise;</w:t>
      </w:r>
    </w:p>
    <w:p>
      <w:pPr>
        <w:numPr>
          <w:numId w:val="4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Defendant Retailers, Defendant Officers, Ole and CP did </w:t>
      </w:r>
      <w:r>
        <w:rPr>
          <w:rFonts w:ascii="arial" w:eastAsia="arial" w:hAnsi="arial" w:cs="arial"/>
          <w:i/>
          <w:color w:val="000000"/>
          <w:sz w:val="20"/>
          <w:lang w:val="en-US" w:eastAsia="en-US" w:bidi="ar-SA"/>
        </w:rPr>
        <w:t>not</w:t>
      </w:r>
      <w:r>
        <w:rPr>
          <w:rFonts w:ascii="arial" w:eastAsia="arial" w:hAnsi="arial" w:cs="arial"/>
          <w:color w:val="000000"/>
          <w:sz w:val="20"/>
          <w:lang w:val="en-US" w:eastAsia="en-US" w:bidi="ar-SA"/>
        </w:rPr>
        <w:t xml:space="preserve"> disclose to the Plaintiffs or Class Plaintiffs the material fact that any failure by the Defendant Retailers to comply with the Merchant's Key Terms could jeopardize the rights of all customers of the Defendant Retailers to ever claim the value of their vouchers;</w:t>
      </w:r>
    </w:p>
    <w:p>
      <w:pPr>
        <w:numPr>
          <w:numId w:val="4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Defendant Retailers, Defendant Officers, Ole and CP did not adequately warn the Plaintiffs or Class Plaintiffs that a consumer who failed to properly submit his or her Cashable Voucher </w:t>
      </w:r>
      <w:r>
        <w:rPr>
          <w:rFonts w:ascii="arial" w:eastAsia="arial" w:hAnsi="arial" w:cs="arial"/>
          <w:color w:val="000000"/>
          <w:sz w:val="20"/>
          <w:u w:val="single"/>
          <w:lang w:val="en-US" w:eastAsia="en-US" w:bidi="ar-SA"/>
        </w:rPr>
        <w:t>on the first attempt</w:t>
      </w:r>
      <w:r>
        <w:rPr>
          <w:rFonts w:ascii="arial" w:eastAsia="arial" w:hAnsi="arial" w:cs="arial"/>
          <w:color w:val="000000"/>
          <w:sz w:val="20"/>
          <w:lang w:val="en-US" w:eastAsia="en-US" w:bidi="ar-SA"/>
        </w:rPr>
        <w:t xml:space="preserve"> would be barred from attempting to re-submit his or her voucher;</w:t>
      </w:r>
    </w:p>
    <w:p>
      <w:pPr>
        <w:numPr>
          <w:numId w:val="4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Retailers, Defendant Officers, Ole and CP did not disclose to the Plaintiffs or Class Plaintiffs statistics that would support the assertion on the Cashable Vouchers that they would reach full maturity within 36 months from the date of purchase (such information would have informed consumers of the likelihood of their Cashable Vouchers ever reaching maturity);</w:t>
      </w:r>
    </w:p>
    <w:p>
      <w:pPr>
        <w:numPr>
          <w:numId w:val="4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Retailers, Defendant Officers, Ole and CP falsely represented that the fourteen persons pictured on the brochure entitled "</w:t>
      </w:r>
      <w:r>
        <w:rPr>
          <w:rFonts w:ascii="arial" w:eastAsia="arial" w:hAnsi="arial" w:cs="arial"/>
          <w:b/>
          <w:i/>
          <w:color w:val="000000"/>
          <w:sz w:val="20"/>
          <w:lang w:val="en-US" w:eastAsia="en-US" w:bidi="ar-SA"/>
        </w:rPr>
        <w:t>A Gesture of Thanks</w:t>
      </w:r>
      <w:r>
        <w:rPr>
          <w:rFonts w:ascii="arial" w:eastAsia="arial" w:hAnsi="arial" w:cs="arial"/>
          <w:color w:val="000000"/>
          <w:sz w:val="20"/>
          <w:lang w:val="en-US" w:eastAsia="en-US" w:bidi="ar-SA"/>
        </w:rPr>
        <w:t>" under the heading "</w:t>
      </w:r>
      <w:r>
        <w:rPr>
          <w:rFonts w:ascii="arial" w:eastAsia="arial" w:hAnsi="arial" w:cs="arial"/>
          <w:b/>
          <w:color w:val="000000"/>
          <w:sz w:val="20"/>
          <w:lang w:val="en-US" w:eastAsia="en-US" w:bidi="ar-SA"/>
        </w:rPr>
        <w:t>Paid Claims!</w:t>
      </w:r>
      <w:r>
        <w:rPr>
          <w:rFonts w:ascii="arial" w:eastAsia="arial" w:hAnsi="arial" w:cs="arial"/>
          <w:color w:val="000000"/>
          <w:sz w:val="20"/>
          <w:lang w:val="en-US" w:eastAsia="en-US" w:bidi="ar-SA"/>
        </w:rPr>
        <w:t>" - the award recipients - had received their cash back awards under the Cashable Voucher Program;</w:t>
      </w:r>
    </w:p>
    <w:p>
      <w:pPr>
        <w:numPr>
          <w:numId w:val="4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Retailers, Defendant Officers, Ole and CP, by providing award amounts in Canadian dollars, falsely represented that the award recipients pictured on the "</w:t>
      </w:r>
      <w:r>
        <w:rPr>
          <w:rFonts w:ascii="arial" w:eastAsia="arial" w:hAnsi="arial" w:cs="arial"/>
          <w:b/>
          <w:i/>
          <w:color w:val="000000"/>
          <w:sz w:val="20"/>
          <w:lang w:val="en-US" w:eastAsia="en-US" w:bidi="ar-SA"/>
        </w:rPr>
        <w:t>A Gesture of Thanks</w:t>
      </w:r>
      <w:r>
        <w:rPr>
          <w:rFonts w:ascii="arial" w:eastAsia="arial" w:hAnsi="arial" w:cs="arial"/>
          <w:color w:val="000000"/>
          <w:sz w:val="20"/>
          <w:lang w:val="en-US" w:eastAsia="en-US" w:bidi="ar-SA"/>
        </w:rPr>
        <w:t>" brochure were Canadians, lending credence to the Cashable Voucher Program; and</w:t>
      </w:r>
    </w:p>
    <w:p>
      <w:pPr>
        <w:numPr>
          <w:numId w:val="4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decision of the Defendant Retailers, Defendant Officers, Ole and CP to use the brochure with its "</w:t>
      </w:r>
      <w:r>
        <w:rPr>
          <w:rFonts w:ascii="arial" w:eastAsia="arial" w:hAnsi="arial" w:cs="arial"/>
          <w:b/>
          <w:i/>
          <w:color w:val="000000"/>
          <w:sz w:val="20"/>
          <w:lang w:val="en-US" w:eastAsia="en-US" w:bidi="ar-SA"/>
        </w:rPr>
        <w:t>A Gesture of Thanks</w:t>
      </w:r>
      <w:r>
        <w:rPr>
          <w:rFonts w:ascii="arial" w:eastAsia="arial" w:hAnsi="arial" w:cs="arial"/>
          <w:color w:val="000000"/>
          <w:sz w:val="20"/>
          <w:lang w:val="en-US" w:eastAsia="en-US" w:bidi="ar-SA"/>
        </w:rPr>
        <w:t>" story, accompanying photographs of smiling award winners, reference to insured lawyers and accountants, and paid cashable voucher dollar amounts under the heading "</w:t>
      </w:r>
      <w:r>
        <w:rPr>
          <w:rFonts w:ascii="arial" w:eastAsia="arial" w:hAnsi="arial" w:cs="arial"/>
          <w:b/>
          <w:color w:val="000000"/>
          <w:sz w:val="20"/>
          <w:lang w:val="en-US" w:eastAsia="en-US" w:bidi="ar-SA"/>
        </w:rPr>
        <w:t>Paid Claims!</w:t>
      </w:r>
      <w:r>
        <w:rPr>
          <w:rFonts w:ascii="arial" w:eastAsia="arial" w:hAnsi="arial" w:cs="arial"/>
          <w:color w:val="000000"/>
          <w:sz w:val="20"/>
          <w:lang w:val="en-US" w:eastAsia="en-US" w:bidi="ar-SA"/>
        </w:rPr>
        <w:t>" is a deceptive or misleading message, trading on the Defendant Retailers' reputation that there are "No Gimmicks". This message was calculated to persuade consumers that they were dealing with a reputable business promotion and that if the Plaintiffs and Class Plaintiffs followed the rules they too would receive their cash back.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The plaintiffs also propose to add these allegations in the Amended Claim:</w:t>
      </w:r>
      <w:r>
        <w:rPr>
          <w:rFonts w:ascii="arial" w:eastAsia="arial" w:hAnsi="arial" w:cs="arial"/>
          <w:sz w:val="20"/>
          <w:lang w:val="en-US" w:eastAsia="en-US" w:bidi="ar-SA"/>
        </w:rPr>
        <w:cr/>
      </w:r>
    </w:p>
    <w:p>
      <w:pPr>
        <w:numPr>
          <w:numId w:val="4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deceptive or misleading acts or practices included the following:</w:t>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Publishing deceptive advertising that promised a cash back voucher for a future refund of 100% of the purchase price;</w:t>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Publishing deceptive advertising that included a logo with the words "CASH$ $BACK GUARANTEED";</w:t>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Posting signs in the stores that read "Cash Back" or which had similar language suggestive of a cash refund that was certain;</w:t>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Placing tags on furniture that read "$300 [or another amount] Cash Back to You - Consumer Cash$ Back Guaranteed";</w:t>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Portraying the Cash Back voucher program as guaranteed;</w:t>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Providing a sample Cash Back Voucher that stated, among other things, that the merchant - one of the Defendant Retailers - was presenting the Cash Back Voucher to the customer and that the merchant had entered a promotion to issue vouchers to their customers. The language on the sample Cash Back Voucher suggesting that the merchant would be responsible for payment was at odds with the private views of the Defendant Retailers that they would not be responsible for payment of the Cash Back Vouchers; or</w:t>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Showing customers a Cash Back Scale setting out the value of the Cash Back Voucher, based on purchase price for the furniture item, which listed the cash the customers would receive if they obtained a cashable voucher.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"Deceptive Sales Tactics")</w:t>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Each of the Deceptive Sales Tactics alone or in some combination, had the capability, tendency or effect of deceiving or misleading a customer by portraying the program as simple and guaranteed.</w:t>
      </w:r>
    </w:p>
    <w:p>
      <w:pPr>
        <w:numPr>
          <w:numId w:val="4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Further, the Cash Back Voucher itself included terms making the Defendant Retailers responsible for payment of the Cash Back Vouchers, or alternatively, the Cash Back Voucher had terms which were internally inconsistent on who was responsible for payment. The opening lines of small print read:</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This promotional voucher ("Voucher") has been presented to you the holder(s) named above ("You, Your") by the merchant named above ("Merchant") on behalf of the voucher issuer The Consumers Trust ("Trust, We, Us, Our") (first sentence, left column, Cashable Voucher).</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The Merchant has entered into a promotion to issue vouchers to their customers and has agreed to make payments to us for their issue ("Merchant Payments")... (left column, Cashable Voucher).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These terms had the capability, tendency or effect of deceiving or misleading a customer into thinking that the Defendant Retailers were responsible for payment of the Cash Back Vouchers.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The defendants say that these issues are not truly common because no single or uniform representation is shown to have been made to all class members, as some did not see the advertising or the in-store signs, and the nature, scope and content of the interactions between customers and sales staff requires an individual inquiry. They also say that there is an insufficient evidentiary base to support them.</w:t>
      </w:r>
      <w:r>
        <w:rPr>
          <w:rFonts w:ascii="arial" w:eastAsia="arial" w:hAnsi="arial" w:cs="arial"/>
          <w:sz w:val="20"/>
          <w:lang w:val="en-US" w:eastAsia="en-US" w:bidi="ar-SA"/>
        </w:rPr>
        <w:cr/>
      </w:r>
    </w:p>
    <w:p>
      <w:pPr>
        <w:spacing w:line="260" w:lineRule="atLeast"/>
        <w:ind w:left="1440"/>
        <w:rPr>
          <w:rFonts w:ascii="arial" w:eastAsia="arial" w:hAnsi="arial" w:cs="arial"/>
          <w:sz w:val="20"/>
          <w:lang w:val="en-US" w:eastAsia="en-US" w:bidi="ar-SA"/>
        </w:rPr>
      </w:pPr>
      <w:r>
        <w:rPr>
          <w:rFonts w:ascii="arial" w:eastAsia="arial" w:hAnsi="arial" w:cs="arial"/>
          <w:b/>
          <w:i/>
          <w:color w:val="000000"/>
          <w:sz w:val="20"/>
          <w:lang w:val="en-US" w:eastAsia="en-US" w:bidi="ar-SA"/>
        </w:rPr>
        <w:t>Commonality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Generally, the plaintiffs rely on the vouchers, the newspaper advertisements, the in-store signs and tags, and oral representations by sales people, as the sources of the alleged deceptive acts or practices. Mr. Lemer acknowledged that different plaintiffs would have been exposed to different sources. He stressed, however, that this can be addressed by grouping the plaintiffs into the following groups with "commercial contexts" depending on what each group was exposed to: (i) received/did not receive the voucher before purchase; (ii) saw/did not see newspaper advertisements; (iii) saw/did not see in-store signs; and (iv) received/did not receive an explanation from a sales person that modified the voucher or advertisements. In respect of (i), Mr. Lemer raised the issue of whether the terms of the vouchers were binding on class members who did not receive them until after the sale was completed.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xml:space="preserve">  My view is that the differences between plaintiffs cannot be properly addressed in this way. I do not see how it is possible to create only four groups of plaintiffs. There are groups within groups, and potential differences in explanations from sales staff. This case differs substantially from </w:t>
      </w:r>
      <w:r>
        <w:rPr>
          <w:rFonts w:ascii="arial" w:eastAsia="arial" w:hAnsi="arial" w:cs="arial"/>
          <w:i/>
          <w:color w:val="000000"/>
          <w:sz w:val="20"/>
          <w:lang w:val="en-US" w:eastAsia="en-US" w:bidi="ar-SA"/>
        </w:rPr>
        <w:t>Payne</w:t>
      </w:r>
      <w:r>
        <w:rPr>
          <w:rFonts w:ascii="arial" w:eastAsia="arial" w:hAnsi="arial" w:cs="arial"/>
          <w:color w:val="000000"/>
          <w:sz w:val="20"/>
          <w:lang w:val="en-US" w:eastAsia="en-US" w:bidi="ar-SA"/>
        </w:rPr>
        <w:t xml:space="preserve"> (</w:t>
      </w:r>
      <w:hyperlink r:id="rId830" w:history="1">
        <w:r>
          <w:rPr>
            <w:rFonts w:ascii="arial" w:eastAsia="arial" w:hAnsi="arial" w:cs="arial"/>
            <w:i/>
            <w:color w:val="0077CC"/>
            <w:sz w:val="20"/>
            <w:u w:val="single"/>
            <w:shd w:val="clear" w:color="auto" w:fill="FFFFFF"/>
            <w:lang w:val="en-US" w:eastAsia="en-US" w:bidi="ar-SA"/>
          </w:rPr>
          <w:t>2009 BCSC 530</w:t>
        </w:r>
      </w:hyperlink>
      <w:r>
        <w:rPr>
          <w:rFonts w:ascii="arial" w:eastAsia="arial" w:hAnsi="arial" w:cs="arial"/>
          <w:color w:val="000000"/>
          <w:sz w:val="20"/>
          <w:lang w:val="en-US" w:eastAsia="en-US" w:bidi="ar-SA"/>
        </w:rPr>
        <w:t xml:space="preserve">), which involved the same cash back voucher program. While that case involved a claim in negligent misrepresentation rather than an alleged deceptive act or practice under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the common issue certified was based on a representation made in </w:t>
      </w:r>
      <w:r>
        <w:rPr>
          <w:rFonts w:ascii="arial" w:eastAsia="arial" w:hAnsi="arial" w:cs="arial"/>
          <w:i/>
          <w:color w:val="000000"/>
          <w:sz w:val="20"/>
          <w:lang w:val="en-US" w:eastAsia="en-US" w:bidi="ar-SA"/>
        </w:rPr>
        <w:t>one</w:t>
      </w:r>
      <w:r>
        <w:rPr>
          <w:rFonts w:ascii="arial" w:eastAsia="arial" w:hAnsi="arial" w:cs="arial"/>
          <w:color w:val="000000"/>
          <w:sz w:val="20"/>
          <w:lang w:val="en-US" w:eastAsia="en-US" w:bidi="ar-SA"/>
        </w:rPr>
        <w:t xml:space="preserve"> advertisement that was found to suggest that the car dealership rather than Consumers Trust was the entity providing the opportunity to claim and receive cash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The plaintiffs' own evidence demonstrates some of the differences between plaintiffs. Mr. Marshall saw only the "Gesture of Thanks" brochure and the voucher, and was told by a sales employee about a television news crew investigation on the voucher program. Mr. Wong saw a newspaper advertisement, the "Gesture of Thanks" brochure and the voucher, and was told by a sales employee "words to the effect" that United Furniture Warehouse put funds in trust with a company to pay those claiming under the program, most people would forget to make a claim, and if there was a problem "getting the money owed" to him under the program United Furniture Warehouse would ensure he would get paid. This evidence in itself requires an individual inquiry as to whether the oral representations made to each plaintiff "modified" the written materials each reviewed such that the defendants' acts can be assessed as being deceptive or misleading.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The defendants stressed the lack of uniformity in the explanations that the sales staff would have given to customers. The plaintiffs suggested that a narrow range of information was provided by sales staff to customers, the thrust of which was more or less the same.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My view of the defendants' evidence about this is that the explanations were generally quite standard as to the steps required to redeem and the need to follow the instructions on the voucher carefully, but other information, such as the fact that Consumers Trust ran the program, was conveyed to customers who sought more detail. It appears that generally, customers had an opportunity to read a sample voucher before they made a purchase and if they did, they received their voucher either at the time of the purchase or after full payment had been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That said, there is no question that the plaintiffs have alleged multiple representations arising from different sources that relate to a variety of different aspects of the voucher program. Every customer had to deal with a sales person in making his or her purchase. While there is some commonality in the written sources, the evidence demonstrates that different customers received a varying amount of information from sales staff, both written and oral. The fact that the plaintiffs rely on varying combinations of written material and oral representations to prove a deceptive act or practice renders a determination of this issue one for individual inquiry.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xml:space="preserve">  This case differs substantially from several cases cited by the plaintiffs to support the proposition that common issues can be certified even where there is scope for differences in information provided to each class member. For example, in </w:t>
      </w:r>
      <w:r>
        <w:rPr>
          <w:rFonts w:ascii="arial" w:eastAsia="arial" w:hAnsi="arial" w:cs="arial"/>
          <w:i/>
          <w:color w:val="000000"/>
          <w:sz w:val="20"/>
          <w:lang w:val="en-US" w:eastAsia="en-US" w:bidi="ar-SA"/>
        </w:rPr>
        <w:t>Hickey-Button v Loyalist College of Applied Arts &amp; Technology</w:t>
      </w:r>
      <w:r>
        <w:rPr>
          <w:rFonts w:ascii="arial" w:eastAsia="arial" w:hAnsi="arial" w:cs="arial"/>
          <w:color w:val="000000"/>
          <w:sz w:val="20"/>
          <w:lang w:val="en-US" w:eastAsia="en-US" w:bidi="ar-SA"/>
        </w:rPr>
        <w:t xml:space="preserve">, </w:t>
      </w:r>
      <w:hyperlink r:id="rId844" w:history="1">
        <w:r>
          <w:rPr>
            <w:rFonts w:ascii="arial" w:eastAsia="arial" w:hAnsi="arial" w:cs="arial"/>
            <w:i/>
            <w:color w:val="0077CC"/>
            <w:sz w:val="20"/>
            <w:u w:val="single"/>
            <w:shd w:val="clear" w:color="auto" w:fill="FFFFFF"/>
            <w:lang w:val="en-US" w:eastAsia="en-US" w:bidi="ar-SA"/>
          </w:rPr>
          <w:t>[2006] O.J. No. 2393</w:t>
        </w:r>
      </w:hyperlink>
      <w:r>
        <w:rPr>
          <w:rFonts w:ascii="arial" w:eastAsia="arial" w:hAnsi="arial" w:cs="arial"/>
          <w:color w:val="000000"/>
          <w:sz w:val="20"/>
          <w:lang w:val="en-US" w:eastAsia="en-US" w:bidi="ar-SA"/>
        </w:rPr>
        <w:t xml:space="preserve"> (CA), a claim for breach of contract and alternatively negligent misrepresentation, the plaintiffs relied only on written material that had been provided to all students in response to their applications for enrollment in a nursing program and not on individual representations. In </w:t>
      </w:r>
      <w:r>
        <w:rPr>
          <w:rFonts w:ascii="arial" w:eastAsia="arial" w:hAnsi="arial" w:cs="arial"/>
          <w:i/>
          <w:color w:val="000000"/>
          <w:sz w:val="20"/>
          <w:lang w:val="en-US" w:eastAsia="en-US" w:bidi="ar-SA"/>
        </w:rPr>
        <w:t>Lam v University of British Columbia</w:t>
      </w:r>
      <w:r>
        <w:rPr>
          <w:rFonts w:ascii="arial" w:eastAsia="arial" w:hAnsi="arial" w:cs="arial"/>
          <w:color w:val="000000"/>
          <w:sz w:val="20"/>
          <w:lang w:val="en-US" w:eastAsia="en-US" w:bidi="ar-SA"/>
        </w:rPr>
        <w:t xml:space="preserve">, </w:t>
      </w:r>
      <w:hyperlink r:id="rId845" w:history="1">
        <w:r>
          <w:rPr>
            <w:rFonts w:ascii="arial" w:eastAsia="arial" w:hAnsi="arial" w:cs="arial"/>
            <w:i/>
            <w:color w:val="0077CC"/>
            <w:sz w:val="20"/>
            <w:u w:val="single"/>
            <w:shd w:val="clear" w:color="auto" w:fill="FFFFFF"/>
            <w:lang w:val="en-US" w:eastAsia="en-US" w:bidi="ar-SA"/>
          </w:rPr>
          <w:t>2010 BCCA 325</w:t>
        </w:r>
      </w:hyperlink>
      <w:r>
        <w:rPr>
          <w:rFonts w:ascii="arial" w:eastAsia="arial" w:hAnsi="arial" w:cs="arial"/>
          <w:color w:val="000000"/>
          <w:sz w:val="20"/>
          <w:lang w:val="en-US" w:eastAsia="en-US" w:bidi="ar-SA"/>
        </w:rPr>
        <w:t xml:space="preserve">, leave to appeal ref'd </w:t>
      </w:r>
      <w:hyperlink r:id="rId846" w:history="1">
        <w:r>
          <w:rPr>
            <w:rFonts w:ascii="arial" w:eastAsia="arial" w:hAnsi="arial" w:cs="arial"/>
            <w:i/>
            <w:color w:val="0077CC"/>
            <w:sz w:val="20"/>
            <w:u w:val="single"/>
            <w:shd w:val="clear" w:color="auto" w:fill="FFFFFF"/>
            <w:lang w:val="en-US" w:eastAsia="en-US" w:bidi="ar-SA"/>
          </w:rPr>
          <w:t>[2010] SCCA No 345</w:t>
        </w:r>
      </w:hyperlink>
      <w:r>
        <w:rPr>
          <w:rFonts w:ascii="arial" w:eastAsia="arial" w:hAnsi="arial" w:cs="arial"/>
          <w:color w:val="000000"/>
          <w:sz w:val="20"/>
          <w:lang w:val="en-US" w:eastAsia="en-US" w:bidi="ar-SA"/>
        </w:rPr>
        <w:t xml:space="preserve">, the issue of whether the defendant was protected by an exclusion clause in a standard form agreement required no individual assessment of a plaintiff's understanding. </w:t>
      </w:r>
      <w:r>
        <w:rPr>
          <w:rFonts w:ascii="arial" w:eastAsia="arial" w:hAnsi="arial" w:cs="arial"/>
          <w:i/>
          <w:color w:val="000000"/>
          <w:sz w:val="20"/>
          <w:lang w:val="en-US" w:eastAsia="en-US" w:bidi="ar-SA"/>
        </w:rPr>
        <w:t>Miller v Merck Frosst Canada Ltd</w:t>
      </w:r>
      <w:r>
        <w:rPr>
          <w:rFonts w:ascii="arial" w:eastAsia="arial" w:hAnsi="arial" w:cs="arial"/>
          <w:color w:val="000000"/>
          <w:sz w:val="20"/>
          <w:lang w:val="en-US" w:eastAsia="en-US" w:bidi="ar-SA"/>
        </w:rPr>
        <w:t xml:space="preserve">, </w:t>
      </w:r>
      <w:hyperlink r:id="rId847" w:history="1">
        <w:r>
          <w:rPr>
            <w:rFonts w:ascii="arial" w:eastAsia="arial" w:hAnsi="arial" w:cs="arial"/>
            <w:i/>
            <w:color w:val="0077CC"/>
            <w:sz w:val="20"/>
            <w:u w:val="single"/>
            <w:shd w:val="clear" w:color="auto" w:fill="FFFFFF"/>
            <w:lang w:val="en-US" w:eastAsia="en-US" w:bidi="ar-SA"/>
          </w:rPr>
          <w:t>2013 BCSC 544</w:t>
        </w:r>
      </w:hyperlink>
      <w:r>
        <w:rPr>
          <w:rFonts w:ascii="arial" w:eastAsia="arial" w:hAnsi="arial" w:cs="arial"/>
          <w:color w:val="000000"/>
          <w:sz w:val="20"/>
          <w:lang w:val="en-US" w:eastAsia="en-US" w:bidi="ar-SA"/>
        </w:rPr>
        <w:t xml:space="preserve"> involved standardized information about a drug, and any issues related to the role of physicians as intermediaries or the knowledge of an individual plaintiff was found to be separate from the common issue of determining the defendants' duty to warn and the standard against which the duty should be measured. Similarly, </w:t>
      </w:r>
      <w:r>
        <w:rPr>
          <w:rFonts w:ascii="arial" w:eastAsia="arial" w:hAnsi="arial" w:cs="arial"/>
          <w:i/>
          <w:color w:val="000000"/>
          <w:sz w:val="20"/>
          <w:lang w:val="en-US" w:eastAsia="en-US" w:bidi="ar-SA"/>
        </w:rPr>
        <w:t>Stanway</w:t>
      </w:r>
      <w:r>
        <w:rPr>
          <w:rFonts w:ascii="arial" w:eastAsia="arial" w:hAnsi="arial" w:cs="arial"/>
          <w:color w:val="000000"/>
          <w:sz w:val="20"/>
          <w:lang w:val="en-US" w:eastAsia="en-US" w:bidi="ar-SA"/>
        </w:rPr>
        <w:t xml:space="preserve"> involved an alleged systemic pattern of failing to disclose the risks of hormone therapy in standardized product monographs and labels over a 27 year period. In </w:t>
      </w:r>
      <w:r>
        <w:rPr>
          <w:rFonts w:ascii="arial" w:eastAsia="arial" w:hAnsi="arial" w:cs="arial"/>
          <w:i/>
          <w:color w:val="000000"/>
          <w:sz w:val="20"/>
          <w:lang w:val="en-US" w:eastAsia="en-US" w:bidi="ar-SA"/>
        </w:rPr>
        <w:t>Cooper v Merill Lynch Canada Inc</w:t>
      </w:r>
      <w:r>
        <w:rPr>
          <w:rFonts w:ascii="arial" w:eastAsia="arial" w:hAnsi="arial" w:cs="arial"/>
          <w:color w:val="000000"/>
          <w:sz w:val="20"/>
          <w:lang w:val="en-US" w:eastAsia="en-US" w:bidi="ar-SA"/>
        </w:rPr>
        <w:t xml:space="preserve">, </w:t>
      </w:r>
      <w:hyperlink r:id="rId848" w:history="1">
        <w:r>
          <w:rPr>
            <w:rFonts w:ascii="arial" w:eastAsia="arial" w:hAnsi="arial" w:cs="arial"/>
            <w:i/>
            <w:color w:val="0077CC"/>
            <w:sz w:val="20"/>
            <w:u w:val="single"/>
            <w:shd w:val="clear" w:color="auto" w:fill="FFFFFF"/>
            <w:lang w:val="en-US" w:eastAsia="en-US" w:bidi="ar-SA"/>
          </w:rPr>
          <w:t>2006 BCSC 1905</w:t>
        </w:r>
      </w:hyperlink>
      <w:r>
        <w:rPr>
          <w:rFonts w:ascii="arial" w:eastAsia="arial" w:hAnsi="arial" w:cs="arial"/>
          <w:color w:val="000000"/>
          <w:sz w:val="20"/>
          <w:lang w:val="en-US" w:eastAsia="en-US" w:bidi="ar-SA"/>
        </w:rPr>
        <w:t>, the basic written agreements between Merill Lynch and its clients were held to establish an agency relationship, which was common to all class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xml:space="preserve">  I also note that in </w:t>
      </w:r>
      <w:r>
        <w:rPr>
          <w:rFonts w:ascii="arial" w:eastAsia="arial" w:hAnsi="arial" w:cs="arial"/>
          <w:i/>
          <w:color w:val="000000"/>
          <w:sz w:val="20"/>
          <w:lang w:val="en-US" w:eastAsia="en-US" w:bidi="ar-SA"/>
        </w:rPr>
        <w:t>Payne</w:t>
      </w:r>
      <w:r>
        <w:rPr>
          <w:rFonts w:ascii="arial" w:eastAsia="arial" w:hAnsi="arial" w:cs="arial"/>
          <w:color w:val="000000"/>
          <w:sz w:val="20"/>
          <w:lang w:val="en-US" w:eastAsia="en-US" w:bidi="ar-SA"/>
        </w:rPr>
        <w:t xml:space="preserve"> ( </w:t>
      </w:r>
      <w:hyperlink r:id="rId830" w:history="1">
        <w:r>
          <w:rPr>
            <w:rFonts w:ascii="arial" w:eastAsia="arial" w:hAnsi="arial" w:cs="arial"/>
            <w:i/>
            <w:color w:val="0077CC"/>
            <w:sz w:val="20"/>
            <w:u w:val="single"/>
            <w:shd w:val="clear" w:color="auto" w:fill="FFFFFF"/>
            <w:lang w:val="en-US" w:eastAsia="en-US" w:bidi="ar-SA"/>
          </w:rPr>
          <w:t>2009 BCSC 530</w:t>
        </w:r>
      </w:hyperlink>
      <w:r>
        <w:rPr>
          <w:rFonts w:ascii="arial" w:eastAsia="arial" w:hAnsi="arial" w:cs="arial"/>
          <w:color w:val="000000"/>
          <w:sz w:val="20"/>
          <w:lang w:val="en-US" w:eastAsia="en-US" w:bidi="ar-SA"/>
        </w:rPr>
        <w:t>), which was a decision on common issues, the court determined only whether one advertisement was inaccurate or misleading and made no findings with respect to what was said by sales representatives to individual members of the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xml:space="preserve">  In this case, the issues of what written material was received by and what oral representations were made to individual plaintiffs are inextricably intertwined with the determination of the defendants' liability for a deceptive act or practice under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The creation of subclasses is not a potential solution in these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Mr. Lemer submitted that an interpretation of only the written material - the vouchers, the advertisements, and the in-store signs and tags - will move the litigation forward. I am unable to accept this submission. I agree that individual differences in exposure to written materials are not relevant to a determination of whether the written materials, either individually or together, constitute a deceptive act or practice, and that this could be a common issue. However, I do not agree that a resolution of this issue would move the litigation forward in a material way. First, the plaintiffs challenge whether the terms of the voucher itself - the only document common to all members of the class - are binding on consumers who did not receive it until after the sale was completed. Second, and more importantly, they rely on the voucher in various combinations with the other written materials and oral representations, and the oral representations are part of the mix for every customer.</w:t>
      </w:r>
      <w:r>
        <w:rPr>
          <w:rFonts w:ascii="arial" w:eastAsia="arial" w:hAnsi="arial" w:cs="arial"/>
          <w:sz w:val="20"/>
          <w:lang w:val="en-US" w:eastAsia="en-US" w:bidi="ar-SA"/>
        </w:rPr>
        <w:cr/>
      </w:r>
    </w:p>
    <w:p>
      <w:pPr>
        <w:spacing w:line="260" w:lineRule="atLeast"/>
        <w:ind w:left="1440"/>
        <w:rPr>
          <w:rFonts w:ascii="arial" w:eastAsia="arial" w:hAnsi="arial" w:cs="arial"/>
          <w:sz w:val="20"/>
          <w:lang w:val="en-US" w:eastAsia="en-US" w:bidi="ar-SA"/>
        </w:rPr>
      </w:pPr>
      <w:r>
        <w:rPr>
          <w:rFonts w:ascii="arial" w:eastAsia="arial" w:hAnsi="arial" w:cs="arial"/>
          <w:b/>
          <w:i/>
          <w:color w:val="000000"/>
          <w:sz w:val="20"/>
          <w:lang w:val="en-US" w:eastAsia="en-US" w:bidi="ar-SA"/>
        </w:rPr>
        <w:t>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The defendants made comprehensive submissions about the lack of evidence that the vouchers, the advertisements, the in-store signs and tags, or any oral representations were deceptive or misleading in the manner alleged in paras. 73-80 of the claim. Some of their submissions focused on the merits of the case rather than the lack of evidence. Nevertheless, I agree with the defendants that there is little or no evidentiary base for many of these allegations, and in particular, there is no evidentiary base for any of the allegations pertaining to Mr. Volken and Mr. Gerstner.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In his submissions, however, Mr. Lemer focused on three primary misrepresentations: (i) the program was simple, (ii) it was guaranteed, and (iii) United Furniture Warehouse stood behind it. This is the thrust of the allegations in the proposed Amended Claim. There is some evidence sufficient to assess those allegations as a common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Many of the facts contained in the proposed Amended Claim rely on written material only - the vouchers, the advertisements and the in-store signage. The newspaper advertisements published by Old UFW included the statements: "Follow the simple instructions on the back of the voucher" and "Every voucher so presented has been redeemed. It's guaranteed!" In-store signs and tags displayed in United Furniture Warehouse stores during the time the voucher program was offered by both Old UFW and New UFW included the statement "Consumer guaranteed".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There is evidence that Mr. Wong saw a newspaper advertisement but there is no evidence that Mr. Marshall did, or that either plaintiff saw any of the in-store signs and tags. Both plaintiffs read the "Gesture of Thanks" brochure and the sample voucher before they purchased their goods.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Mr. Marshall's evidence is that after briefly reviewing the "Gesture of Thanks" and the "Save 1/2" brochures, he formed "the impression" that (i) the process for filling out the vouchers and submitting them was simple; (ii) the cash back payment was guaranteed and he would receive a cheque for the full amount of his vouchers three years later after submitting the required documents; and (iii) the program was offered and provided for by United Furniture Warehouse.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Mr. Wong's evidence is that the sales person told him "words to the effect" that United Furniture Warehouse put funds in trust with a company to pay those claiming under the program and if there was a problem getting his money, United Furniture Warehouse would ensure he received payment.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In addition to these primary alleged misrepresentations, both the Notice of Civil Claim and the proposed Amended Claim contain a long list of alleged deceptive acts or practices. These fall into several categories. I do not intend to review the evidence or lack of evidence in detail given the lack of commonality I have identified above. However, the state of the evidence with respect to many of these allegations provides further grounds to deny certification of this proposed common issue.</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The program was reputable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The plaintiffs allege that the program was portrayed as reputable in addition to simple. The factual basis for this relies primarily on evidence that is either inadmissible hearsay or unclear. Mr. Marshall deposed that he was told by a sales employee that a television news crew investigation had found the voucher program to be "on the level". The source of this is far removed from proper evidence. Mr. Wong deposed that he was told by a sales employee that United Furniture Warehouse, "a large, established company", would ensure he received payment on the voucher if he had any problem. This statement appears to be related more to the alleged warranty of payment rather than the repute of the program itself.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There is an allegation at paras. 94(f) and 95(b) of the Notice of Civil Claim (in relation to the claim for negligent misrepresentation) that the corporate defendants represented the voucher program as being administered by a trust company "utilizing a trust administered by professional and insured trustees located in Canada", and that this was false, inaccurate or misleading because the program was not administered by a trust company, "nor was there a trust established to ensure the Cashable Vouchers would be honoured".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While there is no evidence that any such representation had an effect on either Mr. Marshall or Mr. Wong, it is possible that representations in the voucher itself could be interpreted as deceptive or misleading as to the repute of Consumers Trust. The voucher received by Mr. Marshall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Trust exists for the sole purpose of administering the cashable voucher program and carries on no other business. It is exclusively controlled and administered by insured lawyer and accountant trustees who perform their obligations on the cashable voucher program under irrevocable settlor instructions through the administration address set out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voucher received by Mr. Wong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Trust is exclusively controlled and independently operated under irrevocable settlor instructions by insured lawyer and accountant trustees who perform their obligations hereunder through Canadian trust bank accounts.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There is evidence that in July 2003, the Superintendent of Financial Institutions issued an order that Consumers Trust and CP Promotions Ltd., among other individuals: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[c]ease from using the words "trust" or "trustee", or any words in connection with the business or the person, in a way likely to, deceive or mislead the public about the ability of the person to undertake trust business, or ... give a false impression that the person is a trust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There is no evidence that any of the parties in this action (other than Consumers Trust and CP Promotions Ltd.) were aware of this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xml:space="preserve">  While this allegation is not made in relation to the claim under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and the finding of another tribunal is not binding on the issues before the court in this case, the representation in the voucher is some evidence that supports an allegation that the program was portrayed as reputable.</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The likelihood of receiving the full value of the vouchers was exaggerated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There is some basis in fact for this allegation: the representation in the advertisements and the in-store signs and tags that the "Cash Back" was "Consumer Guaranteed".</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Consumers were not informed of the terms or conditions of the vouchers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There is no evidence that either Mr. Marshall or Mr. Wong were not informed of the terms or conditions of the vouchers. Each had a copy of the voucher before he made his purchases.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There was a failure to disclose the Merchant's key terms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The "Merchant's Key Terms", set out at para. 40(a)-(g) of the Notice of Civil Claim, address the requirement that the merchant make payments to Consumers Trust of 15% of the revenue from each transaction, and the circumstances in which vouchers will be rendered invalid:</w:t>
      </w:r>
      <w:r>
        <w:rPr>
          <w:rFonts w:ascii="arial" w:eastAsia="arial" w:hAnsi="arial" w:cs="arial"/>
          <w:sz w:val="20"/>
          <w:lang w:val="en-US" w:eastAsia="en-US" w:bidi="ar-SA"/>
        </w:rPr>
        <w:cr/>
      </w:r>
    </w:p>
    <w:p>
      <w:pPr>
        <w:numPr>
          <w:numId w:val="4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Merchants must provide a Cashable Voucher for "each and every sale, rental, leasing or finance transaction" of the merchandise covered by the Merchant Agreement and must make payments to The Consumers Trust in an amount equal to 15% of the revenue from each of those covered transactions;</w:t>
      </w:r>
    </w:p>
    <w:p>
      <w:pPr>
        <w:numPr>
          <w:numId w:val="4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a merchant ceases providing Cashable Vouchers and paying the requisite 15% portion of the transaction price to The Consumers Trust, "[a]ll vouchers issued by the merchant shall be and become null and void and unenforceable against The Trust;</w:t>
      </w:r>
    </w:p>
    <w:p>
      <w:pPr>
        <w:numPr>
          <w:numId w:val="4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Merchants are subject to periodic "audits" by Consumer Promotions and The Consumers Trust to ensure that they have complied with the above provision and payment requirements;</w:t>
      </w:r>
    </w:p>
    <w:p>
      <w:pPr>
        <w:numPr>
          <w:numId w:val="4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Merchants cannot have any direct communication about the Cashable Voucher Program with customers to whom they have provided Cashable Vouchers until </w:t>
      </w:r>
      <w:r>
        <w:rPr>
          <w:rFonts w:ascii="arial" w:eastAsia="arial" w:hAnsi="arial" w:cs="arial"/>
          <w:i/>
          <w:color w:val="000000"/>
          <w:sz w:val="20"/>
          <w:lang w:val="en-US" w:eastAsia="en-US" w:bidi="ar-SA"/>
        </w:rPr>
        <w:t>after</w:t>
      </w:r>
      <w:r>
        <w:rPr>
          <w:rFonts w:ascii="arial" w:eastAsia="arial" w:hAnsi="arial" w:cs="arial"/>
          <w:color w:val="000000"/>
          <w:sz w:val="20"/>
          <w:lang w:val="en-US" w:eastAsia="en-US" w:bidi="ar-SA"/>
        </w:rPr>
        <w:t xml:space="preserve"> all of the vouchers that Merchant has provided have passed their expiration date or can no longer be redeemed by the customer;</w:t>
      </w:r>
    </w:p>
    <w:p>
      <w:pPr>
        <w:numPr>
          <w:numId w:val="4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Merchants, likewise, cannot allow or encourage any </w:t>
      </w:r>
      <w:r>
        <w:rPr>
          <w:rFonts w:ascii="arial" w:eastAsia="arial" w:hAnsi="arial" w:cs="arial"/>
          <w:i/>
          <w:color w:val="000000"/>
          <w:sz w:val="20"/>
          <w:lang w:val="en-US" w:eastAsia="en-US" w:bidi="ar-SA"/>
        </w:rPr>
        <w:t>other</w:t>
      </w:r>
      <w:r>
        <w:rPr>
          <w:rFonts w:ascii="arial" w:eastAsia="arial" w:hAnsi="arial" w:cs="arial"/>
          <w:color w:val="000000"/>
          <w:sz w:val="20"/>
          <w:lang w:val="en-US" w:eastAsia="en-US" w:bidi="ar-SA"/>
        </w:rPr>
        <w:t xml:space="preserve"> person or organization to communicate about the Cashable Voucher Program with customers to whom they have provided Cashable Vouchers;</w:t>
      </w:r>
    </w:p>
    <w:p>
      <w:pPr>
        <w:numPr>
          <w:numId w:val="4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Merchants cannot assist any customers in making claims for payment of their Cashable Vouchers; and</w:t>
      </w:r>
    </w:p>
    <w:p>
      <w:pPr>
        <w:numPr>
          <w:numId w:val="4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a Merchant engages in any of the above-described prohibited communications or activities, any subsequent claim by consumers holding Cashable Vouchers provided by that Merchant will be rendered invalid.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Some of the alleged key terms were disclosed in the vouchers themselves. In particular, the vouchers stated that claims will not be accepted or processed if the merchant fails to make payment to Consumers Trust, or if the holder is reminded, encouraged or assisted to make a claim by any individual, organization, company or reminder service. There is evidence that some sales staff advised their customers that they could not remind or assist them to make their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Neither Mr. Marshall nor Mr. Wong identify any of the key terms as a factor in their decisions to purchase goods from the defendants. There is no evidence (other than by negative inference) on which to assess on a class basis whether there was a failure to disclose any of these terms and if so, whether a failure to do so was capable of deceiving or misleading a consumer.</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Misrepresentations on the "Gesture of Thanks" brochure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There is no evidentiary base on which to assess allegations of misrepresentations in the "Gesture of Thanks" brochure set out in paras. 74(j), (k) and (l) of the Notice of Civil Claim. Neither Mr. Marshall nor Mr. Wong provide any evidence that any representation in that brochure misled them into an error of judgment. There is no evidence that suggests the individuals shown in the photographs did not receive payment under their vouchers or that any of them were Canadian.</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Furniture protection plans were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There is evidence that Old UFW and New UFW required customers who participated in the voucher program to purchase furniture protection plans. There is no evidence that this was a requirement of the program. This may be a sufficient evidentiary base on which to assess whether this is a common issue.</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All of this reveals substantial weaknesses in the plaintiffs' ability to adduce some basis in fact from admissible evidence to establish whether any of these allegations constitute a deceptive act or practice. There is some basis in fact to support the primary alleged misrepresentations as submitted by Mr. Lemer, but there is an insufficient basis in fact to support many of the other allegations in the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5"/>
        <w:gridCol w:w="2398"/>
        <w:gridCol w:w="240"/>
        <w:gridCol w:w="5421"/>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35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18"/>
                <w:lang w:val="en-US" w:eastAsia="en-US" w:bidi="ar-SA"/>
              </w:rPr>
              <w:t>(ii)</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18"/>
                <w:lang w:val="en-US" w:eastAsia="en-US" w:bidi="ar-SA"/>
              </w:rPr>
              <w:t>Unconscionable acts or practices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xml:space="preserve">  Unconscionable acts or practices are not defined in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but s. 8(2) directs the court to consider "all of the surrounding circumstances of which the supplier knew or ought to have known" and s. 8(3) sets out circumstances that the court must consider in this regard:</w:t>
      </w:r>
      <w:r>
        <w:rPr>
          <w:rFonts w:ascii="arial" w:eastAsia="arial" w:hAnsi="arial" w:cs="arial"/>
          <w:sz w:val="20"/>
          <w:lang w:val="en-US" w:eastAsia="en-US" w:bidi="ar-SA"/>
        </w:rPr>
        <w:cr/>
      </w:r>
    </w:p>
    <w:p>
      <w:pPr>
        <w:numPr>
          <w:numId w:val="4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supplier subjected the consumer or guarantor to undue pressure to enter into the consumer transaction;</w:t>
      </w:r>
    </w:p>
    <w:p>
      <w:pPr>
        <w:numPr>
          <w:numId w:val="4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supplier took advantage of the consumer or guarantor's inability or incapacity to reasonably protect his or her own interest because of the consumer or guarantor's physical or mental infirmity, ignorance, illiteracy, age or inability to understand the character, nature or language of the consumer transaction, or any other matter related to the transaction;</w:t>
      </w:r>
    </w:p>
    <w:p>
      <w:pPr>
        <w:numPr>
          <w:numId w:val="4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at the time the consumer transaction was entered into, the total price grossly exceeded the total price at which similar subjects of similar consumer transactions were readily obtainable by similar consumers;</w:t>
      </w:r>
    </w:p>
    <w:p>
      <w:pPr>
        <w:numPr>
          <w:numId w:val="4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at the time the consumer transaction was entered into, there was no reasonable probability of full payment of the total price by the consumer;</w:t>
      </w:r>
    </w:p>
    <w:p>
      <w:pPr>
        <w:numPr>
          <w:numId w:val="4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terms or conditions on, or subject to, which the consumer entered into the consumer transaction were so harsh or adverse to the consumer as to be inequitable;</w:t>
      </w:r>
    </w:p>
    <w:p>
      <w:pPr>
        <w:numPr>
          <w:numId w:val="4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prescribed circumstance.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xml:space="preserve">  The fundamental elements of an unconscionable transaction, described in </w:t>
      </w:r>
      <w:r>
        <w:rPr>
          <w:rFonts w:ascii="arial" w:eastAsia="arial" w:hAnsi="arial" w:cs="arial"/>
          <w:i/>
          <w:color w:val="000000"/>
          <w:sz w:val="20"/>
          <w:lang w:val="en-US" w:eastAsia="en-US" w:bidi="ar-SA"/>
        </w:rPr>
        <w:t>Morrison v Coast Finance Ltd</w:t>
      </w:r>
      <w:r>
        <w:rPr>
          <w:rFonts w:ascii="arial" w:eastAsia="arial" w:hAnsi="arial" w:cs="arial"/>
          <w:color w:val="000000"/>
          <w:sz w:val="20"/>
          <w:lang w:val="en-US" w:eastAsia="en-US" w:bidi="ar-SA"/>
        </w:rPr>
        <w:t xml:space="preserve"> </w:t>
      </w:r>
      <w:hyperlink r:id="rId849" w:history="1">
        <w:r>
          <w:rPr>
            <w:rFonts w:ascii="arial" w:eastAsia="arial" w:hAnsi="arial" w:cs="arial"/>
            <w:i/>
            <w:color w:val="0077CC"/>
            <w:sz w:val="20"/>
            <w:u w:val="single"/>
            <w:shd w:val="clear" w:color="auto" w:fill="FFFFFF"/>
            <w:lang w:val="en-US" w:eastAsia="en-US" w:bidi="ar-SA"/>
          </w:rPr>
          <w:t>(1965), 55 DLR (2d) 710</w:t>
        </w:r>
      </w:hyperlink>
      <w:r>
        <w:rPr>
          <w:rFonts w:ascii="arial" w:eastAsia="arial" w:hAnsi="arial" w:cs="arial"/>
          <w:color w:val="000000"/>
          <w:sz w:val="20"/>
          <w:lang w:val="en-US" w:eastAsia="en-US" w:bidi="ar-SA"/>
        </w:rPr>
        <w:t xml:space="preserve"> (BCCA) at para. 4, have been applied to cases brought under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 plea that a bargain is unconscionable invokes relief against an unfair advantage gained by an unconscientious [sic] use of power by a stronger party against a weaker. On such a claim the material ingredients are proof of inequality in the position of the parties arising out of the ignorance, need or distress of the weaker, which left him in the power of the stronger, and proof of substantial unfairness of the bargain obtained by the stronger. On proof of those circumstances, it creates a presumption of fraud which the stronger must repel by proving that the bargain was fair, just and reasonable.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quoted in </w:t>
      </w:r>
      <w:r>
        <w:rPr>
          <w:rFonts w:ascii="arial" w:eastAsia="arial" w:hAnsi="arial" w:cs="arial"/>
          <w:i/>
          <w:color w:val="000000"/>
          <w:sz w:val="20"/>
          <w:lang w:val="en-US" w:eastAsia="en-US" w:bidi="ar-SA"/>
        </w:rPr>
        <w:t>Blackman v Fedex Trade Networks &amp; Brokerage (Canada), Inc</w:t>
      </w:r>
      <w:r>
        <w:rPr>
          <w:rFonts w:ascii="arial" w:eastAsia="arial" w:hAnsi="arial" w:cs="arial"/>
          <w:color w:val="000000"/>
          <w:sz w:val="20"/>
          <w:lang w:val="en-US" w:eastAsia="en-US" w:bidi="ar-SA"/>
        </w:rPr>
        <w:t xml:space="preserve">, </w:t>
      </w:r>
      <w:hyperlink r:id="rId850" w:history="1">
        <w:r>
          <w:rPr>
            <w:rFonts w:ascii="arial" w:eastAsia="arial" w:hAnsi="arial" w:cs="arial"/>
            <w:i/>
            <w:color w:val="0077CC"/>
            <w:sz w:val="20"/>
            <w:u w:val="single"/>
            <w:shd w:val="clear" w:color="auto" w:fill="FFFFFF"/>
            <w:lang w:val="en-US" w:eastAsia="en-US" w:bidi="ar-SA"/>
          </w:rPr>
          <w:t>2009 BCSC 201</w:t>
        </w:r>
      </w:hyperlink>
      <w:r>
        <w:rPr>
          <w:rFonts w:ascii="arial" w:eastAsia="arial" w:hAnsi="arial" w:cs="arial"/>
          <w:color w:val="000000"/>
          <w:sz w:val="20"/>
          <w:lang w:val="en-US" w:eastAsia="en-US" w:bidi="ar-SA"/>
        </w:rPr>
        <w:t xml:space="preserve"> at para. 87.)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The only mention in the Notice of Civil Claim of what could be an allegation of an unconscionable act or practice is an assertion in para. 76 that the corporate defendants "took advantage of the consumer's ability to protect his or her own interest because of ignorance and inability to understand the character, nature and language of the transaction, in turn due to the Defendant Retailers having failed to disclose material facts and misrepresenting other facts". No material facts are pleaded, no particulars are provided, and there is no evidence that would form a basis for the assertion of an unconscionable act or practice. Neither Mr. Marshall nor Mr. Wong provide any evidence of an inability to understand the character, nature, or language of the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For all of these reasons, I have concluded that there is no basis on which to certify this as a common issue against Old UFW, New UFW, Mr. Volken and Mr. Gerstner.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f.</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 xml:space="preserve">If the Court finds that any of the Defendants' actions and practices were a "deceptive act or practice" or "unconscionable acts or practices" contrary to the Business Practices and Consumer Protection Act, are the Class Plaintiffs and other members of the Class entitled to: </w:t>
      </w:r>
    </w:p>
    <w:p>
      <w:pPr>
        <w:spacing w:before="120"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i.</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a declaratory order under s. 172(1)(a) to the effect that the Defendants or any of them has engaged in an act or practice that contravenes the provisions of the Business Practices and Consumer Protection Act;</w:t>
      </w:r>
    </w:p>
    <w:p>
      <w:pPr>
        <w:spacing w:before="120"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ii.</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an order under s. 172(3)(a) compelling the Defendants or any of them to restore the monies improperly paid as a result of the act or practice?</w:t>
      </w:r>
    </w:p>
    <w:p>
      <w:pPr>
        <w:spacing w:before="120"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iii.</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an order under s. 171 that the Defendants or any of them pay damages?</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g.</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If the Class is entitled to such orders, should a monetary award be made in favour of the Class, and, if so, in what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xml:space="preserve">  Even if the issue of liability under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were certified, it is clear that entitlement to a remedy under either s. 171 or s. 172(3) involves individual issues that cannot be determined on a class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xml:space="preserve">  As I discussed above, an order under both s. 171 and s. 172(3) is limited to each plaintiff's own losses incurred as a result of a deceptive act or practice: see </w:t>
      </w:r>
      <w:r>
        <w:rPr>
          <w:rFonts w:ascii="arial" w:eastAsia="arial" w:hAnsi="arial" w:cs="arial"/>
          <w:i/>
          <w:color w:val="000000"/>
          <w:sz w:val="20"/>
          <w:lang w:val="en-US" w:eastAsia="en-US" w:bidi="ar-SA"/>
        </w:rPr>
        <w:t>Koubi</w:t>
      </w:r>
      <w:r>
        <w:rPr>
          <w:rFonts w:ascii="arial" w:eastAsia="arial" w:hAnsi="arial" w:cs="arial"/>
          <w:color w:val="000000"/>
          <w:sz w:val="20"/>
          <w:lang w:val="en-US" w:eastAsia="en-US" w:bidi="ar-SA"/>
        </w:rPr>
        <w:t xml:space="preserve"> at para. 65. Section 171 provides a right of recovery for a consumer who "has suffered damage or loss due to a contravention of this Act". This requires each plaintiff to prove that the damage or loss suffered was in reliance on the deceptive act or practice: see </w:t>
      </w:r>
      <w:r>
        <w:rPr>
          <w:rFonts w:ascii="arial" w:eastAsia="arial" w:hAnsi="arial" w:cs="arial"/>
          <w:i/>
          <w:color w:val="000000"/>
          <w:sz w:val="20"/>
          <w:lang w:val="en-US" w:eastAsia="en-US" w:bidi="ar-SA"/>
        </w:rPr>
        <w:t>Knight v Imperial Tobacco Canada Ltd</w:t>
      </w:r>
      <w:r>
        <w:rPr>
          <w:rFonts w:ascii="arial" w:eastAsia="arial" w:hAnsi="arial" w:cs="arial"/>
          <w:color w:val="000000"/>
          <w:sz w:val="20"/>
          <w:lang w:val="en-US" w:eastAsia="en-US" w:bidi="ar-SA"/>
        </w:rPr>
        <w:t xml:space="preserve">, </w:t>
      </w:r>
      <w:hyperlink r:id="rId851" w:history="1">
        <w:r>
          <w:rPr>
            <w:rFonts w:ascii="arial" w:eastAsia="arial" w:hAnsi="arial" w:cs="arial"/>
            <w:i/>
            <w:color w:val="0077CC"/>
            <w:sz w:val="20"/>
            <w:u w:val="single"/>
            <w:shd w:val="clear" w:color="auto" w:fill="FFFFFF"/>
            <w:lang w:val="en-US" w:eastAsia="en-US" w:bidi="ar-SA"/>
          </w:rPr>
          <w:t>2005 BCSC 172</w:t>
        </w:r>
      </w:hyperlink>
      <w:r>
        <w:rPr>
          <w:rFonts w:ascii="arial" w:eastAsia="arial" w:hAnsi="arial" w:cs="arial"/>
          <w:color w:val="000000"/>
          <w:sz w:val="20"/>
          <w:lang w:val="en-US" w:eastAsia="en-US" w:bidi="ar-SA"/>
        </w:rPr>
        <w:t xml:space="preserve"> at para. 34, rev'd in part (on other grounds) </w:t>
      </w:r>
      <w:hyperlink r:id="rId842" w:history="1">
        <w:r>
          <w:rPr>
            <w:rFonts w:ascii="arial" w:eastAsia="arial" w:hAnsi="arial" w:cs="arial"/>
            <w:i/>
            <w:color w:val="0077CC"/>
            <w:sz w:val="20"/>
            <w:u w:val="single"/>
            <w:shd w:val="clear" w:color="auto" w:fill="FFFFFF"/>
            <w:lang w:val="en-US" w:eastAsia="en-US" w:bidi="ar-SA"/>
          </w:rPr>
          <w:t>2006 BCCA 235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I accept that in some cases, class-wide reliance may be inferred from the facts. However, here the number of alleged misrepresentations and the evidence adduced demonstrate that individual reliance by each plaintiff on a deceptive act or practice cannot be inferred. For example, Mr. Wong saw the newspaper advertisements but his affidavit was silent as to whether he relied on any specific representation in them in deciding to make his purchases; and both Mr. Wong and Mr. Marshall were given the "Gesture of Thanks" brochure but neither provided any evidence of reliance on a representation in that document to the same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xml:space="preserve">  Section 172(3) provides a right to a restoration order for money or other property that may have been acquired "because of a contravention" of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While this does not necessarily import a reliance requirement, I interpret this language to require some evidence linking the contravention to the loss. I agree with the defendants that there are a number of individual factors that could affect each class plaintiff's entitlement to an order under this section, such as whether he or she (i) presented or was ready, willing and able to present a valid voucher; (ii) would have purchased the goods in any event; or (iii) obtained credit in the customer satisfaction program offered by New UFW in 2006. Mr. Lemer suggested that a restoration order could simply be for the face value of the vouchers. In my view, the individual factors here would preclude a restoration order on that basis alone.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xml:space="preserve">  It is equally clear that an aggregate award of damages under either s. 171 or 172(3) could not be made in favour of the class. Section 29(1) of the </w:t>
      </w:r>
      <w:r>
        <w:rPr>
          <w:rFonts w:ascii="arial" w:eastAsia="arial" w:hAnsi="arial" w:cs="arial"/>
          <w:i/>
          <w:color w:val="000000"/>
          <w:sz w:val="20"/>
          <w:lang w:val="en-US" w:eastAsia="en-US" w:bidi="ar-SA"/>
        </w:rPr>
        <w:t>Class Proceedings Act</w:t>
      </w:r>
      <w:r>
        <w:rPr>
          <w:rFonts w:ascii="arial" w:eastAsia="arial" w:hAnsi="arial" w:cs="arial"/>
          <w:color w:val="000000"/>
          <w:sz w:val="20"/>
          <w:lang w:val="en-US" w:eastAsia="en-US" w:bidi="ar-SA"/>
        </w:rPr>
        <w:t xml:space="preserve"> permits such an award if three conditions are satisfied, the last of which states:</w:t>
      </w:r>
      <w:r>
        <w:rPr>
          <w:rFonts w:ascii="arial" w:eastAsia="arial" w:hAnsi="arial" w:cs="arial"/>
          <w:sz w:val="20"/>
          <w:lang w:val="en-US" w:eastAsia="en-US" w:bidi="ar-SA"/>
        </w:rPr>
        <w:cr/>
      </w:r>
    </w:p>
    <w:p>
      <w:pPr>
        <w:numPr>
          <w:numId w:val="5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aggregate or a part of the defendant's liability to some or all class members can reasonably be determined without proof by individual class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plaintiffs cannot obtain a monetary award without proving each class member's damage or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Therefore, these are not suitable common issues.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Breach of warranty</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h.</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Did any of the Defendants breach an express or implied term or warranty in the contract for purchase of goods and services between the Class and any of the Defendant Retailers to the effect that if the Class filled in the required information and returned the Cashable Vouchers within the specified time period, then the Class would receive the face value of the Cashable Vouchers?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I have already determined that the pleadings do not disclose a reasonable cause of action for breach of warranty or breach of contract, in essence because the pleadings provide no material facts on which to base the central allegation that the corporate defendants warranted they would pay the face value of the vouchers. In the event I am incorrect in that conclusion, I have considered whether this claim raises a common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xml:space="preserve">  Similar problems arise when assessing this proposed common issue. The issue as framed presumes the existence of the alleged warranty, and it does not expressly allege that </w:t>
      </w:r>
      <w:r>
        <w:rPr>
          <w:rFonts w:ascii="arial" w:eastAsia="arial" w:hAnsi="arial" w:cs="arial"/>
          <w:i/>
          <w:color w:val="000000"/>
          <w:sz w:val="20"/>
          <w:lang w:val="en-US" w:eastAsia="en-US" w:bidi="ar-SA"/>
        </w:rPr>
        <w:t>the corporate defendants</w:t>
      </w:r>
      <w:r>
        <w:rPr>
          <w:rFonts w:ascii="arial" w:eastAsia="arial" w:hAnsi="arial" w:cs="arial"/>
          <w:color w:val="000000"/>
          <w:sz w:val="20"/>
          <w:lang w:val="en-US" w:eastAsia="en-US" w:bidi="ar-SA"/>
        </w:rPr>
        <w:t xml:space="preserve"> warranted to make the payments on the vouchers. Assuming that this is the intent, there is no basis in the evidence to show the existence of such an express warranty. There is some basis in the evidence to show the existence of an implied warranty, but this will require individual analysis of the information provided to each class member, due to the plaintiffs' reliance on various combinations of documents and oral representations.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The vouchers, the advertisements and the in-store signs and tags do not contain the express term that if consumers filled in the required information and returned the voucher within the specified time period they would receive the face value of the voucher from the corporate defendants. It could be said that the vouchers and the advertisements contained an implied term that if consumers followed the instructions on the voucher, they would receive payment, but both of these documents expressly state that the payment would come from Consumers Trust. It could also be said that the button logos "CASH$ $BACK" and "CONSUMER GUARANTEED" implied that the payments were guaranteed but by whom is not clear.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The plaintiffs submitted that this case calls on the court to interpret a standard form voucher and uniform representations in advertising and in-store signage, and while some class members may have received information from sales staff "that modified the effect of the standard contract and representations", the interpretation of the standard contracts and advertising will move the litigation forward in a material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xml:space="preserve">  I have already addressed this point in respect of the claim under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The problem identified there is greater in this context. The question of whether the vouchers, the advertisements and the in-store signage contain an implied warranty would be a common issue if all customers were exposed to the same written material. However, the evidence shows that they were not, and given that the plaintiffs rely not only on the written material but also the oral representations, the answer to this question will not move the litigation forward in a material way. This is not a case where the relief claimed relates only to separate contracts involving different class members. It is a case where the existence of a contract or warranty depends on different sources for each member.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xml:space="preserve">  In my view, determining whether there was an intention to be contractually bound by the advertisements and in-store signs and tags, and whether various oral representations constituted a warranty (express or implied), will require individual assessments. This is so not only because there is no uniform set of documents and oral representations made to each consumer, but also because generally, an action founded on a breach of an implied contractual term on the basis of presumed intention is not appropriately pursued on a class basis due to the need to consider the actual intention of the parties: see </w:t>
      </w:r>
      <w:r>
        <w:rPr>
          <w:rFonts w:ascii="arial" w:eastAsia="arial" w:hAnsi="arial" w:cs="arial"/>
          <w:i/>
          <w:color w:val="000000"/>
          <w:sz w:val="20"/>
          <w:lang w:val="en-US" w:eastAsia="en-US" w:bidi="ar-SA"/>
        </w:rPr>
        <w:t>Maclean v Telus Corp</w:t>
      </w:r>
      <w:r>
        <w:rPr>
          <w:rFonts w:ascii="arial" w:eastAsia="arial" w:hAnsi="arial" w:cs="arial"/>
          <w:color w:val="000000"/>
          <w:sz w:val="20"/>
          <w:lang w:val="en-US" w:eastAsia="en-US" w:bidi="ar-SA"/>
        </w:rPr>
        <w:t xml:space="preserve">, </w:t>
      </w:r>
      <w:hyperlink r:id="rId852" w:history="1">
        <w:r>
          <w:rPr>
            <w:rFonts w:ascii="arial" w:eastAsia="arial" w:hAnsi="arial" w:cs="arial"/>
            <w:i/>
            <w:color w:val="0077CC"/>
            <w:sz w:val="20"/>
            <w:u w:val="single"/>
            <w:shd w:val="clear" w:color="auto" w:fill="FFFFFF"/>
            <w:lang w:val="en-US" w:eastAsia="en-US" w:bidi="ar-SA"/>
          </w:rPr>
          <w:t>2006 BCSC 766</w:t>
        </w:r>
      </w:hyperlink>
      <w:r>
        <w:rPr>
          <w:rFonts w:ascii="arial" w:eastAsia="arial" w:hAnsi="arial" w:cs="arial"/>
          <w:color w:val="000000"/>
          <w:sz w:val="20"/>
          <w:lang w:val="en-US" w:eastAsia="en-US" w:bidi="ar-SA"/>
        </w:rPr>
        <w:t xml:space="preserve"> at paras. 38-40 (regarding the first point); </w:t>
      </w:r>
      <w:r>
        <w:rPr>
          <w:rFonts w:ascii="arial" w:eastAsia="arial" w:hAnsi="arial" w:cs="arial"/>
          <w:i/>
          <w:color w:val="000000"/>
          <w:sz w:val="20"/>
          <w:lang w:val="en-US" w:eastAsia="en-US" w:bidi="ar-SA"/>
        </w:rPr>
        <w:t>Matoni v CBS Interactive Multimedia Inc</w:t>
      </w:r>
      <w:r>
        <w:rPr>
          <w:rFonts w:ascii="arial" w:eastAsia="arial" w:hAnsi="arial" w:cs="arial"/>
          <w:color w:val="000000"/>
          <w:sz w:val="20"/>
          <w:lang w:val="en-US" w:eastAsia="en-US" w:bidi="ar-SA"/>
        </w:rPr>
        <w:t xml:space="preserve">, </w:t>
      </w:r>
      <w:hyperlink r:id="rId853" w:history="1">
        <w:r>
          <w:rPr>
            <w:rFonts w:ascii="arial" w:eastAsia="arial" w:hAnsi="arial" w:cs="arial"/>
            <w:i/>
            <w:color w:val="0077CC"/>
            <w:sz w:val="20"/>
            <w:u w:val="single"/>
            <w:shd w:val="clear" w:color="auto" w:fill="FFFFFF"/>
            <w:lang w:val="en-US" w:eastAsia="en-US" w:bidi="ar-SA"/>
          </w:rPr>
          <w:t>[2008] O.J. No. 197</w:t>
        </w:r>
      </w:hyperlink>
      <w:r>
        <w:rPr>
          <w:rFonts w:ascii="arial" w:eastAsia="arial" w:hAnsi="arial" w:cs="arial"/>
          <w:color w:val="000000"/>
          <w:sz w:val="20"/>
          <w:lang w:val="en-US" w:eastAsia="en-US" w:bidi="ar-SA"/>
        </w:rPr>
        <w:t xml:space="preserve"> (SC) at para. 115 and </w:t>
      </w:r>
      <w:r>
        <w:rPr>
          <w:rFonts w:ascii="arial" w:eastAsia="arial" w:hAnsi="arial" w:cs="arial"/>
          <w:i/>
          <w:color w:val="000000"/>
          <w:sz w:val="20"/>
          <w:lang w:val="en-US" w:eastAsia="en-US" w:bidi="ar-SA"/>
        </w:rPr>
        <w:t>Macleod v Viacom Entertainment Canada Inc</w:t>
      </w:r>
      <w:r>
        <w:rPr>
          <w:rFonts w:ascii="arial" w:eastAsia="arial" w:hAnsi="arial" w:cs="arial"/>
          <w:color w:val="000000"/>
          <w:sz w:val="20"/>
          <w:lang w:val="en-US" w:eastAsia="en-US" w:bidi="ar-SA"/>
        </w:rPr>
        <w:t xml:space="preserve">, </w:t>
      </w:r>
      <w:hyperlink r:id="rId854" w:history="1">
        <w:r>
          <w:rPr>
            <w:rFonts w:ascii="arial" w:eastAsia="arial" w:hAnsi="arial" w:cs="arial"/>
            <w:i/>
            <w:color w:val="0077CC"/>
            <w:sz w:val="20"/>
            <w:u w:val="single"/>
            <w:shd w:val="clear" w:color="auto" w:fill="FFFFFF"/>
            <w:lang w:val="en-US" w:eastAsia="en-US" w:bidi="ar-SA"/>
          </w:rPr>
          <w:t>[2003] O.J. No. 331</w:t>
        </w:r>
      </w:hyperlink>
      <w:r>
        <w:rPr>
          <w:rFonts w:ascii="arial" w:eastAsia="arial" w:hAnsi="arial" w:cs="arial"/>
          <w:color w:val="000000"/>
          <w:sz w:val="20"/>
          <w:lang w:val="en-US" w:eastAsia="en-US" w:bidi="ar-SA"/>
        </w:rPr>
        <w:t xml:space="preserve"> (SC) at para. 24 (regarding the second point). Similarly, the existence of a collateral contract requires proof of individual reliance.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xml:space="preserve">  These issues go to the very existence of the alleged contract or collateral contract, and they are not common. This is a different circumstance from </w:t>
      </w:r>
      <w:r>
        <w:rPr>
          <w:rFonts w:ascii="arial" w:eastAsia="arial" w:hAnsi="arial" w:cs="arial"/>
          <w:i/>
          <w:color w:val="000000"/>
          <w:sz w:val="20"/>
          <w:lang w:val="en-US" w:eastAsia="en-US" w:bidi="ar-SA"/>
        </w:rPr>
        <w:t>Jones v Zimmer GMBH</w:t>
      </w:r>
      <w:r>
        <w:rPr>
          <w:rFonts w:ascii="arial" w:eastAsia="arial" w:hAnsi="arial" w:cs="arial"/>
          <w:color w:val="000000"/>
          <w:sz w:val="20"/>
          <w:lang w:val="en-US" w:eastAsia="en-US" w:bidi="ar-SA"/>
        </w:rPr>
        <w:t xml:space="preserve">, </w:t>
      </w:r>
      <w:hyperlink r:id="rId855" w:history="1">
        <w:r>
          <w:rPr>
            <w:rFonts w:ascii="arial" w:eastAsia="arial" w:hAnsi="arial" w:cs="arial"/>
            <w:i/>
            <w:color w:val="0077CC"/>
            <w:sz w:val="20"/>
            <w:u w:val="single"/>
            <w:shd w:val="clear" w:color="auto" w:fill="FFFFFF"/>
            <w:lang w:val="en-US" w:eastAsia="en-US" w:bidi="ar-SA"/>
          </w:rPr>
          <w:t>2013 BCCA 21</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Stanway</w:t>
      </w:r>
      <w:r>
        <w:rPr>
          <w:rFonts w:ascii="arial" w:eastAsia="arial" w:hAnsi="arial" w:cs="arial"/>
          <w:color w:val="000000"/>
          <w:sz w:val="20"/>
          <w:lang w:val="en-US" w:eastAsia="en-US" w:bidi="ar-SA"/>
        </w:rPr>
        <w:t>, cases referred to me by the plaintiffs. These were product liability cases, not claims in contract, where there were clear liability issues common to all plaintiffs despite the existence of individual issues related to causation or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If the existence of the contract cannot be assessed commonly, then the issue of whether there was a breach by any of the defendants cannot be assessed commonly either.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2477"/>
        <w:gridCol w:w="238"/>
        <w:gridCol w:w="6090"/>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18"/>
                <w:lang w:val="en-US" w:eastAsia="en-US" w:bidi="ar-SA"/>
              </w:rPr>
              <w:t>i.</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18"/>
                <w:lang w:val="en-US" w:eastAsia="en-US" w:bidi="ar-SA"/>
              </w:rPr>
              <w:t>If any of the Defendants breached an express or implied term or warranty, what is the measure of damages?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Similarly, the issue of damages cannot be a common issue if the issue of whether there was a breach of an express or implied contractual term is not a common issue. In any event, there are numerous individual issues related to the measure of contractual damages such that they could not be assessed as a common issue. The plaintiffs effectively conceded this during submissions.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j.</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Did the Defendants or any of them owe the Class a duty of care to reasonably investigate the nature and reliability of the Cashable Voucher program?</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k.</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Did the Defendants or any of them breach their duty of care in the manner described in paragraphs 88, 91, 98, 104, 105, 108 and 109 (or elsewhere in) of the Consolidated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xml:space="preserve">  These proposed common issues combine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against the corporate defendants with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against Mr. Volken and Mr. Gerstner, and they also include allegations that the plaintiffs concede properly belong in the claim for negligent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xml:space="preserve">  I have already determined that there is no reasonable cause of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Old UFW and New UFW in respect of the duty to reasonably investigate the voucher program, and a similar claim is nevertheless made within the claim for negligent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In any event, the claim for negligent investigation cannot be properly assessed as a common issue because the plaintiffs have provided no evidentiary base on which to do so. There is no evidence as to what any of the defendants did or did not do, or that they knew or ought to have known that Consumers Trust would not remain solvent.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xml:space="preserve">  With respect to Mr. Volken and Mr. Gerstner, the plaintiffs claim that they owed a duty of care "to properly investigate and implement" the voucher program and to "accurately advise" the plaintiffs of its risks and benefits. The personal liability of these defendants is based on the assertion that they were "the guiding mind and will" of the corporate defendants, they "personally developed, investigated and directed the implementation" of the program, and they "made, personally engaged in, directed, authorized, permitted and acquiesced in negligent misrepresentations and other acts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When leave was granted to the plaintiffs to add Mr. Volken and Mr. Gerstner as defendants, I concluded that this paragraph did not properly particularize those allegations. At para. 54 of my reasons (</w:t>
      </w:r>
      <w:hyperlink r:id="rId856" w:history="1">
        <w:r>
          <w:rPr>
            <w:rFonts w:ascii="arial" w:eastAsia="arial" w:hAnsi="arial" w:cs="arial"/>
            <w:i/>
            <w:color w:val="0077CC"/>
            <w:sz w:val="20"/>
            <w:u w:val="single"/>
            <w:shd w:val="clear" w:color="auto" w:fill="FFFFFF"/>
            <w:lang w:val="en-US" w:eastAsia="en-US" w:bidi="ar-SA"/>
          </w:rPr>
          <w:t>2009 BCSC 1805</w:t>
        </w:r>
      </w:hyperlink>
      <w:r>
        <w:rPr>
          <w:rFonts w:ascii="arial" w:eastAsia="arial" w:hAnsi="arial" w:cs="arial"/>
          <w:color w:val="000000"/>
          <w:sz w:val="20"/>
          <w:lang w:val="en-US" w:eastAsia="en-US" w:bidi="ar-SA"/>
        </w:rPr>
        <w:t xml:space="preserve">, aff'd </w:t>
      </w:r>
      <w:hyperlink r:id="rId857" w:history="1">
        <w:r>
          <w:rPr>
            <w:rFonts w:ascii="arial" w:eastAsia="arial" w:hAnsi="arial" w:cs="arial"/>
            <w:i/>
            <w:color w:val="0077CC"/>
            <w:sz w:val="20"/>
            <w:u w:val="single"/>
            <w:shd w:val="clear" w:color="auto" w:fill="FFFFFF"/>
            <w:lang w:val="en-US" w:eastAsia="en-US" w:bidi="ar-SA"/>
          </w:rPr>
          <w:t>2012 BCCA 226</w:t>
        </w:r>
      </w:hyperlink>
      <w:r>
        <w:rPr>
          <w:rFonts w:ascii="arial" w:eastAsia="arial" w:hAnsi="arial" w:cs="arial"/>
          <w:color w:val="000000"/>
          <w:sz w:val="20"/>
          <w:lang w:val="en-US" w:eastAsia="en-US" w:bidi="ar-SA"/>
        </w:rPr>
        <w:t>), I noted: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There is no pleading of negligent misrepresentation as a separate cause of action against the directors, so this reference is confusing. The plaintiffs may make claims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but they must particularize those claims so that the defendants have proper notice of what is specifically being alleged.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xml:space="preserve">  The particulars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now set out in para. 106 of the Notice of Civil Claim are the same allegations of misrepresentations made against the corporate defendants - matters conceded by the plaintiffs to belong in the claim in negligent misrepresentation, not the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Importantly, there are no particulars directed to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Mr. Volken or Mr. Gerstner. This pleading does not comply with the directions I gave when granting leave to amend.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xml:space="preserve">  Not only have the plaintiffs failed to provide any particulars to support the bare allegations of personal involvement, they have failed to provide </w:t>
      </w:r>
      <w:r>
        <w:rPr>
          <w:rFonts w:ascii="arial" w:eastAsia="arial" w:hAnsi="arial" w:cs="arial"/>
          <w:i/>
          <w:color w:val="000000"/>
          <w:sz w:val="20"/>
          <w:lang w:val="en-US" w:eastAsia="en-US" w:bidi="ar-SA"/>
        </w:rPr>
        <w:t>any</w:t>
      </w:r>
      <w:r>
        <w:rPr>
          <w:rFonts w:ascii="arial" w:eastAsia="arial" w:hAnsi="arial" w:cs="arial"/>
          <w:color w:val="000000"/>
          <w:sz w:val="20"/>
          <w:lang w:val="en-US" w:eastAsia="en-US" w:bidi="ar-SA"/>
        </w:rPr>
        <w:t xml:space="preserve"> evidentiary base to support the existence of a personal duty of care owed by these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xml:space="preserve">  The potential liability of Mr. Volken and Mr. Gerstner as directors or officers of Old UFW is based on authority that permits such claims to be made where their conduct constitutes an independent tort or exhibits an identity or interest separate from that of the corporation. In </w:t>
      </w:r>
      <w:r>
        <w:rPr>
          <w:rFonts w:ascii="arial" w:eastAsia="arial" w:hAnsi="arial" w:cs="arial"/>
          <w:i/>
          <w:color w:val="000000"/>
          <w:sz w:val="20"/>
          <w:lang w:val="en-US" w:eastAsia="en-US" w:bidi="ar-SA"/>
        </w:rPr>
        <w:t>ScotiaMcLeod Inc v Peoples Jewellers Ltd</w:t>
      </w:r>
      <w:r>
        <w:rPr>
          <w:rFonts w:ascii="arial" w:eastAsia="arial" w:hAnsi="arial" w:cs="arial"/>
          <w:color w:val="000000"/>
          <w:sz w:val="20"/>
          <w:lang w:val="en-US" w:eastAsia="en-US" w:bidi="ar-SA"/>
        </w:rPr>
        <w:t xml:space="preserve">, </w:t>
      </w:r>
      <w:hyperlink r:id="rId858" w:history="1">
        <w:r>
          <w:rPr>
            <w:rFonts w:ascii="arial" w:eastAsia="arial" w:hAnsi="arial" w:cs="arial"/>
            <w:i/>
            <w:color w:val="0077CC"/>
            <w:sz w:val="20"/>
            <w:u w:val="single"/>
            <w:shd w:val="clear" w:color="auto" w:fill="FFFFFF"/>
            <w:lang w:val="en-US" w:eastAsia="en-US" w:bidi="ar-SA"/>
          </w:rPr>
          <w:t>[1995] O.J. No. 3556</w:t>
        </w:r>
      </w:hyperlink>
      <w:r>
        <w:rPr>
          <w:rFonts w:ascii="arial" w:eastAsia="arial" w:hAnsi="arial" w:cs="arial"/>
          <w:color w:val="000000"/>
          <w:sz w:val="20"/>
          <w:lang w:val="en-US" w:eastAsia="en-US" w:bidi="ar-SA"/>
        </w:rPr>
        <w:t xml:space="preserve"> (CA), leave to appeal ref'd </w:t>
      </w:r>
      <w:hyperlink r:id="rId859" w:history="1">
        <w:r>
          <w:rPr>
            <w:rFonts w:ascii="arial" w:eastAsia="arial" w:hAnsi="arial" w:cs="arial"/>
            <w:i/>
            <w:color w:val="0077CC"/>
            <w:sz w:val="20"/>
            <w:u w:val="single"/>
            <w:shd w:val="clear" w:color="auto" w:fill="FFFFFF"/>
            <w:lang w:val="en-US" w:eastAsia="en-US" w:bidi="ar-SA"/>
          </w:rPr>
          <w:t>[1996] SCCA No 40</w:t>
        </w:r>
      </w:hyperlink>
      <w:r>
        <w:rPr>
          <w:rFonts w:ascii="arial" w:eastAsia="arial" w:hAnsi="arial" w:cs="arial"/>
          <w:color w:val="000000"/>
          <w:sz w:val="20"/>
          <w:lang w:val="en-US" w:eastAsia="en-US" w:bidi="ar-SA"/>
        </w:rPr>
        <w:t xml:space="preserve">, the court made it clear that there must be some activity on the part of directors and officers that takes them out of the role of directing minds of the corporation, and the facts giving rise to such claims must be specifically pleaded. In this case, not only are no facts specifically pleaded, there is no evidence on which to assess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claims against these individual defendants as common issues. There is no evidence indicating that Mr. Volken and Mr. Gerstner were personally involved in developing, implementing or marketing the voucher program or that they knew or ought to have known that Consumers Trust would become insolvent before customers had the opportunity to redeem their vouchers.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Therefore, I have concluded that there is no evidentiary basis on which to find these to be common issues against any of these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5"/>
        <w:gridCol w:w="2398"/>
        <w:gridCol w:w="240"/>
        <w:gridCol w:w="5421"/>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35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18"/>
                <w:lang w:val="en-US" w:eastAsia="en-US" w:bidi="ar-SA"/>
              </w:rPr>
              <w:t>I.</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18"/>
                <w:lang w:val="en-US" w:eastAsia="en-US" w:bidi="ar-SA"/>
              </w:rPr>
              <w:t>Is the Cashable Voucher a "security" as defined by section 1 of the Securities Act, R.S.B.C. 1996 c. 418?</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xml:space="preserve">  This proposed issue stems from the allegation in para. 104 of the Notice of Civil Claim that Mr. Volken and Mr. Gerstner were negligent in failing to file and distribute a prospectus with respect to the voucher program. The plaintiffs suggested that this was also a claim made against the corporate defendants, as para. 103 provides that the corporate defendants offered the program without filing a prospectus, contrary to ss. 61 and 155 of the </w:t>
      </w:r>
      <w:r>
        <w:rPr>
          <w:rFonts w:ascii="arial" w:eastAsia="arial" w:hAnsi="arial" w:cs="arial"/>
          <w:i/>
          <w:color w:val="000000"/>
          <w:sz w:val="20"/>
          <w:lang w:val="en-US" w:eastAsia="en-US" w:bidi="ar-SA"/>
        </w:rPr>
        <w:t>Securities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xml:space="preserve">  Para. 103 does not allege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corporate defendants. In fact, such an allegation was removed from this paragraph at my direction when I granted leave to make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against Mr. Volken and Mr. Gerstner. At para. 64 of my reasons, I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my view, it is unnecessary and improper to allege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corporate defendants where no such claim is being made against them. The plaintiffs may claim that the Defendant Retailers offered the vouchers for sale without filing and providing a prospectus, without alleging that they did so negligently.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xml:space="preserve">  The issue of whether the voucher is a security could be a common issue. While there is no cause of action for breach of a statutory duty, breach of statute may be considered as evidence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Canada v Saskatchewan Wheat Pool</w:t>
      </w:r>
      <w:r>
        <w:rPr>
          <w:rFonts w:ascii="arial" w:eastAsia="arial" w:hAnsi="arial" w:cs="arial"/>
          <w:color w:val="000000"/>
          <w:sz w:val="20"/>
          <w:lang w:val="en-US" w:eastAsia="en-US" w:bidi="ar-SA"/>
        </w:rPr>
        <w:t xml:space="preserve">, </w:t>
      </w:r>
      <w:hyperlink r:id="rId860" w:history="1">
        <w:r>
          <w:rPr>
            <w:rFonts w:ascii="arial" w:eastAsia="arial" w:hAnsi="arial" w:cs="arial"/>
            <w:i/>
            <w:color w:val="0077CC"/>
            <w:sz w:val="20"/>
            <w:u w:val="single"/>
            <w:shd w:val="clear" w:color="auto" w:fill="FFFFFF"/>
            <w:lang w:val="en-US" w:eastAsia="en-US" w:bidi="ar-SA"/>
          </w:rPr>
          <w:t>[1983] 1 SCR 205</w:t>
        </w:r>
      </w:hyperlink>
      <w:r>
        <w:rPr>
          <w:rFonts w:ascii="arial" w:eastAsia="arial" w:hAnsi="arial" w:cs="arial"/>
          <w:color w:val="000000"/>
          <w:sz w:val="20"/>
          <w:lang w:val="en-US" w:eastAsia="en-US" w:bidi="ar-SA"/>
        </w:rPr>
        <w:t xml:space="preserve">. Ms. Reinertson pointed out that the plaintiffs provided no basis in fact to suggest that the voucher is a security, and she made extensive submissions on the types of security in the </w:t>
      </w:r>
      <w:r>
        <w:rPr>
          <w:rFonts w:ascii="arial" w:eastAsia="arial" w:hAnsi="arial" w:cs="arial"/>
          <w:i/>
          <w:color w:val="000000"/>
          <w:sz w:val="20"/>
          <w:lang w:val="en-US" w:eastAsia="en-US" w:bidi="ar-SA"/>
        </w:rPr>
        <w:t>Securities Act</w:t>
      </w:r>
      <w:r>
        <w:rPr>
          <w:rFonts w:ascii="arial" w:eastAsia="arial" w:hAnsi="arial" w:cs="arial"/>
          <w:color w:val="000000"/>
          <w:sz w:val="20"/>
          <w:lang w:val="en-US" w:eastAsia="en-US" w:bidi="ar-SA"/>
        </w:rPr>
        <w:t>. I see some of these submissions as going to the merits of the issue, and I do not find it necessary to discuss these legal principles. The plaintiffs made no submission on this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The real problem here is the lack of any evidentiary base on which to assess whether Mr. Volken or Mr. Gerstner owed a duty of care to the plaintiffs in the first place. Given this, a determination of this issue would not advance the litigation in any meaningful way.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m.</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If any of the Defendants breached their duty of care, what is the measure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This issue is not common where the issues of liability are not common. In any event, damages in tort require proof of causation between the breach of the duty of care and the resulting loss. I would not think this causal link could be inferred for all class members, and the assessment of damages would necessarily require individual inquiries.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Negligent misrepresentation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n.</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Did any of the Defendants owe a</w:t>
      </w:r>
    </w:p>
    <w:p>
      <w:pPr>
        <w:spacing w:before="120" w:line="260" w:lineRule="atLeast"/>
        <w:jc w:val="center"/>
        <w:rPr>
          <w:rFonts w:ascii="arial" w:eastAsia="arial" w:hAnsi="arial" w:cs="arial"/>
          <w:sz w:val="20"/>
          <w:lang w:val="en-US" w:eastAsia="en-US" w:bidi="ar-SA"/>
        </w:rPr>
      </w:pPr>
      <w:r>
        <w:rPr>
          <w:rFonts w:ascii="arial" w:eastAsia="arial" w:hAnsi="arial" w:cs="arial"/>
          <w:b/>
          <w:i/>
          <w:color w:val="000000"/>
          <w:sz w:val="20"/>
          <w:lang w:val="en-US" w:eastAsia="en-US" w:bidi="ar-SA"/>
        </w:rPr>
        <w:t xml:space="preserve"> duty of care to the Class to represent accurately the</w:t>
      </w:r>
    </w:p>
    <w:p>
      <w:pPr>
        <w:spacing w:before="120" w:line="260" w:lineRule="atLeast"/>
        <w:jc w:val="center"/>
        <w:rPr>
          <w:rFonts w:ascii="arial" w:eastAsia="arial" w:hAnsi="arial" w:cs="arial"/>
          <w:sz w:val="20"/>
          <w:lang w:val="en-US" w:eastAsia="en-US" w:bidi="ar-SA"/>
        </w:rPr>
      </w:pPr>
      <w:r>
        <w:rPr>
          <w:rFonts w:ascii="arial" w:eastAsia="arial" w:hAnsi="arial" w:cs="arial"/>
          <w:b/>
          <w:i/>
          <w:color w:val="000000"/>
          <w:sz w:val="20"/>
          <w:lang w:val="en-US" w:eastAsia="en-US" w:bidi="ar-SA"/>
        </w:rPr>
        <w:t xml:space="preserve"> facts relating to the Cashable Voucher program?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o.</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Did the Defendants or any of them breach their duty of care in the manner described in paragraphs 94, 95, 98, 106, 107 and 108 (or elsewhere in) of the Consolidated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xml:space="preserve">  My view is that this cause of action in negligent misrepresentation, in conjunction with the claim under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forms the essence of the plaintiffs' claims against the defendants. However, these proposed common issues face the same problems as those outlined above in respect of the claim under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but more so due to issues of reliance. They also face the same lack of an evidentiary base in respect of many of the allegations, especially those made against Mr. Volken and Mr. Gerstner.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xml:space="preserve">  I accept that the question of whether the defendants owe a duty of care to the plaintiffs is a common issue in the context of this tort claim. Within the elements required to prove a claim for negligent misrepresentation, however, numerous individual issues arise. This is demonstrated by examining the five elements of this cause of action, as set out in </w:t>
      </w:r>
      <w:r>
        <w:rPr>
          <w:rFonts w:ascii="arial" w:eastAsia="arial" w:hAnsi="arial" w:cs="arial"/>
          <w:i/>
          <w:color w:val="000000"/>
          <w:sz w:val="20"/>
          <w:lang w:val="en-US" w:eastAsia="en-US" w:bidi="ar-SA"/>
        </w:rPr>
        <w:t>Queen v Cognos</w:t>
      </w:r>
      <w:r>
        <w:rPr>
          <w:rFonts w:ascii="arial" w:eastAsia="arial" w:hAnsi="arial" w:cs="arial"/>
          <w:color w:val="000000"/>
          <w:sz w:val="20"/>
          <w:lang w:val="en-US" w:eastAsia="en-US" w:bidi="ar-SA"/>
        </w:rPr>
        <w:t xml:space="preserve">, </w:t>
      </w:r>
      <w:hyperlink r:id="rId14" w:history="1">
        <w:r>
          <w:rPr>
            <w:rFonts w:ascii="arial" w:eastAsia="arial" w:hAnsi="arial" w:cs="arial"/>
            <w:i/>
            <w:color w:val="0077CC"/>
            <w:sz w:val="20"/>
            <w:u w:val="single"/>
            <w:shd w:val="clear" w:color="auto" w:fill="FFFFFF"/>
            <w:lang w:val="en-US" w:eastAsia="en-US" w:bidi="ar-SA"/>
          </w:rPr>
          <w:t>[1993] 1 SCR 87</w:t>
        </w:r>
      </w:hyperlink>
      <w:r>
        <w:rPr>
          <w:rFonts w:ascii="arial" w:eastAsia="arial" w:hAnsi="arial" w:cs="arial"/>
          <w:color w:val="000000"/>
          <w:sz w:val="20"/>
          <w:lang w:val="en-US" w:eastAsia="en-US" w:bidi="ar-SA"/>
        </w:rPr>
        <w:t xml:space="preserve"> at para. 33: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(1) there must be a duty of care based on a "special relationship" between the representor and the representee; (2) the representation in question must be untrue, inaccurate, or misleading; (3) the representor must have acted negligently in making said misrepresentation; (4) the representee must have relied, in a reasonable manner, on said negligent misrepresentation; and (5) the reliance must have been detrimental to the representee in the sense that damages resulted.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xml:space="preserve">  First, as I have already reviewed, the evidence provided in this application demonstrates that there was no common representation made to all class members, such that the establishment of what representation was made cannot be done on a class-wide basis. Second, the element of reliance is an individual issue that cannot be resolved on a common basis in the context of this case. As noted by Strathy J. in </w:t>
      </w:r>
      <w:r>
        <w:rPr>
          <w:rFonts w:ascii="arial" w:eastAsia="arial" w:hAnsi="arial" w:cs="arial"/>
          <w:i/>
          <w:color w:val="000000"/>
          <w:sz w:val="20"/>
          <w:lang w:val="en-US" w:eastAsia="en-US" w:bidi="ar-SA"/>
        </w:rPr>
        <w:t>Singer v Schering-Plow Canada Inc</w:t>
      </w:r>
      <w:r>
        <w:rPr>
          <w:rFonts w:ascii="arial" w:eastAsia="arial" w:hAnsi="arial" w:cs="arial"/>
          <w:color w:val="000000"/>
          <w:sz w:val="20"/>
          <w:lang w:val="en-US" w:eastAsia="en-US" w:bidi="ar-SA"/>
        </w:rPr>
        <w:t xml:space="preserve">, </w:t>
      </w:r>
      <w:hyperlink r:id="rId861" w:history="1">
        <w:r>
          <w:rPr>
            <w:rFonts w:ascii="arial" w:eastAsia="arial" w:hAnsi="arial" w:cs="arial"/>
            <w:i/>
            <w:color w:val="0077CC"/>
            <w:sz w:val="20"/>
            <w:u w:val="single"/>
            <w:shd w:val="clear" w:color="auto" w:fill="FFFFFF"/>
            <w:lang w:val="en-US" w:eastAsia="en-US" w:bidi="ar-SA"/>
          </w:rPr>
          <w:t>2010 ONSC 42</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McKenna v Gammon Gold Inc</w:t>
      </w:r>
      <w:r>
        <w:rPr>
          <w:rFonts w:ascii="arial" w:eastAsia="arial" w:hAnsi="arial" w:cs="arial"/>
          <w:color w:val="000000"/>
          <w:sz w:val="20"/>
          <w:lang w:val="en-US" w:eastAsia="en-US" w:bidi="ar-SA"/>
        </w:rPr>
        <w:t xml:space="preserve">, </w:t>
      </w:r>
      <w:hyperlink r:id="rId862" w:history="1">
        <w:r>
          <w:rPr>
            <w:rFonts w:ascii="arial" w:eastAsia="arial" w:hAnsi="arial" w:cs="arial"/>
            <w:i/>
            <w:color w:val="0077CC"/>
            <w:sz w:val="20"/>
            <w:u w:val="single"/>
            <w:shd w:val="clear" w:color="auto" w:fill="FFFFFF"/>
            <w:lang w:val="en-US" w:eastAsia="en-US" w:bidi="ar-SA"/>
          </w:rPr>
          <w:t>2010 ONSC 1591</w:t>
        </w:r>
      </w:hyperlink>
      <w:r>
        <w:rPr>
          <w:rFonts w:ascii="arial" w:eastAsia="arial" w:hAnsi="arial" w:cs="arial"/>
          <w:color w:val="000000"/>
          <w:sz w:val="20"/>
          <w:lang w:val="en-US" w:eastAsia="en-US" w:bidi="ar-SA"/>
        </w:rPr>
        <w:t xml:space="preserve">, leave to appeal on this issue ref'd </w:t>
      </w:r>
      <w:hyperlink r:id="rId863" w:history="1">
        <w:r>
          <w:rPr>
            <w:rFonts w:ascii="arial" w:eastAsia="arial" w:hAnsi="arial" w:cs="arial"/>
            <w:i/>
            <w:color w:val="0077CC"/>
            <w:sz w:val="20"/>
            <w:u w:val="single"/>
            <w:shd w:val="clear" w:color="auto" w:fill="FFFFFF"/>
            <w:lang w:val="en-US" w:eastAsia="en-US" w:bidi="ar-SA"/>
          </w:rPr>
          <w:t>2010 ONSC 4068</w:t>
        </w:r>
      </w:hyperlink>
      <w:r>
        <w:rPr>
          <w:rFonts w:ascii="arial" w:eastAsia="arial" w:hAnsi="arial" w:cs="arial"/>
          <w:color w:val="000000"/>
          <w:sz w:val="20"/>
          <w:lang w:val="en-US" w:eastAsia="en-US" w:bidi="ar-SA"/>
        </w:rPr>
        <w:t xml:space="preserve"> (Div Ct), certification has been granted in claims based on negligent misrepresentation where the representations were limited, specific, and clearly defined, and made in circumstances where reliance could reasonably be inferred: see </w:t>
      </w:r>
      <w:r>
        <w:rPr>
          <w:rFonts w:ascii="arial" w:eastAsia="arial" w:hAnsi="arial" w:cs="arial"/>
          <w:i/>
          <w:color w:val="000000"/>
          <w:sz w:val="20"/>
          <w:lang w:val="en-US" w:eastAsia="en-US" w:bidi="ar-SA"/>
        </w:rPr>
        <w:t>Singer</w:t>
      </w:r>
      <w:r>
        <w:rPr>
          <w:rFonts w:ascii="arial" w:eastAsia="arial" w:hAnsi="arial" w:cs="arial"/>
          <w:color w:val="000000"/>
          <w:sz w:val="20"/>
          <w:lang w:val="en-US" w:eastAsia="en-US" w:bidi="ar-SA"/>
        </w:rPr>
        <w:t xml:space="preserve"> at para. 164, which provides a list of such cases, and </w:t>
      </w:r>
      <w:r>
        <w:rPr>
          <w:rFonts w:ascii="arial" w:eastAsia="arial" w:hAnsi="arial" w:cs="arial"/>
          <w:i/>
          <w:color w:val="000000"/>
          <w:sz w:val="20"/>
          <w:lang w:val="en-US" w:eastAsia="en-US" w:bidi="ar-SA"/>
        </w:rPr>
        <w:t>McKenna</w:t>
      </w:r>
      <w:r>
        <w:rPr>
          <w:rFonts w:ascii="arial" w:eastAsia="arial" w:hAnsi="arial" w:cs="arial"/>
          <w:color w:val="000000"/>
          <w:sz w:val="20"/>
          <w:lang w:val="en-US" w:eastAsia="en-US" w:bidi="ar-SA"/>
        </w:rPr>
        <w:t xml:space="preserve"> at paras. 135-137. Examples include </w:t>
      </w:r>
      <w:r>
        <w:rPr>
          <w:rFonts w:ascii="arial" w:eastAsia="arial" w:hAnsi="arial" w:cs="arial"/>
          <w:i/>
          <w:color w:val="000000"/>
          <w:sz w:val="20"/>
          <w:lang w:val="en-US" w:eastAsia="en-US" w:bidi="ar-SA"/>
        </w:rPr>
        <w:t>Hickey-Button</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Payne</w:t>
      </w:r>
      <w:r>
        <w:rPr>
          <w:rFonts w:ascii="arial" w:eastAsia="arial" w:hAnsi="arial" w:cs="arial"/>
          <w:color w:val="000000"/>
          <w:sz w:val="20"/>
          <w:lang w:val="en-US" w:eastAsia="en-US" w:bidi="ar-SA"/>
        </w:rPr>
        <w:t xml:space="preserve"> (</w:t>
      </w:r>
      <w:hyperlink r:id="rId830" w:history="1">
        <w:r>
          <w:rPr>
            <w:rFonts w:ascii="arial" w:eastAsia="arial" w:hAnsi="arial" w:cs="arial"/>
            <w:i/>
            <w:color w:val="0077CC"/>
            <w:sz w:val="20"/>
            <w:u w:val="single"/>
            <w:shd w:val="clear" w:color="auto" w:fill="FFFFFF"/>
            <w:lang w:val="en-US" w:eastAsia="en-US" w:bidi="ar-SA"/>
          </w:rPr>
          <w:t>2009 BCSC 530</w:t>
        </w:r>
      </w:hyperlink>
      <w:r>
        <w:rPr>
          <w:rFonts w:ascii="arial" w:eastAsia="arial" w:hAnsi="arial" w:cs="arial"/>
          <w:color w:val="000000"/>
          <w:sz w:val="20"/>
          <w:lang w:val="en-US" w:eastAsia="en-US" w:bidi="ar-SA"/>
        </w:rPr>
        <w:t>), to which I have already referred. I will only add that even where reliance can be inferred, the defendant has the right to rebut such an inference (</w:t>
      </w:r>
      <w:r>
        <w:rPr>
          <w:rFonts w:ascii="arial" w:eastAsia="arial" w:hAnsi="arial" w:cs="arial"/>
          <w:i/>
          <w:color w:val="000000"/>
          <w:sz w:val="20"/>
          <w:lang w:val="en-US" w:eastAsia="en-US" w:bidi="ar-SA"/>
        </w:rPr>
        <w:t>Hub Excavating Ltd v Orca Estates Ltd</w:t>
      </w:r>
      <w:r>
        <w:rPr>
          <w:rFonts w:ascii="arial" w:eastAsia="arial" w:hAnsi="arial" w:cs="arial"/>
          <w:color w:val="000000"/>
          <w:sz w:val="20"/>
          <w:lang w:val="en-US" w:eastAsia="en-US" w:bidi="ar-SA"/>
        </w:rPr>
        <w:t xml:space="preserve">, </w:t>
      </w:r>
      <w:hyperlink r:id="rId864" w:history="1">
        <w:r>
          <w:rPr>
            <w:rFonts w:ascii="arial" w:eastAsia="arial" w:hAnsi="arial" w:cs="arial"/>
            <w:i/>
            <w:color w:val="0077CC"/>
            <w:sz w:val="20"/>
            <w:u w:val="single"/>
            <w:shd w:val="clear" w:color="auto" w:fill="FFFFFF"/>
            <w:lang w:val="en-US" w:eastAsia="en-US" w:bidi="ar-SA"/>
          </w:rPr>
          <w:t>2009 BCCA 167</w:t>
        </w:r>
      </w:hyperlink>
      <w:r>
        <w:rPr>
          <w:rFonts w:ascii="arial" w:eastAsia="arial" w:hAnsi="arial" w:cs="arial"/>
          <w:color w:val="000000"/>
          <w:sz w:val="20"/>
          <w:lang w:val="en-US" w:eastAsia="en-US" w:bidi="ar-SA"/>
        </w:rPr>
        <w:t xml:space="preserve"> at para. 54), and this may require individual assessments, depending on the context.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p.</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If any of the Defendants breached their duty of care, what is the measure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measure</w:t>
      </w:r>
      <w:r>
        <w:rPr>
          <w:rFonts w:ascii="arial" w:eastAsia="arial" w:hAnsi="arial" w:cs="arial"/>
          <w:color w:val="000000"/>
          <w:sz w:val="20"/>
          <w:lang w:val="en-US" w:eastAsia="en-US" w:bidi="ar-SA"/>
        </w:rPr>
        <w:t xml:space="preserve"> of damages for negligent misrepresentation is a question of law. A plaintiff is entitled to be put into the position that he or she would have been in if the representation had not been made: </w:t>
      </w:r>
      <w:r>
        <w:rPr>
          <w:rFonts w:ascii="arial" w:eastAsia="arial" w:hAnsi="arial" w:cs="arial"/>
          <w:i/>
          <w:color w:val="000000"/>
          <w:sz w:val="20"/>
          <w:lang w:val="en-US" w:eastAsia="en-US" w:bidi="ar-SA"/>
        </w:rPr>
        <w:t>Payne v Eagle Ridge Pontiac GMC Ltd.</w:t>
      </w:r>
      <w:r>
        <w:rPr>
          <w:rFonts w:ascii="arial" w:eastAsia="arial" w:hAnsi="arial" w:cs="arial"/>
          <w:color w:val="000000"/>
          <w:sz w:val="20"/>
          <w:lang w:val="en-US" w:eastAsia="en-US" w:bidi="ar-SA"/>
        </w:rPr>
        <w:t xml:space="preserve">, </w:t>
      </w:r>
      <w:hyperlink r:id="rId865" w:history="1">
        <w:r>
          <w:rPr>
            <w:rFonts w:ascii="arial" w:eastAsia="arial" w:hAnsi="arial" w:cs="arial"/>
            <w:i/>
            <w:color w:val="0077CC"/>
            <w:sz w:val="20"/>
            <w:u w:val="single"/>
            <w:shd w:val="clear" w:color="auto" w:fill="FFFFFF"/>
            <w:lang w:val="en-US" w:eastAsia="en-US" w:bidi="ar-SA"/>
          </w:rPr>
          <w:t>2010 BCSC 1085</w:t>
        </w:r>
      </w:hyperlink>
      <w:r>
        <w:rPr>
          <w:rFonts w:ascii="arial" w:eastAsia="arial" w:hAnsi="arial" w:cs="arial"/>
          <w:color w:val="000000"/>
          <w:sz w:val="20"/>
          <w:lang w:val="en-US" w:eastAsia="en-US" w:bidi="ar-SA"/>
        </w:rPr>
        <w:t xml:space="preserve"> at paras. 12-13. What this means in the context of this case could be a common issue. For example, in </w:t>
      </w:r>
      <w:r>
        <w:rPr>
          <w:rFonts w:ascii="arial" w:eastAsia="arial" w:hAnsi="arial" w:cs="arial"/>
          <w:i/>
          <w:color w:val="000000"/>
          <w:sz w:val="20"/>
          <w:lang w:val="en-US" w:eastAsia="en-US" w:bidi="ar-SA"/>
        </w:rPr>
        <w:t>Payne</w:t>
      </w:r>
      <w:r>
        <w:rPr>
          <w:rFonts w:ascii="arial" w:eastAsia="arial" w:hAnsi="arial" w:cs="arial"/>
          <w:color w:val="000000"/>
          <w:sz w:val="20"/>
          <w:lang w:val="en-US" w:eastAsia="en-US" w:bidi="ar-SA"/>
        </w:rPr>
        <w:t xml:space="preserve"> (</w:t>
      </w:r>
      <w:hyperlink r:id="rId865" w:history="1">
        <w:r>
          <w:rPr>
            <w:rFonts w:ascii="arial" w:eastAsia="arial" w:hAnsi="arial" w:cs="arial"/>
            <w:i/>
            <w:color w:val="0077CC"/>
            <w:sz w:val="20"/>
            <w:u w:val="single"/>
            <w:shd w:val="clear" w:color="auto" w:fill="FFFFFF"/>
            <w:lang w:val="en-US" w:eastAsia="en-US" w:bidi="ar-SA"/>
          </w:rPr>
          <w:t>2010 BCSC 1085</w:t>
        </w:r>
      </w:hyperlink>
      <w:r>
        <w:rPr>
          <w:rFonts w:ascii="arial" w:eastAsia="arial" w:hAnsi="arial" w:cs="arial"/>
          <w:color w:val="000000"/>
          <w:sz w:val="20"/>
          <w:lang w:val="en-US" w:eastAsia="en-US" w:bidi="ar-SA"/>
        </w:rPr>
        <w:t xml:space="preserve">) at paras. 16-17, it was held that the loss incurred by the plaintiff due to the failure to pay the value of the voucher was the difference between the price paid for the goods (there a vehicle) and its market value at the date of purchase. If this proposed common issue is intended to encompass the amount of damages to which the plaintiffs would be entitled, and damages were assessed on the same basis as those in </w:t>
      </w:r>
      <w:r>
        <w:rPr>
          <w:rFonts w:ascii="arial" w:eastAsia="arial" w:hAnsi="arial" w:cs="arial"/>
          <w:i/>
          <w:color w:val="000000"/>
          <w:sz w:val="20"/>
          <w:lang w:val="en-US" w:eastAsia="en-US" w:bidi="ar-SA"/>
        </w:rPr>
        <w:t>Payne</w:t>
      </w:r>
      <w:r>
        <w:rPr>
          <w:rFonts w:ascii="arial" w:eastAsia="arial" w:hAnsi="arial" w:cs="arial"/>
          <w:color w:val="000000"/>
          <w:sz w:val="20"/>
          <w:lang w:val="en-US" w:eastAsia="en-US" w:bidi="ar-SA"/>
        </w:rPr>
        <w:t xml:space="preserve"> (</w:t>
      </w:r>
      <w:hyperlink r:id="rId865" w:history="1">
        <w:r>
          <w:rPr>
            <w:rFonts w:ascii="arial" w:eastAsia="arial" w:hAnsi="arial" w:cs="arial"/>
            <w:i/>
            <w:color w:val="0077CC"/>
            <w:sz w:val="20"/>
            <w:u w:val="single"/>
            <w:shd w:val="clear" w:color="auto" w:fill="FFFFFF"/>
            <w:lang w:val="en-US" w:eastAsia="en-US" w:bidi="ar-SA"/>
          </w:rPr>
          <w:t>2010 BCSC 1085</w:t>
        </w:r>
      </w:hyperlink>
      <w:r>
        <w:rPr>
          <w:rFonts w:ascii="arial" w:eastAsia="arial" w:hAnsi="arial" w:cs="arial"/>
          <w:color w:val="000000"/>
          <w:sz w:val="20"/>
          <w:lang w:val="en-US" w:eastAsia="en-US" w:bidi="ar-SA"/>
        </w:rPr>
        <w:t>), this again necessarily involves individual inquiries regarding the goods purchased and the market value of those goods at that time.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Conclusion on common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xml:space="preserve">  The plaintiffs' claims raise few common issues because of the basis on which the claims are made. If this case were concerned with determining whether one set of specific written representations made to all members of the class constituted deceptive or misleading acts under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or negligent misrepresentations, I would agree with the plaintiffs that those issues in relation to liability could be certified as common notwithstanding the existence of individual issues in relation to the question of damages. The same can be said in respect of a claim in contract. However, this is not such a case. There are too many variables to consider in determining what acts or omissions constitute a deceptive act or practice, what representations were made to each class member or what constituted the terms of a contract or warranty. A determination of the few common issues that I have discerned would not, in my opinion, advance this litigation in a material way.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 The class proceeding is the preferable procedure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xml:space="preserve">  The goals of the </w:t>
      </w:r>
      <w:r>
        <w:rPr>
          <w:rFonts w:ascii="arial" w:eastAsia="arial" w:hAnsi="arial" w:cs="arial"/>
          <w:i/>
          <w:color w:val="000000"/>
          <w:sz w:val="20"/>
          <w:lang w:val="en-US" w:eastAsia="en-US" w:bidi="ar-SA"/>
        </w:rPr>
        <w:t>Class Proceedings Act</w:t>
      </w:r>
      <w:r>
        <w:rPr>
          <w:rFonts w:ascii="arial" w:eastAsia="arial" w:hAnsi="arial" w:cs="arial"/>
          <w:color w:val="000000"/>
          <w:sz w:val="20"/>
          <w:lang w:val="en-US" w:eastAsia="en-US" w:bidi="ar-SA"/>
        </w:rPr>
        <w:t xml:space="preserve"> - judicial economy, access to justice and behaviour modification - form the backdrop to an analysis of whether a class proceeding is the preferable procedure. In this analysis, two questions predominate: (a) whether a class proceeding would be a fair, efficient and manageable method of advancing the claim, and (b) whether a class proceeding would be preferable to other procedures such as joinder, test cases or consolidation. This stems from </w:t>
      </w:r>
      <w:r>
        <w:rPr>
          <w:rFonts w:ascii="arial" w:eastAsia="arial" w:hAnsi="arial" w:cs="arial"/>
          <w:i/>
          <w:color w:val="000000"/>
          <w:sz w:val="20"/>
          <w:lang w:val="en-US" w:eastAsia="en-US" w:bidi="ar-SA"/>
        </w:rPr>
        <w:t>Hollick</w:t>
      </w:r>
      <w:r>
        <w:rPr>
          <w:rFonts w:ascii="arial" w:eastAsia="arial" w:hAnsi="arial" w:cs="arial"/>
          <w:color w:val="000000"/>
          <w:sz w:val="20"/>
          <w:lang w:val="en-US" w:eastAsia="en-US" w:bidi="ar-SA"/>
        </w:rPr>
        <w:t xml:space="preserve"> at paras. 27-28 and the court's direction that "preferable" was meant to be construed broadly.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xml:space="preserve">  As I indicated above, s. 4(2) of the </w:t>
      </w:r>
      <w:r>
        <w:rPr>
          <w:rFonts w:ascii="arial" w:eastAsia="arial" w:hAnsi="arial" w:cs="arial"/>
          <w:i/>
          <w:color w:val="000000"/>
          <w:sz w:val="20"/>
          <w:lang w:val="en-US" w:eastAsia="en-US" w:bidi="ar-SA"/>
        </w:rPr>
        <w:t>Class Proceedings Act</w:t>
      </w:r>
      <w:r>
        <w:rPr>
          <w:rFonts w:ascii="arial" w:eastAsia="arial" w:hAnsi="arial" w:cs="arial"/>
          <w:color w:val="000000"/>
          <w:sz w:val="20"/>
          <w:lang w:val="en-US" w:eastAsia="en-US" w:bidi="ar-SA"/>
        </w:rPr>
        <w:t xml:space="preserve"> directs the court to consider all relevant matters "[i]n determining whether a class proceeding would be the preferable procedure for the fair and efficient resolution of the common issues", including (a) whether questions of fact or law common to the members of the class predominate over any questions affecting only individual members, and (d) whether other means of resolving the claims are less practical or less efficient.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xml:space="preserve">  In assessing the first question of a fair, efficient and manageable method of advancing the claim, the common issues must be considered in the context of the entire claim. It is important to establish that the resolution of the common issue will significantly advance the action. In assessing the second question of preferability to other procedures, the court must look to all reasonably available means of resolving the class members' claims, not just at the possibility of individual actions: see </w:t>
      </w:r>
      <w:r>
        <w:rPr>
          <w:rFonts w:ascii="arial" w:eastAsia="arial" w:hAnsi="arial" w:cs="arial"/>
          <w:i/>
          <w:color w:val="000000"/>
          <w:sz w:val="20"/>
          <w:lang w:val="en-US" w:eastAsia="en-US" w:bidi="ar-SA"/>
        </w:rPr>
        <w:t>Hollick</w:t>
      </w:r>
      <w:r>
        <w:rPr>
          <w:rFonts w:ascii="arial" w:eastAsia="arial" w:hAnsi="arial" w:cs="arial"/>
          <w:color w:val="000000"/>
          <w:sz w:val="20"/>
          <w:lang w:val="en-US" w:eastAsia="en-US" w:bidi="ar-SA"/>
        </w:rPr>
        <w:t xml:space="preserve"> at paras. 28-31. There is no onus on the defendant to propose a viable alternative to a class proceeding: </w:t>
      </w:r>
      <w:r>
        <w:rPr>
          <w:rFonts w:ascii="arial" w:eastAsia="arial" w:hAnsi="arial" w:cs="arial"/>
          <w:i/>
          <w:color w:val="000000"/>
          <w:sz w:val="20"/>
          <w:lang w:val="en-US" w:eastAsia="en-US" w:bidi="ar-SA"/>
        </w:rPr>
        <w:t>Gariepy</w:t>
      </w:r>
      <w:r>
        <w:rPr>
          <w:rFonts w:ascii="arial" w:eastAsia="arial" w:hAnsi="arial" w:cs="arial"/>
          <w:color w:val="000000"/>
          <w:sz w:val="20"/>
          <w:lang w:val="en-US" w:eastAsia="en-US" w:bidi="ar-SA"/>
        </w:rPr>
        <w:t xml:space="preserve"> at para. 72.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The plaintiffs' primary submission focused on access to justice. They submitted that access to justice is the overriding consideration in assessing preferability and this is achieved in a class proceeding where there are many claims which are generally too small to justify individual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xml:space="preserve">  I agree that this is an important factor but I do not agree that it necessarily overrides other relevant considerations. This was recognized in </w:t>
      </w:r>
      <w:r>
        <w:rPr>
          <w:rFonts w:ascii="arial" w:eastAsia="arial" w:hAnsi="arial" w:cs="arial"/>
          <w:i/>
          <w:color w:val="000000"/>
          <w:sz w:val="20"/>
          <w:lang w:val="en-US" w:eastAsia="en-US" w:bidi="ar-SA"/>
        </w:rPr>
        <w:t>Anderson v Wilson</w:t>
      </w:r>
      <w:r>
        <w:rPr>
          <w:rFonts w:ascii="arial" w:eastAsia="arial" w:hAnsi="arial" w:cs="arial"/>
          <w:color w:val="000000"/>
          <w:sz w:val="20"/>
          <w:lang w:val="en-US" w:eastAsia="en-US" w:bidi="ar-SA"/>
        </w:rPr>
        <w:t xml:space="preserve">, </w:t>
      </w:r>
      <w:hyperlink r:id="rId866" w:history="1">
        <w:r>
          <w:rPr>
            <w:rFonts w:ascii="arial" w:eastAsia="arial" w:hAnsi="arial" w:cs="arial"/>
            <w:i/>
            <w:color w:val="0077CC"/>
            <w:sz w:val="20"/>
            <w:u w:val="single"/>
            <w:shd w:val="clear" w:color="auto" w:fill="FFFFFF"/>
            <w:lang w:val="en-US" w:eastAsia="en-US" w:bidi="ar-SA"/>
          </w:rPr>
          <w:t>[1997] O.J. No. 548</w:t>
        </w:r>
      </w:hyperlink>
      <w:r>
        <w:rPr>
          <w:rFonts w:ascii="arial" w:eastAsia="arial" w:hAnsi="arial" w:cs="arial"/>
          <w:color w:val="000000"/>
          <w:sz w:val="20"/>
          <w:lang w:val="en-US" w:eastAsia="en-US" w:bidi="ar-SA"/>
        </w:rPr>
        <w:t xml:space="preserve"> (Gen Div), rev'd in part (on other grounds) </w:t>
      </w:r>
      <w:hyperlink r:id="rId867" w:history="1">
        <w:r>
          <w:rPr>
            <w:rFonts w:ascii="arial" w:eastAsia="arial" w:hAnsi="arial" w:cs="arial"/>
            <w:i/>
            <w:color w:val="0077CC"/>
            <w:sz w:val="20"/>
            <w:u w:val="single"/>
            <w:shd w:val="clear" w:color="auto" w:fill="FFFFFF"/>
            <w:lang w:val="en-US" w:eastAsia="en-US" w:bidi="ar-SA"/>
          </w:rPr>
          <w:t>[1998] O.J. No. 671</w:t>
        </w:r>
      </w:hyperlink>
      <w:r>
        <w:rPr>
          <w:rFonts w:ascii="arial" w:eastAsia="arial" w:hAnsi="arial" w:cs="arial"/>
          <w:color w:val="000000"/>
          <w:sz w:val="20"/>
          <w:lang w:val="en-US" w:eastAsia="en-US" w:bidi="ar-SA"/>
        </w:rPr>
        <w:t xml:space="preserve"> (Div Ct), rev'd </w:t>
      </w:r>
      <w:hyperlink r:id="rId868" w:history="1">
        <w:r>
          <w:rPr>
            <w:rFonts w:ascii="arial" w:eastAsia="arial" w:hAnsi="arial" w:cs="arial"/>
            <w:i/>
            <w:color w:val="0077CC"/>
            <w:sz w:val="20"/>
            <w:u w:val="single"/>
            <w:shd w:val="clear" w:color="auto" w:fill="FFFFFF"/>
            <w:lang w:val="en-US" w:eastAsia="en-US" w:bidi="ar-SA"/>
          </w:rPr>
          <w:t>[1999] O.J. No. 2494</w:t>
        </w:r>
      </w:hyperlink>
      <w:r>
        <w:rPr>
          <w:rFonts w:ascii="arial" w:eastAsia="arial" w:hAnsi="arial" w:cs="arial"/>
          <w:color w:val="000000"/>
          <w:sz w:val="20"/>
          <w:lang w:val="en-US" w:eastAsia="en-US" w:bidi="ar-SA"/>
        </w:rPr>
        <w:t xml:space="preserve"> (CA), leave to appeal ref'd </w:t>
      </w:r>
      <w:hyperlink r:id="rId869" w:history="1">
        <w:r>
          <w:rPr>
            <w:rFonts w:ascii="arial" w:eastAsia="arial" w:hAnsi="arial" w:cs="arial"/>
            <w:i/>
            <w:color w:val="0077CC"/>
            <w:sz w:val="20"/>
            <w:u w:val="single"/>
            <w:shd w:val="clear" w:color="auto" w:fill="FFFFFF"/>
            <w:lang w:val="en-US" w:eastAsia="en-US" w:bidi="ar-SA"/>
          </w:rPr>
          <w:t>[1999] SCCA No 476</w:t>
        </w:r>
      </w:hyperlink>
      <w:r>
        <w:rPr>
          <w:rFonts w:ascii="arial" w:eastAsia="arial" w:hAnsi="arial" w:cs="arial"/>
          <w:color w:val="000000"/>
          <w:sz w:val="20"/>
          <w:lang w:val="en-US" w:eastAsia="en-US" w:bidi="ar-SA"/>
        </w:rPr>
        <w:t xml:space="preserve">, where it was held that the existence of numerous fairly modest claims is only "a strong factor" in favour of certification. Moreover, in that case, as well as others cited by the plaintiffs on this point, the claims raised common issues that moved the litigation forward. For example, in </w:t>
      </w:r>
      <w:r>
        <w:rPr>
          <w:rFonts w:ascii="arial" w:eastAsia="arial" w:hAnsi="arial" w:cs="arial"/>
          <w:i/>
          <w:color w:val="000000"/>
          <w:sz w:val="20"/>
          <w:lang w:val="en-US" w:eastAsia="en-US" w:bidi="ar-SA"/>
        </w:rPr>
        <w:t>Anderson,</w:t>
      </w:r>
      <w:r>
        <w:rPr>
          <w:rFonts w:ascii="arial" w:eastAsia="arial" w:hAnsi="arial" w:cs="arial"/>
          <w:color w:val="000000"/>
          <w:sz w:val="20"/>
          <w:lang w:val="en-US" w:eastAsia="en-US" w:bidi="ar-SA"/>
        </w:rPr>
        <w:t xml:space="preserve"> issues of liability, punitive and exemplary damages were common issues; in </w:t>
      </w:r>
      <w:r>
        <w:rPr>
          <w:rFonts w:ascii="arial" w:eastAsia="arial" w:hAnsi="arial" w:cs="arial"/>
          <w:i/>
          <w:color w:val="000000"/>
          <w:sz w:val="20"/>
          <w:lang w:val="en-US" w:eastAsia="en-US" w:bidi="ar-SA"/>
        </w:rPr>
        <w:t>Nantais v Telectronics Proprietary (Canada) Ltd</w:t>
      </w:r>
      <w:r>
        <w:rPr>
          <w:rFonts w:ascii="arial" w:eastAsia="arial" w:hAnsi="arial" w:cs="arial"/>
          <w:color w:val="000000"/>
          <w:sz w:val="20"/>
          <w:lang w:val="en-US" w:eastAsia="en-US" w:bidi="ar-SA"/>
        </w:rPr>
        <w:t xml:space="preserve">, </w:t>
      </w:r>
      <w:hyperlink r:id="rId870" w:history="1">
        <w:r>
          <w:rPr>
            <w:rFonts w:ascii="arial" w:eastAsia="arial" w:hAnsi="arial" w:cs="arial"/>
            <w:i/>
            <w:color w:val="0077CC"/>
            <w:sz w:val="20"/>
            <w:u w:val="single"/>
            <w:shd w:val="clear" w:color="auto" w:fill="FFFFFF"/>
            <w:lang w:val="en-US" w:eastAsia="en-US" w:bidi="ar-SA"/>
          </w:rPr>
          <w:t>[1995] O.J. No. 2592</w:t>
        </w:r>
      </w:hyperlink>
      <w:r>
        <w:rPr>
          <w:rFonts w:ascii="arial" w:eastAsia="arial" w:hAnsi="arial" w:cs="arial"/>
          <w:color w:val="000000"/>
          <w:sz w:val="20"/>
          <w:lang w:val="en-US" w:eastAsia="en-US" w:bidi="ar-SA"/>
        </w:rPr>
        <w:t xml:space="preserve"> (Gen Div), leave to appeal ref'd </w:t>
      </w:r>
      <w:hyperlink r:id="rId871" w:history="1">
        <w:r>
          <w:rPr>
            <w:rFonts w:ascii="arial" w:eastAsia="arial" w:hAnsi="arial" w:cs="arial"/>
            <w:i/>
            <w:color w:val="0077CC"/>
            <w:sz w:val="20"/>
            <w:u w:val="single"/>
            <w:shd w:val="clear" w:color="auto" w:fill="FFFFFF"/>
            <w:lang w:val="en-US" w:eastAsia="en-US" w:bidi="ar-SA"/>
          </w:rPr>
          <w:t>[1995] O.J. No. 3069</w:t>
        </w:r>
      </w:hyperlink>
      <w:r>
        <w:rPr>
          <w:rFonts w:ascii="arial" w:eastAsia="arial" w:hAnsi="arial" w:cs="arial"/>
          <w:color w:val="000000"/>
          <w:sz w:val="20"/>
          <w:lang w:val="en-US" w:eastAsia="en-US" w:bidi="ar-SA"/>
        </w:rPr>
        <w:t xml:space="preserve"> (Div Ct), the primary issue of liability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a common issue; and in </w:t>
      </w:r>
      <w:r>
        <w:rPr>
          <w:rFonts w:ascii="arial" w:eastAsia="arial" w:hAnsi="arial" w:cs="arial"/>
          <w:i/>
          <w:color w:val="000000"/>
          <w:sz w:val="20"/>
          <w:lang w:val="en-US" w:eastAsia="en-US" w:bidi="ar-SA"/>
        </w:rPr>
        <w:t>Campbell</w:t>
      </w:r>
      <w:r>
        <w:rPr>
          <w:rFonts w:ascii="arial" w:eastAsia="arial" w:hAnsi="arial" w:cs="arial"/>
          <w:color w:val="000000"/>
          <w:sz w:val="20"/>
          <w:lang w:val="en-US" w:eastAsia="en-US" w:bidi="ar-SA"/>
        </w:rPr>
        <w:t>, the primary issue of whether goods were fit for their intended purpose was a common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xml:space="preserve">  It cannot be forgotten that a class proceeding must be the preferable procedure for resolving </w:t>
      </w:r>
      <w:r>
        <w:rPr>
          <w:rFonts w:ascii="arial" w:eastAsia="arial" w:hAnsi="arial" w:cs="arial"/>
          <w:i/>
          <w:color w:val="000000"/>
          <w:sz w:val="20"/>
          <w:lang w:val="en-US" w:eastAsia="en-US" w:bidi="ar-SA"/>
        </w:rPr>
        <w:t>the common issues</w:t>
      </w:r>
      <w:r>
        <w:rPr>
          <w:rFonts w:ascii="arial" w:eastAsia="arial" w:hAnsi="arial" w:cs="arial"/>
          <w:color w:val="000000"/>
          <w:sz w:val="20"/>
          <w:lang w:val="en-US" w:eastAsia="en-US" w:bidi="ar-SA"/>
        </w:rPr>
        <w:t xml:space="preserve">, as reflected in s. 4(2) of the </w:t>
      </w:r>
      <w:r>
        <w:rPr>
          <w:rFonts w:ascii="arial" w:eastAsia="arial" w:hAnsi="arial" w:cs="arial"/>
          <w:i/>
          <w:color w:val="000000"/>
          <w:sz w:val="20"/>
          <w:lang w:val="en-US" w:eastAsia="en-US" w:bidi="ar-SA"/>
        </w:rPr>
        <w:t>Class Proceedings Act</w:t>
      </w:r>
      <w:r>
        <w:rPr>
          <w:rFonts w:ascii="arial" w:eastAsia="arial" w:hAnsi="arial" w:cs="arial"/>
          <w:color w:val="000000"/>
          <w:sz w:val="20"/>
          <w:lang w:val="en-US" w:eastAsia="en-US" w:bidi="ar-SA"/>
        </w:rPr>
        <w:t xml:space="preserve">: see also </w:t>
      </w:r>
      <w:r>
        <w:rPr>
          <w:rFonts w:ascii="arial" w:eastAsia="arial" w:hAnsi="arial" w:cs="arial"/>
          <w:i/>
          <w:color w:val="000000"/>
          <w:sz w:val="20"/>
          <w:lang w:val="en-US" w:eastAsia="en-US" w:bidi="ar-SA"/>
        </w:rPr>
        <w:t>Campbell</w:t>
      </w:r>
      <w:r>
        <w:rPr>
          <w:rFonts w:ascii="arial" w:eastAsia="arial" w:hAnsi="arial" w:cs="arial"/>
          <w:color w:val="000000"/>
          <w:sz w:val="20"/>
          <w:lang w:val="en-US" w:eastAsia="en-US" w:bidi="ar-SA"/>
        </w:rPr>
        <w:t xml:space="preserve"> at para. 65. Here, there are no common issues that can move the litigation forward in other than a minimal way. In such circumstances, the fact that a class proceeding may be the only practical procedure available to the plaintiffs cannot justify certification of an unworkable class proceeding that involves individual evidence and fact-finding. As Winkler J. (as he then was) held in </w:t>
      </w:r>
      <w:r>
        <w:rPr>
          <w:rFonts w:ascii="arial" w:eastAsia="arial" w:hAnsi="arial" w:cs="arial"/>
          <w:i/>
          <w:color w:val="000000"/>
          <w:sz w:val="20"/>
          <w:lang w:val="en-US" w:eastAsia="en-US" w:bidi="ar-SA"/>
        </w:rPr>
        <w:t>Caputo v Imperial Tobacco Ltd</w:t>
      </w:r>
      <w:r>
        <w:rPr>
          <w:rFonts w:ascii="arial" w:eastAsia="arial" w:hAnsi="arial" w:cs="arial"/>
          <w:color w:val="000000"/>
          <w:sz w:val="20"/>
          <w:lang w:val="en-US" w:eastAsia="en-US" w:bidi="ar-SA"/>
        </w:rPr>
        <w:t xml:space="preserve">, </w:t>
      </w:r>
      <w:hyperlink r:id="rId872" w:history="1">
        <w:r>
          <w:rPr>
            <w:rFonts w:ascii="arial" w:eastAsia="arial" w:hAnsi="arial" w:cs="arial"/>
            <w:i/>
            <w:color w:val="0077CC"/>
            <w:sz w:val="20"/>
            <w:u w:val="single"/>
            <w:shd w:val="clear" w:color="auto" w:fill="FFFFFF"/>
            <w:lang w:val="en-US" w:eastAsia="en-US" w:bidi="ar-SA"/>
          </w:rPr>
          <w:t>[2004] O.J. No. 299</w:t>
        </w:r>
      </w:hyperlink>
      <w:r>
        <w:rPr>
          <w:rFonts w:ascii="arial" w:eastAsia="arial" w:hAnsi="arial" w:cs="arial"/>
          <w:color w:val="000000"/>
          <w:sz w:val="20"/>
          <w:lang w:val="en-US" w:eastAsia="en-US" w:bidi="ar-SA"/>
        </w:rPr>
        <w:t xml:space="preserve"> (SC) at para. 62, it is not enough for the plaintiffs to establish that there is no other preferable procedure, as the court "must also be satisfied that a class proceeding would be fair, efficient and manageable". See also: </w:t>
      </w:r>
      <w:r>
        <w:rPr>
          <w:rFonts w:ascii="arial" w:eastAsia="arial" w:hAnsi="arial" w:cs="arial"/>
          <w:i/>
          <w:color w:val="000000"/>
          <w:sz w:val="20"/>
          <w:lang w:val="en-US" w:eastAsia="en-US" w:bidi="ar-SA"/>
        </w:rPr>
        <w:t>Ragoonanan v Imperial Tobacco Canada Ltd</w:t>
      </w:r>
      <w:r>
        <w:rPr>
          <w:rFonts w:ascii="arial" w:eastAsia="arial" w:hAnsi="arial" w:cs="arial"/>
          <w:color w:val="000000"/>
          <w:sz w:val="20"/>
          <w:lang w:val="en-US" w:eastAsia="en-US" w:bidi="ar-SA"/>
        </w:rPr>
        <w:t xml:space="preserve">, </w:t>
      </w:r>
      <w:hyperlink r:id="rId873" w:history="1">
        <w:r>
          <w:rPr>
            <w:rFonts w:ascii="arial" w:eastAsia="arial" w:hAnsi="arial" w:cs="arial"/>
            <w:i/>
            <w:color w:val="0077CC"/>
            <w:sz w:val="20"/>
            <w:u w:val="single"/>
            <w:shd w:val="clear" w:color="auto" w:fill="FFFFFF"/>
            <w:lang w:val="en-US" w:eastAsia="en-US" w:bidi="ar-SA"/>
          </w:rPr>
          <w:t>[2005] O.J. No. 4697</w:t>
        </w:r>
      </w:hyperlink>
      <w:r>
        <w:rPr>
          <w:rFonts w:ascii="arial" w:eastAsia="arial" w:hAnsi="arial" w:cs="arial"/>
          <w:color w:val="000000"/>
          <w:sz w:val="20"/>
          <w:lang w:val="en-US" w:eastAsia="en-US" w:bidi="ar-SA"/>
        </w:rPr>
        <w:t xml:space="preserve"> (SC) at para. 77, aff'd </w:t>
      </w:r>
      <w:hyperlink r:id="rId874" w:history="1">
        <w:r>
          <w:rPr>
            <w:rFonts w:ascii="arial" w:eastAsia="arial" w:hAnsi="arial" w:cs="arial"/>
            <w:i/>
            <w:color w:val="0077CC"/>
            <w:sz w:val="20"/>
            <w:u w:val="single"/>
            <w:shd w:val="clear" w:color="auto" w:fill="FFFFFF"/>
            <w:lang w:val="en-US" w:eastAsia="en-US" w:bidi="ar-SA"/>
          </w:rPr>
          <w:t>[2008] O.J. No. 1644</w:t>
        </w:r>
      </w:hyperlink>
      <w:r>
        <w:rPr>
          <w:rFonts w:ascii="arial" w:eastAsia="arial" w:hAnsi="arial" w:cs="arial"/>
          <w:color w:val="000000"/>
          <w:sz w:val="20"/>
          <w:lang w:val="en-US" w:eastAsia="en-US" w:bidi="ar-SA"/>
        </w:rPr>
        <w:t xml:space="preserve"> (Div Ct). Similar concerns arose in </w:t>
      </w:r>
      <w:r>
        <w:rPr>
          <w:rFonts w:ascii="arial" w:eastAsia="arial" w:hAnsi="arial" w:cs="arial"/>
          <w:i/>
          <w:color w:val="000000"/>
          <w:sz w:val="20"/>
          <w:lang w:val="en-US" w:eastAsia="en-US" w:bidi="ar-SA"/>
        </w:rPr>
        <w:t>Williams v Mutual Life Assurance Co</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[2003] O.J. No. 1160</w:t>
      </w:r>
      <w:r>
        <w:rPr>
          <w:rFonts w:ascii="arial" w:eastAsia="arial" w:hAnsi="arial" w:cs="arial"/>
          <w:color w:val="000000"/>
          <w:sz w:val="20"/>
          <w:lang w:val="en-US" w:eastAsia="en-US" w:bidi="ar-SA"/>
        </w:rPr>
        <w:t xml:space="preserve"> (CA), where Rosenberg J.A. was not persuaded that permitting a class action would serve the interests of access to justice where resolution of the common issue played a minimal role in the resolution of individual claims, as the potential class members "would be faced with the same costs to litigate their claim as if they were bringing the claims as individuals and not members of the class" (at para. 54).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xml:space="preserve">  This is so in relation to liability in negligent misrepresentation and damages generally. In relation to liability under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it should be noted that there is another procedure available under s. 172, where any person can act as a claimant to seek a declaration that an act or practice engaged in by a supplier in respect of a consumer transaction contravenes the Act or the regulations. This would be a far simpler procedure for seeking a determination of whether the written materials at least constituted a deceptive act or practice. On this point, see the dissenting judgment of LeBel and Deschamps JJ. in </w:t>
      </w:r>
      <w:r>
        <w:rPr>
          <w:rFonts w:ascii="arial" w:eastAsia="arial" w:hAnsi="arial" w:cs="arial"/>
          <w:i/>
          <w:color w:val="000000"/>
          <w:sz w:val="20"/>
          <w:lang w:val="en-US" w:eastAsia="en-US" w:bidi="ar-SA"/>
        </w:rPr>
        <w:t>Seidel v TELUS Communications Inc</w:t>
      </w:r>
      <w:r>
        <w:rPr>
          <w:rFonts w:ascii="arial" w:eastAsia="arial" w:hAnsi="arial" w:cs="arial"/>
          <w:color w:val="000000"/>
          <w:sz w:val="20"/>
          <w:lang w:val="en-US" w:eastAsia="en-US" w:bidi="ar-SA"/>
        </w:rPr>
        <w:t xml:space="preserve">, </w:t>
      </w:r>
      <w:hyperlink r:id="rId875" w:history="1">
        <w:r>
          <w:rPr>
            <w:rFonts w:ascii="arial" w:eastAsia="arial" w:hAnsi="arial" w:cs="arial"/>
            <w:i/>
            <w:color w:val="0077CC"/>
            <w:sz w:val="20"/>
            <w:u w:val="single"/>
            <w:shd w:val="clear" w:color="auto" w:fill="FFFFFF"/>
            <w:lang w:val="en-US" w:eastAsia="en-US" w:bidi="ar-SA"/>
          </w:rPr>
          <w:t>2011 SCC 15</w:t>
        </w:r>
      </w:hyperlink>
      <w:r>
        <w:rPr>
          <w:rFonts w:ascii="arial" w:eastAsia="arial" w:hAnsi="arial" w:cs="arial"/>
          <w:color w:val="000000"/>
          <w:sz w:val="20"/>
          <w:lang w:val="en-US" w:eastAsia="en-US" w:bidi="ar-SA"/>
        </w:rPr>
        <w:t xml:space="preserve"> at para. 163, where it is stated that any declaratory relief granted under s. 172 would have "the same effect as an action </w:t>
      </w:r>
      <w:r>
        <w:rPr>
          <w:rFonts w:ascii="arial" w:eastAsia="arial" w:hAnsi="arial" w:cs="arial"/>
          <w:i/>
          <w:color w:val="000000"/>
          <w:sz w:val="20"/>
          <w:lang w:val="en-US" w:eastAsia="en-US" w:bidi="ar-SA"/>
        </w:rPr>
        <w:t>in rem</w:t>
      </w:r>
      <w:r>
        <w:rPr>
          <w:rFonts w:ascii="arial" w:eastAsia="arial" w:hAnsi="arial" w:cs="arial"/>
          <w:color w:val="000000"/>
          <w:sz w:val="20"/>
          <w:lang w:val="en-US" w:eastAsia="en-US" w:bidi="ar-SA"/>
        </w:rPr>
        <w:t xml:space="preserve"> in respect of all consumers in the province who might have the same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xml:space="preserve">  I fully appreciate that the predominance of individual issues is not necessarily fatal to an application for certification. It was recognized by K. Smith J. (as he then was) in </w:t>
      </w:r>
      <w:r>
        <w:rPr>
          <w:rFonts w:ascii="arial" w:eastAsia="arial" w:hAnsi="arial" w:cs="arial"/>
          <w:i/>
          <w:color w:val="000000"/>
          <w:sz w:val="20"/>
          <w:lang w:val="en-US" w:eastAsia="en-US" w:bidi="ar-SA"/>
        </w:rPr>
        <w:t>Endean v Canadian Red Cross Society</w:t>
      </w:r>
      <w:r>
        <w:rPr>
          <w:rFonts w:ascii="arial" w:eastAsia="arial" w:hAnsi="arial" w:cs="arial"/>
          <w:color w:val="000000"/>
          <w:sz w:val="20"/>
          <w:lang w:val="en-US" w:eastAsia="en-US" w:bidi="ar-SA"/>
        </w:rPr>
        <w:t xml:space="preserve">, </w:t>
      </w:r>
      <w:hyperlink r:id="rId876" w:history="1">
        <w:r>
          <w:rPr>
            <w:rFonts w:ascii="arial" w:eastAsia="arial" w:hAnsi="arial" w:cs="arial"/>
            <w:i/>
            <w:color w:val="0077CC"/>
            <w:sz w:val="20"/>
            <w:u w:val="single"/>
            <w:shd w:val="clear" w:color="auto" w:fill="FFFFFF"/>
            <w:lang w:val="en-US" w:eastAsia="en-US" w:bidi="ar-SA"/>
          </w:rPr>
          <w:t>(1997), 36 BCLR (3d) 350</w:t>
        </w:r>
      </w:hyperlink>
      <w:r>
        <w:rPr>
          <w:rFonts w:ascii="arial" w:eastAsia="arial" w:hAnsi="arial" w:cs="arial"/>
          <w:color w:val="000000"/>
          <w:sz w:val="20"/>
          <w:lang w:val="en-US" w:eastAsia="en-US" w:bidi="ar-SA"/>
        </w:rPr>
        <w:t xml:space="preserve"> (SC), rev'd on other grounds </w:t>
      </w:r>
      <w:hyperlink r:id="rId877" w:history="1">
        <w:r>
          <w:rPr>
            <w:rFonts w:ascii="arial" w:eastAsia="arial" w:hAnsi="arial" w:cs="arial"/>
            <w:i/>
            <w:color w:val="0077CC"/>
            <w:sz w:val="20"/>
            <w:u w:val="single"/>
            <w:shd w:val="clear" w:color="auto" w:fill="FFFFFF"/>
            <w:lang w:val="en-US" w:eastAsia="en-US" w:bidi="ar-SA"/>
          </w:rPr>
          <w:t>(1998) 48 BCLR (3d) 90</w:t>
        </w:r>
      </w:hyperlink>
      <w:r>
        <w:rPr>
          <w:rFonts w:ascii="arial" w:eastAsia="arial" w:hAnsi="arial" w:cs="arial"/>
          <w:color w:val="000000"/>
          <w:sz w:val="20"/>
          <w:lang w:val="en-US" w:eastAsia="en-US" w:bidi="ar-SA"/>
        </w:rPr>
        <w:t xml:space="preserve"> (CA), leave to appeal granted (but notice of discontinuance filed), </w:t>
      </w:r>
      <w:hyperlink r:id="rId878" w:history="1">
        <w:r>
          <w:rPr>
            <w:rFonts w:ascii="arial" w:eastAsia="arial" w:hAnsi="arial" w:cs="arial"/>
            <w:i/>
            <w:color w:val="0077CC"/>
            <w:sz w:val="20"/>
            <w:u w:val="single"/>
            <w:shd w:val="clear" w:color="auto" w:fill="FFFFFF"/>
            <w:lang w:val="en-US" w:eastAsia="en-US" w:bidi="ar-SA"/>
          </w:rPr>
          <w:t>[1998] SCCA No 260</w:t>
        </w:r>
      </w:hyperlink>
      <w:r>
        <w:rPr>
          <w:rFonts w:ascii="arial" w:eastAsia="arial" w:hAnsi="arial" w:cs="arial"/>
          <w:color w:val="000000"/>
          <w:sz w:val="20"/>
          <w:lang w:val="en-US" w:eastAsia="en-US" w:bidi="ar-SA"/>
        </w:rPr>
        <w:t xml:space="preserve">, that the intention behind the provisions in s. 4(2)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"is to put more emphasis on the goal of access to justice than on that of judicial economy" (at para. 54). However, there are two insurmountable problems here in relation to common issues. The first is that the issue of liability on the part of any of the defendants for negligent misrepresentation, breach of warranty, and to a lesser extent violations of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are not common, as their determination will require individual fact-finding concerning the circumstances of the class members in relation to what written and oral information they received from the defendants about the voucher program. The second is the lack of any basis in fact in respect of the personal liability of Mr. Volken and Mr. Gerstner generally, and in respect of many of the allegations contained in the Notice of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238</w:t>
      </w:r>
      <w:r>
        <w:rPr>
          <w:rFonts w:ascii="arial" w:eastAsia="arial" w:hAnsi="arial" w:cs="arial"/>
          <w:color w:val="000000"/>
          <w:sz w:val="20"/>
          <w:lang w:val="en-US" w:eastAsia="en-US" w:bidi="ar-SA"/>
        </w:rPr>
        <w:t>  In my opinion, the plaintiffs have failed to satisfy their onus of establishing this criterion on the evidentiary record adduced in this application.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 There is a suitable representative plaintiff</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Representation of the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239</w:t>
      </w:r>
      <w:r>
        <w:rPr>
          <w:rFonts w:ascii="arial" w:eastAsia="arial" w:hAnsi="arial" w:cs="arial"/>
          <w:color w:val="000000"/>
          <w:sz w:val="20"/>
          <w:lang w:val="en-US" w:eastAsia="en-US" w:bidi="ar-SA"/>
        </w:rPr>
        <w:t xml:space="preserve">  Section 4(1)(e)(i) and (iii) of the </w:t>
      </w:r>
      <w:r>
        <w:rPr>
          <w:rFonts w:ascii="arial" w:eastAsia="arial" w:hAnsi="arial" w:cs="arial"/>
          <w:i/>
          <w:color w:val="000000"/>
          <w:sz w:val="20"/>
          <w:lang w:val="en-US" w:eastAsia="en-US" w:bidi="ar-SA"/>
        </w:rPr>
        <w:t>Class Proceedings Act</w:t>
      </w:r>
      <w:r>
        <w:rPr>
          <w:rFonts w:ascii="arial" w:eastAsia="arial" w:hAnsi="arial" w:cs="arial"/>
          <w:color w:val="000000"/>
          <w:sz w:val="20"/>
          <w:lang w:val="en-US" w:eastAsia="en-US" w:bidi="ar-SA"/>
        </w:rPr>
        <w:t xml:space="preserve"> addresses whether the representative plaintiffs would fairly and adequately represent the interests of the class and whether they have interests in conflict with other class members in relation to the common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240</w:t>
      </w:r>
      <w:r>
        <w:rPr>
          <w:rFonts w:ascii="arial" w:eastAsia="arial" w:hAnsi="arial" w:cs="arial"/>
          <w:color w:val="000000"/>
          <w:sz w:val="20"/>
          <w:lang w:val="en-US" w:eastAsia="en-US" w:bidi="ar-SA"/>
        </w:rPr>
        <w:t xml:space="preserve">  The representative plaintiffs must be prepared to vigorously represent the interests of the class: </w:t>
      </w:r>
      <w:r>
        <w:rPr>
          <w:rFonts w:ascii="arial" w:eastAsia="arial" w:hAnsi="arial" w:cs="arial"/>
          <w:i/>
          <w:color w:val="000000"/>
          <w:sz w:val="20"/>
          <w:lang w:val="en-US" w:eastAsia="en-US" w:bidi="ar-SA"/>
        </w:rPr>
        <w:t>Endean</w:t>
      </w:r>
      <w:r>
        <w:rPr>
          <w:rFonts w:ascii="arial" w:eastAsia="arial" w:hAnsi="arial" w:cs="arial"/>
          <w:color w:val="000000"/>
          <w:sz w:val="20"/>
          <w:lang w:val="en-US" w:eastAsia="en-US" w:bidi="ar-SA"/>
        </w:rPr>
        <w:t xml:space="preserve"> at para. 66; </w:t>
      </w:r>
      <w:r>
        <w:rPr>
          <w:rFonts w:ascii="arial" w:eastAsia="arial" w:hAnsi="arial" w:cs="arial"/>
          <w:i/>
          <w:color w:val="000000"/>
          <w:sz w:val="20"/>
          <w:lang w:val="en-US" w:eastAsia="en-US" w:bidi="ar-SA"/>
        </w:rPr>
        <w:t>Fakhri</w:t>
      </w:r>
      <w:r>
        <w:rPr>
          <w:rFonts w:ascii="arial" w:eastAsia="arial" w:hAnsi="arial" w:cs="arial"/>
          <w:color w:val="000000"/>
          <w:sz w:val="20"/>
          <w:lang w:val="en-US" w:eastAsia="en-US" w:bidi="ar-SA"/>
        </w:rPr>
        <w:t xml:space="preserve"> at para. 74. The determination of whether they adequately and appropriately represent class members and whether there are potential conflicts of interest must be considered in relation to the proposed common issues. In </w:t>
      </w:r>
      <w:r>
        <w:rPr>
          <w:rFonts w:ascii="arial" w:eastAsia="arial" w:hAnsi="arial" w:cs="arial"/>
          <w:i/>
          <w:color w:val="000000"/>
          <w:sz w:val="20"/>
          <w:lang w:val="en-US" w:eastAsia="en-US" w:bidi="ar-SA"/>
        </w:rPr>
        <w:t>Fakhri</w:t>
      </w:r>
      <w:r>
        <w:rPr>
          <w:rFonts w:ascii="arial" w:eastAsia="arial" w:hAnsi="arial" w:cs="arial"/>
          <w:color w:val="000000"/>
          <w:sz w:val="20"/>
          <w:lang w:val="en-US" w:eastAsia="en-US" w:bidi="ar-SA"/>
        </w:rPr>
        <w:t>, it was held that any differences between the representative plaintiffs and the proposed class which do not impact on the common issues, do not affect the representative plaintiffs' ability to adequately and fairly represent the class or create a conflict of interest (at para. 75).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241</w:t>
      </w:r>
      <w:r>
        <w:rPr>
          <w:rFonts w:ascii="arial" w:eastAsia="arial" w:hAnsi="arial" w:cs="arial"/>
          <w:color w:val="000000"/>
          <w:sz w:val="20"/>
          <w:lang w:val="en-US" w:eastAsia="en-US" w:bidi="ar-SA"/>
        </w:rPr>
        <w:t>  New UFW took no issue with this requirement. Old UFW did not take issue with the ability of Mr. Marshall and Mr. Wong to pursue the action and instruct counsel but submitted that there is a potential conflict between these plaintiffs - both of whom appear to be eligible to redeem their vouchers - and those members of the proposed class who are not eligible to do so due to non-compliance with the terms and conditions of the vouchers. Ms. Reinertson suggested that those consumers who did not comply with the terms and conditions of the vouchers may wish to attempt to recover in any event or advance other claims, and therefore a "tension" arises between non-compliant and compliant class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242</w:t>
      </w:r>
      <w:r>
        <w:rPr>
          <w:rFonts w:ascii="arial" w:eastAsia="arial" w:hAnsi="arial" w:cs="arial"/>
          <w:color w:val="000000"/>
          <w:sz w:val="20"/>
          <w:lang w:val="en-US" w:eastAsia="en-US" w:bidi="ar-SA"/>
        </w:rPr>
        <w:t>  It is not necessary to address this objection given my conclusions on the other criteria for certification. However, I would not accede to Ms. Reinertson's submission on this issue, as I see this as an issue that could be properly managed if the action were otherwise suitable for certification.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Litigation plan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243</w:t>
      </w:r>
      <w:r>
        <w:rPr>
          <w:rFonts w:ascii="arial" w:eastAsia="arial" w:hAnsi="arial" w:cs="arial"/>
          <w:color w:val="000000"/>
          <w:sz w:val="20"/>
          <w:lang w:val="en-US" w:eastAsia="en-US" w:bidi="ar-SA"/>
        </w:rPr>
        <w:t>  Section 4(1)(e)(ii) addresses whether the plaintiffs have produced a litigation plan that sets out a workable method of advancing the proceeding on behalf of the class and of notifying class members of the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244</w:t>
      </w:r>
      <w:r>
        <w:rPr>
          <w:rFonts w:ascii="arial" w:eastAsia="arial" w:hAnsi="arial" w:cs="arial"/>
          <w:color w:val="000000"/>
          <w:sz w:val="20"/>
          <w:lang w:val="en-US" w:eastAsia="en-US" w:bidi="ar-SA"/>
        </w:rPr>
        <w:t>  Both defendants submitted that the litigation plan provided by the plaintiffs is deficient because it does not properly address the resolution of individual issues. The plaintiffs say that the litigation plan need only provide a reasonable framework for the issues that are reasonably expected to arise as the case proceeds, and as issues arise in the litigation they can be resolved in case management.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245</w:t>
      </w:r>
      <w:r>
        <w:rPr>
          <w:rFonts w:ascii="arial" w:eastAsia="arial" w:hAnsi="arial" w:cs="arial"/>
          <w:color w:val="000000"/>
          <w:sz w:val="20"/>
          <w:lang w:val="en-US" w:eastAsia="en-US" w:bidi="ar-SA"/>
        </w:rPr>
        <w:t xml:space="preserve">  Again, it is not necessary to analyse the plaintiffs' litigation plan in the circumstances here. I note that the plan does provide a process by which individual claims are proposed to be addressed, but it assumes that those issues relate only to quantification. Given the individual issues I have identified, I tend to agree with the defendants that the plan as submitted by the plaintiffs is deficient in its present form, as it does not consider the extent of the individual issues that would have to be addressed. Unlike </w:t>
      </w:r>
      <w:r>
        <w:rPr>
          <w:rFonts w:ascii="arial" w:eastAsia="arial" w:hAnsi="arial" w:cs="arial"/>
          <w:i/>
          <w:color w:val="000000"/>
          <w:sz w:val="20"/>
          <w:lang w:val="en-US" w:eastAsia="en-US" w:bidi="ar-SA"/>
        </w:rPr>
        <w:t>Cloud v. Canada (Attorney General)</w:t>
      </w:r>
      <w:r>
        <w:rPr>
          <w:rFonts w:ascii="arial" w:eastAsia="arial" w:hAnsi="arial" w:cs="arial"/>
          <w:color w:val="000000"/>
          <w:sz w:val="20"/>
          <w:lang w:val="en-US" w:eastAsia="en-US" w:bidi="ar-SA"/>
        </w:rPr>
        <w:t xml:space="preserve">, </w:t>
      </w:r>
      <w:hyperlink r:id="rId795" w:history="1">
        <w:r>
          <w:rPr>
            <w:rFonts w:ascii="arial" w:eastAsia="arial" w:hAnsi="arial" w:cs="arial"/>
            <w:i/>
            <w:color w:val="0077CC"/>
            <w:sz w:val="20"/>
            <w:u w:val="single"/>
            <w:shd w:val="clear" w:color="auto" w:fill="FFFFFF"/>
            <w:lang w:val="en-US" w:eastAsia="en-US" w:bidi="ar-SA"/>
          </w:rPr>
          <w:t>[2004] O.J. No. 4924</w:t>
        </w:r>
      </w:hyperlink>
      <w:r>
        <w:rPr>
          <w:rFonts w:ascii="arial" w:eastAsia="arial" w:hAnsi="arial" w:cs="arial"/>
          <w:color w:val="000000"/>
          <w:sz w:val="20"/>
          <w:lang w:val="en-US" w:eastAsia="en-US" w:bidi="ar-SA"/>
        </w:rPr>
        <w:t xml:space="preserve"> (CA), leave to appeal ref'd </w:t>
      </w:r>
      <w:hyperlink r:id="rId879" w:history="1">
        <w:r>
          <w:rPr>
            <w:rFonts w:ascii="arial" w:eastAsia="arial" w:hAnsi="arial" w:cs="arial"/>
            <w:i/>
            <w:color w:val="0077CC"/>
            <w:sz w:val="20"/>
            <w:u w:val="single"/>
            <w:shd w:val="clear" w:color="auto" w:fill="FFFFFF"/>
            <w:lang w:val="en-US" w:eastAsia="en-US" w:bidi="ar-SA"/>
          </w:rPr>
          <w:t>[2005] SCCA No 50</w:t>
        </w:r>
      </w:hyperlink>
      <w:r>
        <w:rPr>
          <w:rFonts w:ascii="arial" w:eastAsia="arial" w:hAnsi="arial" w:cs="arial"/>
          <w:color w:val="000000"/>
          <w:sz w:val="20"/>
          <w:lang w:val="en-US" w:eastAsia="en-US" w:bidi="ar-SA"/>
        </w:rPr>
        <w:t>, where the court found (at para. 95) that the litigation plan did not expose weaknesses in the plaintiffs' case as framed, here the deficiencies in the litigation plan are in themselves indicative of the problems I have described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246</w:t>
      </w:r>
      <w:r>
        <w:rPr>
          <w:rFonts w:ascii="arial" w:eastAsia="arial" w:hAnsi="arial" w:cs="arial"/>
          <w:color w:val="000000"/>
          <w:sz w:val="20"/>
          <w:lang w:val="en-US" w:eastAsia="en-US" w:bidi="ar-SA"/>
        </w:rPr>
        <w:t xml:space="preserve">  For all of these reasons, I am not satisfied that the plaintiffs have established the necessary requirements for certification. I see the essential claims as those under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and in negligent misrepresentation. Because of the multiple sources of information received by the members of the proposed class, it is not possible to find enough common issues that would move this litigation forward in a material way. There is an insufficient evidentiary base for many of the plaintiffs' assertions against the corporate defendants and no evidentiary base for their assertions against the personal defendants. In all of the circumstances, a class action is not the preferable procedure.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247</w:t>
      </w:r>
      <w:r>
        <w:rPr>
          <w:rFonts w:ascii="arial" w:eastAsia="arial" w:hAnsi="arial" w:cs="arial"/>
          <w:color w:val="000000"/>
          <w:sz w:val="20"/>
          <w:lang w:val="en-US" w:eastAsia="en-US" w:bidi="ar-SA"/>
        </w:rPr>
        <w:t>  I will end with a comment about the manner in which this application was brought before the court and my approach to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248</w:t>
      </w:r>
      <w:r>
        <w:rPr>
          <w:rFonts w:ascii="arial" w:eastAsia="arial" w:hAnsi="arial" w:cs="arial"/>
          <w:color w:val="000000"/>
          <w:sz w:val="20"/>
          <w:lang w:val="en-US" w:eastAsia="en-US" w:bidi="ar-SA"/>
        </w:rPr>
        <w:t>  I appreciate the excellent and thorough submissions made by all counsel in this case. In support of those submissions, all parties filed a voluminous amount of authorities. I have not addressed every point argued or referred to every case, but I have reviewed all of the authorities on which each party has principally relied. Much of the analysis of the certification requirements, especially in relation to common issues and preferable procedure, are very much fact-driven. While many of the cases provide useful examples of the application of the relevant legal principles, I did not find them particularly helpful in the application of the principles in the circumstances of this case. Ultimately, whether or not a class proceeding is determined to be the preferable procedure in one case is of limited assistance to the ultimate determination in another. I would encourage all counsel to consider the necessity of putting so many authorities before the court in an application such as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249</w:t>
      </w:r>
      <w:r>
        <w:rPr>
          <w:rFonts w:ascii="arial" w:eastAsia="arial" w:hAnsi="arial" w:cs="arial"/>
          <w:color w:val="000000"/>
          <w:sz w:val="20"/>
          <w:lang w:val="en-US" w:eastAsia="en-US" w:bidi="ar-SA"/>
        </w:rPr>
        <w:t>  The plaintiffs' application for certification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 FISHER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85" style="position:absolute;z-index:25179340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80"/>
          <w:headerReference w:type="default" r:id="rId881"/>
          <w:footerReference w:type="even" r:id="rId882"/>
          <w:footerReference w:type="default" r:id="rId883"/>
          <w:headerReference w:type="first" r:id="rId884"/>
          <w:footerReference w:type="first" r:id="rId88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86" w:history="1">
        <w:r>
          <w:rPr>
            <w:rFonts w:ascii="arial" w:eastAsia="arial" w:hAnsi="arial" w:cs="arial"/>
            <w:b/>
            <w:bCs/>
            <w:i/>
            <w:color w:val="0077CC"/>
            <w:kern w:val="32"/>
            <w:sz w:val="28"/>
            <w:szCs w:val="32"/>
            <w:u w:val="single"/>
            <w:shd w:val="clear" w:color="auto" w:fill="FFFFFF"/>
            <w:lang w:val="en-US" w:eastAsia="en-US" w:bidi="ar-SA"/>
          </w:rPr>
          <w:t>307527 B.C. Ltd. v. Cambridge Holdings Ltd., [2003] B.C.J. No. 1588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Groberman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25 - 28, April 2 - 4, 8 - 12,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15 - 19, 22 - 25, 29 - 30, May 3, 6 - 10, 13 - 15,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21 - 22, July 15 - 18,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2,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C983879</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[2003] B.C.J. No. 1588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2003 BCSC 1027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123 A.C.W.S. (3d) 1141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307527 B.C. Ltd., plaintiff, and Cambridge Holdings Ltd., Pyarali Hudda, Newdale Holdings Inc., Najmudin Lalji, 412634 British Columbia Ltd., James Langley and Shaida Langley, defendants, and James Langley and Shaida Langley,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(274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86" style="position:absolute;z-index:2516920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17" w:name="Keywords_31"/>
      <w:bookmarkEnd w:id="217"/>
      <w:r>
        <w:rPr>
          <w:rFonts w:ascii="arial" w:eastAsia="arial" w:hAnsi="arial" w:cs="arial"/>
          <w:b/>
          <w:color w:val="000000"/>
          <w:sz w:val="20"/>
          <w:lang w:val="en-US" w:eastAsia="en-US" w:bidi="ar-SA"/>
        </w:rPr>
        <w:t>Joint ventures — Relations between parties — Respecting financing — Contributions — Respecting performance of services.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18" w:name="Case Summary_29"/>
            <w:bookmarkEnd w:id="21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arising out of a joint venture. In 1992, a group of investors initiated a joint venture to develop a condominium project in Kelowna known as the Mews. The group consisted of the plaintiff Rawji, and defendants Hudda, Lalji and Langley. The plan was to develop the project, and then sell the condominium units individually. The profits were to be divided equally among the investors. On several occasions, Rawji was asked to loan additional funds to the project, which he did. Langley was in charge of managing the project and selling the units and the others were silent investors. Upon completion and opening of a show unit, sales were slower than predicted. Langley suggested to Hudda and Lalji that the group agree to accept a bulk sale offer for the entire complex. They notified Rawji shortly before the sale, and he agreed. The bulk sale resulted in considerably less profits than had been projected. Each investor, except Langley, took a profit of $40,000. Hudda told Rawji that Langley had decided not to take any proceeds, as he felt that he had not managed the project well. Rawji brought an action for an accounting of profits, and for damages. He claimed that the bulk sale was fraudulent and negligent, and that the other investors had breached their duties to him in managing the project. He argued that Langley's marketing efforts were inadequate to support the intended individual unit sales, necessitating the bulk sale and consequent loss of maximum profits. He also argued that the sales of individual units to Langley and his mother were below market value, and that the units were better than others in the complex. Similarly, he argued that a sale to a friend of Langley's, at a discount of $20,000, was fraudulent. Further, Langley's wife, who was the real estate agent, received a commission from the project based on the full price. He also contested the payment of a commission to Langley's wife from the bulk sale, and the charging of $2,800 in travel expenses to the project by Hudda and Lalji.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19" w:name="Holdings of Court_25"/>
            <w:bookmarkEnd w:id="219"/>
            <w:r>
              <w:rPr>
                <w:rFonts w:ascii="arial" w:eastAsia="arial" w:hAnsi="arial" w:cs="arial"/>
                <w:color w:val="000000"/>
                <w:sz w:val="20"/>
                <w:lang w:val="en-US" w:eastAsia="en-US" w:bidi="ar-SA"/>
              </w:rPr>
              <w:t>HELD: Action allowed in part, and Rawji awarded $11,529.</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bulk sale was not fraudulent or negligent. The circumstances surrounding it were explained by economic convenience. While the marketing of the individual units was not ideal, it did not amount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Langley's part. In any event, Rawji had been informed of the intended sale and approved it and he could not now argue that the sale was negligent. As to the units purchased by Langley, he was under no obligation to purchase lesser units merely because he was an investor. The commissions paid to Langley's wife were not recoverable, as they were made pursuant to a contract, and approved by all of the investors. However, the other partners should not have charged travel expenses to the project, and the sale to Langley's friend was fraudulent. Finally, the joint venture was liable to Rawji for profits which had not yet been distributed.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20" w:name="Counsel_32"/>
      <w:bookmarkEnd w:id="22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87" style="position:absolute;z-index:2517432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Hoshang Shroff, Q.C. and Victoria Shroff, for the plaintiff. M. Ali Lakhani, for the defendants other than James and Shaida Langley. Amirali Mohamedali, for James and Shaida Langley.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21" w:name="Judgment_32"/>
      <w:bookmarkEnd w:id="221"/>
      <w:r>
        <w:pict>
          <v:line id="_x0000_s1188" style="position:absolute;z-index:25179443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228"/>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12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Para.</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12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FACTUAL BACKGROUND</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7215"/>
        <w:gridCol w:w="219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706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Overview</w:t>
            </w:r>
          </w:p>
        </w:tc>
        <w:tc>
          <w:tcPr>
            <w:tcW w:w="215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706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Participants</w:t>
            </w:r>
          </w:p>
        </w:tc>
        <w:tc>
          <w:tcPr>
            <w:tcW w:w="215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228"/>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12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Background Events Prior to the Mews</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[12]</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12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Project</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numPr>
          <w:numId w:val="29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Relations between Lalji, Hudda and [12] Rawji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6587"/>
        <w:gridCol w:w="21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w:t>
            </w:r>
          </w:p>
        </w:tc>
        <w:tc>
          <w:tcPr>
            <w:tcW w:w="645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Richmond Project</w:t>
            </w:r>
          </w:p>
        </w:tc>
        <w:tc>
          <w:tcPr>
            <w:tcW w:w="215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[16]</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w:t>
            </w:r>
          </w:p>
        </w:tc>
        <w:tc>
          <w:tcPr>
            <w:tcW w:w="645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Kamloops Project</w:t>
            </w:r>
          </w:p>
        </w:tc>
        <w:tc>
          <w:tcPr>
            <w:tcW w:w="215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[18]</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w:t>
            </w:r>
          </w:p>
        </w:tc>
        <w:tc>
          <w:tcPr>
            <w:tcW w:w="645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Sierra Project</w:t>
            </w:r>
          </w:p>
        </w:tc>
        <w:tc>
          <w:tcPr>
            <w:tcW w:w="215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[25]</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228"/>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12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The Mews Project Prior to Mr. Rawji's</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[28]</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12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Involvement</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7215"/>
        <w:gridCol w:w="219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706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Mr. Rawji's Investment in the Mews</w:t>
            </w:r>
          </w:p>
        </w:tc>
        <w:tc>
          <w:tcPr>
            <w:tcW w:w="215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[36]</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706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Meeting of March 10, 1993</w:t>
            </w:r>
          </w:p>
        </w:tc>
        <w:tc>
          <w:tcPr>
            <w:tcW w:w="215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[45]</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228"/>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12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Events Between the March Meeting and</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[63]</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12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the Bulk Sale</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7215"/>
        <w:gridCol w:w="219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706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Bulk Sale</w:t>
            </w:r>
          </w:p>
        </w:tc>
        <w:tc>
          <w:tcPr>
            <w:tcW w:w="215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[84]</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228"/>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12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Amendments to the Bulk Sale Agreement</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[103]</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12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in Late July 1993</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809"/>
        <w:gridCol w:w="3033"/>
        <w:gridCol w:w="261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7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Sale of Unit 403</w:t>
            </w:r>
          </w:p>
        </w:tc>
        <w:tc>
          <w:tcPr>
            <w:tcW w:w="297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[105]</w:t>
            </w:r>
          </w:p>
        </w:tc>
        <w:tc>
          <w:tcPr>
            <w:tcW w:w="256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228"/>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12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The Distribution of the proceeds of</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[109]</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12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the project</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601"/>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w:t>
            </w:r>
          </w:p>
        </w:tc>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Mr. Langley's Relinquishment of</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[111]</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50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Profits</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124"/>
        <w:gridCol w:w="2091"/>
        <w:gridCol w:w="261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w:t>
            </w:r>
          </w:p>
        </w:tc>
        <w:tc>
          <w:tcPr>
            <w:tcW w:w="501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Distribution of Proceeds</w:t>
            </w:r>
          </w:p>
        </w:tc>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[120]</w:t>
            </w:r>
          </w:p>
        </w:tc>
        <w:tc>
          <w:tcPr>
            <w:tcW w:w="256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228"/>
        <w:gridCol w:w="1987"/>
        <w:gridCol w:w="261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w:t>
            </w:r>
          </w:p>
        </w:tc>
        <w:tc>
          <w:tcPr>
            <w:tcW w:w="512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Repayment of Langley's Capital</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[126]</w:t>
            </w:r>
          </w:p>
        </w:tc>
        <w:tc>
          <w:tcPr>
            <w:tcW w:w="256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809"/>
        <w:gridCol w:w="3033"/>
        <w:gridCol w:w="261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7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Discussions in 1994</w:t>
            </w:r>
          </w:p>
        </w:tc>
        <w:tc>
          <w:tcPr>
            <w:tcW w:w="297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[131]</w:t>
            </w:r>
          </w:p>
        </w:tc>
        <w:tc>
          <w:tcPr>
            <w:tcW w:w="256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287"/>
        <w:gridCol w:w="3555"/>
        <w:gridCol w:w="261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19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1994 to 1997</w:t>
            </w:r>
          </w:p>
        </w:tc>
        <w:tc>
          <w:tcPr>
            <w:tcW w:w="348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[136]</w:t>
            </w:r>
          </w:p>
        </w:tc>
        <w:tc>
          <w:tcPr>
            <w:tcW w:w="256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228"/>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12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Revenue Canada Inquiries and 1998</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[138]</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Meetings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855"/>
        <w:gridCol w:w="1987"/>
        <w:gridCol w:w="261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73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Claims Advanced in this Lawsuit</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[148]</w:t>
            </w:r>
          </w:p>
        </w:tc>
        <w:tc>
          <w:tcPr>
            <w:tcW w:w="256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541"/>
        <w:gridCol w:w="2301"/>
        <w:gridCol w:w="261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42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Was the Bulk Sale Fraudulent?</w:t>
            </w:r>
          </w:p>
        </w:tc>
        <w:tc>
          <w:tcPr>
            <w:tcW w:w="225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[154]</w:t>
            </w:r>
          </w:p>
        </w:tc>
        <w:tc>
          <w:tcPr>
            <w:tcW w:w="256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228"/>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12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Breach of Trust in Relation to the</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[166]</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12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Bulk Sale</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228"/>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12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i/>
                <w:color w:val="000000"/>
                <w:sz w:val="18"/>
                <w:u w:val="single"/>
                <w:lang w:val="en-US" w:eastAsia="en-US" w:bidi="ar-SA"/>
              </w:rPr>
              <w:t>Negligence</w:t>
            </w:r>
            <w:r>
              <w:rPr>
                <w:rFonts w:ascii="arial" w:eastAsia="arial" w:hAnsi="arial" w:cs="arial"/>
                <w:color w:val="000000"/>
                <w:sz w:val="18"/>
                <w:lang w:val="en-US" w:eastAsia="en-US" w:bidi="ar-SA"/>
              </w:rPr>
              <w:t xml:space="preserve"> in Accepting the Bulk</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[169]</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12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Purchase Offer</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541"/>
        <w:gridCol w:w="2301"/>
        <w:gridCol w:w="261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42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Claims Respecting Unit 403</w:t>
            </w:r>
          </w:p>
        </w:tc>
        <w:tc>
          <w:tcPr>
            <w:tcW w:w="225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[178]</w:t>
            </w:r>
          </w:p>
        </w:tc>
        <w:tc>
          <w:tcPr>
            <w:tcW w:w="256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705"/>
        <w:gridCol w:w="3137"/>
        <w:gridCol w:w="261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Langley Units</w:t>
            </w:r>
          </w:p>
        </w:tc>
        <w:tc>
          <w:tcPr>
            <w:tcW w:w="307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[187]</w:t>
            </w:r>
          </w:p>
        </w:tc>
        <w:tc>
          <w:tcPr>
            <w:tcW w:w="2560"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460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Gulenchyn Unit</w:t>
            </w:r>
          </w:p>
        </w:tc>
        <w:tc>
          <w:tcPr>
            <w:tcW w:w="307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[197]</w:t>
            </w:r>
          </w:p>
        </w:tc>
        <w:tc>
          <w:tcPr>
            <w:tcW w:w="256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124"/>
        <w:gridCol w:w="2718"/>
        <w:gridCol w:w="261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01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Real Estate Commissions</w:t>
            </w:r>
          </w:p>
        </w:tc>
        <w:tc>
          <w:tcPr>
            <w:tcW w:w="266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[209]</w:t>
            </w:r>
          </w:p>
        </w:tc>
        <w:tc>
          <w:tcPr>
            <w:tcW w:w="256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332"/>
        <w:gridCol w:w="2510"/>
        <w:gridCol w:w="261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2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Jim Langley Capital Account</w:t>
            </w:r>
          </w:p>
        </w:tc>
        <w:tc>
          <w:tcPr>
            <w:tcW w:w="245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[217]</w:t>
            </w:r>
          </w:p>
        </w:tc>
        <w:tc>
          <w:tcPr>
            <w:tcW w:w="256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69"/>
        <w:gridCol w:w="1673"/>
        <w:gridCol w:w="261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Excavation Expenses Paid to Mr. Langley</w:t>
            </w:r>
          </w:p>
        </w:tc>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[237]</w:t>
            </w:r>
          </w:p>
        </w:tc>
        <w:tc>
          <w:tcPr>
            <w:tcW w:w="256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064"/>
        <w:gridCol w:w="1778"/>
        <w:gridCol w:w="261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93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Reallocation of Langley's Profits</w:t>
            </w:r>
          </w:p>
        </w:tc>
        <w:tc>
          <w:tcPr>
            <w:tcW w:w="174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[246]</w:t>
            </w:r>
          </w:p>
        </w:tc>
        <w:tc>
          <w:tcPr>
            <w:tcW w:w="256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228"/>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12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Compensation for Under-Contributions</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[253]</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12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 Capital</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228"/>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12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Travel Expenditures Credited to</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[259]</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12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Mr. Hudda and Mr. Lalji</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855"/>
        <w:gridCol w:w="1987"/>
        <w:gridCol w:w="261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73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Co-Mingling of Sierra and Mews Funds</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[263]</w:t>
            </w:r>
          </w:p>
        </w:tc>
        <w:tc>
          <w:tcPr>
            <w:tcW w:w="256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019"/>
        <w:gridCol w:w="2823"/>
        <w:gridCol w:w="261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91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Assessment of Damages</w:t>
            </w:r>
          </w:p>
        </w:tc>
        <w:tc>
          <w:tcPr>
            <w:tcW w:w="276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[269]</w:t>
            </w:r>
          </w:p>
        </w:tc>
        <w:tc>
          <w:tcPr>
            <w:tcW w:w="256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973"/>
        <w:gridCol w:w="3869"/>
        <w:gridCol w:w="261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89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Costs</w:t>
            </w:r>
          </w:p>
        </w:tc>
        <w:tc>
          <w:tcPr>
            <w:tcW w:w="378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[273]</w:t>
            </w:r>
          </w:p>
        </w:tc>
        <w:tc>
          <w:tcPr>
            <w:tcW w:w="256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FACTUAL BACKGROUND</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0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22" w:name="GROBERMAN J."/>
            <w:bookmarkEnd w:id="222"/>
            <w:r>
              <w:rPr>
                <w:rFonts w:ascii="arial" w:eastAsia="arial" w:hAnsi="arial" w:cs="arial"/>
                <w:b/>
                <w:color w:val="000000"/>
                <w:sz w:val="30"/>
                <w:lang w:val="en-US" w:eastAsia="en-US" w:bidi="ar-SA"/>
              </w:rPr>
              <w:t>GROBERMAN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color w:val="000000"/>
          <w:sz w:val="20"/>
          <w:lang w:val="en-US" w:eastAsia="en-US" w:bidi="ar-SA"/>
        </w:rPr>
        <w:t>Overview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This action arises out of the development of a 30-unit residential condominium project known as "the Mews" in Kelowna in 1992 and 1993. The project turned a modest profit for the joint venturers who undertook the development. The plaintiff, one of those joint venturers, says that the profits ought to have been greater. It alleges that through fraud,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and breaches of fiduciary and contractual duties, the defendants denied it profits it was entitled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While there are a number of distinct claims made by the plaintiff (which are described below, starting at paragraph [148]), the major claim relates to the sale of the condominium units in July of 1993. Up until that time, the joint venturers intended to sell the individual units to owner-occupiers. In July 1993, however, they decided instead to sell virtually the entire development in a bulk sale to an entity which, in turn, quickly resold the units to individual investors at a much higher price than it paid.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As I will describe, Mr. Shamas Rawji, the principle of the plaintiff company, was to some degree an "outsider" among the four parties who were joint venturers in the development. He was not always kept fully informed of what was happening, and was treated with less consideration by his joint venturers than he might have been.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While there were some disagreements between Mr. Rawji and the other investors in respect of the divvying up of profits and the payment of expenses as early as 1993, these disputes were fairly minor. In 1997, as a result of a Revenue Canada audit, Mr. Rawji first became aware that the bulk purchaser had flipped the units to individual investors, apparently at a substantial profit. He became suspicious that his partners had secretly taken a benefit from the bulk sale. When confronted with his suspicions, the defendants did not respond satisfactorily. In Mr. Rawji's mind, this confirmed his worst fears, and led him to doggedly pursue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While it is understandable that Mr. Rawji's suspicions were excited in the circumstances, I find that, with certain minor exceptions, the plaintiff has not made out its claim. The evidence discloses that the defendants have, for the most part, been guilty of lax record keeping and a lack of courtesy towards Mr. Rawji rather than of legal wrongs.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Participants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four individuals who figure most prominently in this action are the joint venturers who put up the money for development of the Mews. They are Mr. Rawji and the defendants Hudda, Lalji, and James Langley. The corporate parties are the vehicles by which the individual investors operated. The plaintiff numbered company was wholly owned and controlled by Mr. Rawji. Cambridge Holdings and Newdale Holdings are Mr. Hudda's and Mr. Lalji's companies respectively.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412634 British Columbia Ltd. was incorporated for the purpose of engaging in land development, and was owned jointly by Cambridge, Newdale and Mr. Langley. At material times, it held the Mews in trust for the joint venturers (the plaintiff, Cambridge, Newdale, and James Langley). Counsel have, accordingly, referred to it as the "Trustee Company" and I will adopt that usage in this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remaining party to this litigation is Shaida Langley. Ms. Langley is a realtor in Kelowna. She is married to James Langley, and is a first cousin of Mr. Hudda. Her main involvement in this case was as the realtor who contracted with the Trustee Company to market the units in the Mews. She received commissions on both the bulk sale and on the small number of individual unit sales of Mews condominiums.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There are some other players who also figure prominently in this matter. The first is International Investment Properties ("IIP"). IIP was a group of related companies that marketed condominiums as an investment vehicle. It was in the business of purchasing the units of condominium projects in bulk, and then, through a number of financial incentives, transforming the individual units into attractive investment opportunities for its clients. Through the use of such incentives, it was able to resell condominium units to individual investors at a substantial profit. The bulk purchase of the Mews property was by an IIP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Another important player in the events giving rise to this claim is Ken Gulenchyn. Mr. Gulenchyn was the construction supervisor hired to oversee the construction of the Mews. He and his wife, Susan Gulenchyn, also bought one of the units of the Mews, receiving a substantial discount on the purchase price. The plaintiff points to that transaction as a particularly suspicious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Finally, mention should be made of Barkat Lalani. Mr. Lalani is a chartered accountant, and Mr. Hudda's brother-in-law. He was retained by the Trustee Company to do its accounting, and his firm prepared the financial statements in respect of the Mews.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 Events Prior to the Mews Project</w:t>
      </w:r>
      <w:r>
        <w:rPr>
          <w:rFonts w:ascii="arial" w:eastAsia="arial" w:hAnsi="arial" w:cs="arial"/>
          <w:sz w:val="20"/>
          <w:lang w:val="en-US" w:eastAsia="en-US" w:bidi="ar-SA"/>
        </w:rPr>
        <w:cr/>
      </w:r>
    </w:p>
    <w:p>
      <w:pPr>
        <w:numPr>
          <w:numId w:val="2"/>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Relations between Lalji, Hudda and Rawji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Hudda and Mr. Lalji were born in East Africa (Mr. Hudda in Uganda and Mr. Lalji in Kenya), and educated in Uganda. They came to Canada in 1972, following the expulsion of Asians from Uganda by Idi Amin. They have known each other for over 40 years, and are very close friends. They have also been partners in numerous investments over the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Hudda and Mr. Lalji are both members of Vancouver's Ismaili community. Both have held important offices in their Jamatkhana, or mosque. Between 1990 and 1993, Mr. Lalji was the Mukhi Saheb of the Darkhana in Burnaby. The Burnaby Darkhana is the most important Jamatkhana in North America. As Mukhi Saheb of the Darkhana, Mr. Lalji was an important religious leader, and a very respected member of the Ismaili community.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Hudda and Mr. Lalji became involved in real estate ventures within a few years of moving to Canada. They have both done well in those ventures.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Rawji is also from East Africa. He was born in Tanzania, but moved to Kenya very early in his life. He is also a member of Vancouver's Ismaili community. He has known Mr. Hudda and Mr. Lalji for over 20 years. At least during some periods, they all attended the same Jamatkhana. They first became close acquaintances in the 1980s, when they were part of a small group that played cards together at each other's houses for several hours each Wednesday night. This arrangement continued for many years, although Mr. Lalji's duties at the Darkhana prevented him from attending during his tenure as Mukhi Saheb.</w:t>
      </w:r>
      <w:r>
        <w:rPr>
          <w:rFonts w:ascii="arial" w:eastAsia="arial" w:hAnsi="arial" w:cs="arial"/>
          <w:sz w:val="20"/>
          <w:lang w:val="en-US" w:eastAsia="en-US" w:bidi="ar-SA"/>
        </w:rPr>
        <w:cr/>
      </w:r>
    </w:p>
    <w:p>
      <w:pPr>
        <w:numPr>
          <w:numId w:val="3"/>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Richmond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1990, Mr. Rawji entered into a minor development venture with Mr. Hudda. Mr. Rawji and his brother bought a lot in Richmond, and Mr. Hudda and his brother bought an adjoining lot. Together, they hired a builder to build similar houses on the two lots. When construction was complete, the two sets of brothers sold the two houses, and split the profits. Although title to each lot was in the name of one set of brothers only, they treated the venture as a joint one, splitting the profits from the two sales equally.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Richmond project was a very informal joint venture. The two sets of brothers did not have any written agreements with one another, and consultation between them appears to have been on a casual basis.</w:t>
      </w:r>
      <w:r>
        <w:rPr>
          <w:rFonts w:ascii="arial" w:eastAsia="arial" w:hAnsi="arial" w:cs="arial"/>
          <w:sz w:val="20"/>
          <w:lang w:val="en-US" w:eastAsia="en-US" w:bidi="ar-SA"/>
        </w:rPr>
        <w:cr/>
      </w:r>
    </w:p>
    <w:p>
      <w:pPr>
        <w:numPr>
          <w:numId w:val="4"/>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Kamloops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1991, an acquaintance of Mr. Rawji, Veejay Kajani, approached him to determine whether he would be interested in entering into a partnership to bid for a 20 acre parcel of raw land in Kamloops. It was anticipated that the partnership could subdivide the parcel into 80 lots, and sell them at a profit over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minimum bid for the 20 acre parcel was $750,000, and Mr. Rawji would be required to raise half of the bid amount. While Mr. Rawji was interested in the project, he had little experience with subdividing raw land, and did not have the required $300,000 to $400,000 needed for the investment. As Mr. Rawji thought highly of Mr. Hudda, he approached him for his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Hudda thought the investment would be a good one, and was prepared to partner with Mr. Rawji in raising one-half of the bid amount. He wanted, however, to involve Mr. Lalji in the project, as well. Mr. Rawji knew that Mr. Lalji's investment decisions were generally well-considered and sound. Mr. Lalji was also, as Mukhi Saheb of the Darkhana, a very respected member of the community, and Mr. Rawji was happy to have him involved.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bid proceeded as a joint venture between the Kajani group and Mr. Rawji's group consisting of Mr. Rawji, Mr. Lalji and Mr. Hudda. Together, they successfully bid for the parcel, acquiring it for $1,020,000 - a sum substantially greater than anticipated.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Rawji was apprehensive when it came time to advise Mr. Lalji how much he had bid. Despite the higher than expected price, however, Mr. Lalji accepted the news in good spirit. He described the bid using the word "suffro", a Gujarati expression that apparently has no adequate English translation, but describes a conspicuously high bid made at a charity auction.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Kamloops subdivision project was, ultimately, very successful. Again, as with the Richmond project, there were few formalities among the investors. Annual financial statements were provided to each of them, and they were satisfied.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As the activity on the Kamloops project was winding down, Mr. Rawji told Mr. Hudda that he had surplus funds, and that he would be interested in partnering with him on future ventures.</w:t>
      </w:r>
      <w:r>
        <w:rPr>
          <w:rFonts w:ascii="arial" w:eastAsia="arial" w:hAnsi="arial" w:cs="arial"/>
          <w:sz w:val="20"/>
          <w:lang w:val="en-US" w:eastAsia="en-US" w:bidi="ar-SA"/>
        </w:rPr>
        <w:cr/>
      </w:r>
    </w:p>
    <w:p>
      <w:pPr>
        <w:numPr>
          <w:numId w:val="5"/>
        </w:numPr>
        <w:tabs>
          <w:tab w:val="num" w:pos="760"/>
          <w:tab w:val="clear" w:pos="220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Sierra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At about the same time as the Kamloops project was being undertaken, Mr. Hudda, Mr. Lalji, and Mr. Langley became involved in a subdivision project in Kelowna.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Hudda's cousin, Shaida Langley, was a realtor in Kelowna. She became aware of a collapsed sale of a quarter section of land, and thought that Mr. Hudda and Mr. Lalji might be interested in purchasing it. When she contacted Mr. Hudda, he said that he would be interested, but wondered whether the Langleys would also be interested in participating. Aside from the family connection between Mr. Hudda and Ms. Langley, Mr. Hudda thought that local knowledge might be an asset, and that Mr. Langley's experience in road-building might assist in the subdivision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Langleys agreed to participate in the venture, which became known as the "Sierra Project". Eventually, Mr. Langley, Mr. Hudda and Mr. Lalji incorporated the Trustee Company, which purchased the quarter section of land and subdivided it. Mr. Langley managed the subdivision of the Sierra project in exchange for a management fee. He drilled the wells to provide water to each lot, and built the roads to service the individual lots. This subdivision project was a very successful venture.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Mews Project Prior to Mr. Rawji's Involvement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the fall of 1991, after the first four lots in the Sierra Project were sold, Mr. and Ms. Langley became aware of a parcel of land in Kelowna on which the listing had expired. The vendor spoke to Mr. Langley, and Mr. Langley became the listing agent. Mr. or Ms. Langley then contacted Mr. Hudda and Mr. Lalji, who they thought might be interested in acquiring the 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Hudda and Mr. Lalji travelled to Kelowna to look at the land, and were enthusiastic. In consultation with the Langleys, they formed the view that they could purchase it, obtain development approval, and then profit either by selling the land, or by building a residential condominium project on it and selling the units.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Cambridge Holdings made a successful offer to purchase the parcel. In subsequent discussions between Mr. Langley, Mr. Hudda and Mr. Lalji, the three decided that they would purchase the land together. Accordingly, Cambridge assigned its rights to the Trustee Company, which acquired the 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Mr. Langley's view was that if the Trustee Company proceeded with the various approvals necessary to construct a residential condominium development on the land, it would be able to sell the parcel and realize a profit of between $100,000 and $150,000. He felt, however, that if they chose to build the development themselves, the profit would be substantially higher.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 Langley was keen to have the Trustee Company proceed with the construction for another reason, as well. He had experience in road construction, but there was limited work in that field. He wished to gain experience in building construction. Mr. Lalji and Mr. Hudda agreed that the Trustee Company would develop the land, and the project became known as "the Mews". It was anticipated that profits on the project would be between $260,000 and $300,000.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Plans for the Mews were prepared by January 1992, and Mr. Langley proceeded to obtain municipal approvals. The investors intended to commence construction early in the summer of 1992, but there were delays. Excavation appears to have begun sometime between late August and the middle of September of 1992. A letter of commitment for financing was provided by Canada Trust on September 28, 1992. It provided for a $2 million construction loan on condition that the borrowers put $550,000 into the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This was not unexpected, but posed a problem; Mr. Langley was unwilling or unable to put more money into the project. Although he claims that he did not wish to invest any more money than he already had put up for the land, I find it more plausible that he lacked liquid assets at the time, and was not in a position to put up more money.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any event, Mr. Hudda and Mr. Lalji sought out additional funds. Not surprisingly, given that Mr. Rawji had recently expressed to Mr. Hudda his interest in partnering on future developments, Mr. Hudda approached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Mr. Rawji's Investment in the Mews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 Hudda contacted Mr. Rawji on October 18 or 19, 1992. He told him about the Mews project, and explained that he, Mr. Lalji, and Mr. Langley (who was not known to Mr. Rawji) were putting up $350,000, and that they needed an additional $200,000 in order to release their construction financing. Mr. Hudda initially suggested that Mr. Rawji lend money to the Trustee Company, but Mr. Rawji indicated that he was only interested in participating in the financing of the project if he took an equity interest in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 Hudda and Mr. Rawji discussed terms of the financing. Mr. Rawji was prepared to put up $200,000 - significantly more than the others had put up - because he recognized that he was joining the project late. The others had had their money tied up for a year, during which time they had obtained all required development approvals and commenced construction. Mr. Rawji insisted, however, that in paying by additional sum, he be made an equal partner with the others in the development. He was not prepared to invest $200,000 for a 20% stake in the project, a proposal put forward by Mr. Hudda.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Mr. Hudda spoke to Mr. Lalji and Mr. Langley after his conversation with Mr. Rawji. They agreed that Mr. Hudda could negotiate with Mr. Rawji on the basis that Mr. Rawji would become a 25% partner in the development, provided that Mr. Rawji was able to put up $200,000 immediately.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next day, Mr. Hudda met with Mr. Rawji. A brief note setting out the terms of the investment was prepared. It provided that Mr. Rawji or his company would be putting up $200,000. Sixty-five thousand dollars of that amount would be treated as an interest-free loan, to be paid back before any other distributions to the investors. Thereafter, he would be entitled to 25% of the profits of the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Mr. Rawji recorded, on the same document, his understanding that Mr. Hudda and Mr. Lalji had each invested $132,500 in the project, and that Mr. Langley's investment had been $85,000. He was given to understand that Mr. Langley had obtained an equal share of the project for a smaller contribution than the other investors because it was intended that he would be putting his own time and work into the project in a management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Mr. Rawji wished to have a written joint venture agreement prepared. This was a formality that had not been undertaken in the Richmond or Kamloops projects. I attribute Mr. Rawji's desire for a written agreement to the fact that his name did not appear on the title to the Mews property, and to the fact that the capital arrangements for this project were somewhat more complex than those for the previous projects. I do not think the fact that the parties entered into a written joint venture agreement is indicative of any intention to conduct their business in a particularly formal manner; all indications are that they were content with the sort of casual project management that Mr. Hudda and Mr. Rawji had engaged in during previous projects.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Mr. Rawji, through the plaintiff company, advanced $200,000 toward the project immediately, and the drafting of a written joint venture agreement was referred to the Trustee Company's lawyer. There were delays in finalizing the agreement, and eventually Mr. Rawji had his own lawyer get involved in the drafting. The final agreement was not ready until March 1993.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Joint Venture Agreement is a fourteen page document, but it is fairly straightforward in its contents. It provides, generally, that the Trustee Company holds the Mews as a trustee for the four investors (Cambridge, Newdale, James Langley, and Mr. Rawji's numbered company). It recites that Cambridge and Newdale have each put up capital contributions of $132,500, that Mr. Langley has contributed $85,500, and that Mr. Rawji's company has put up $200,000. It provides that after payment of all property acquisition, development and selling costs and retirement of the Canada Trustco Mortgage, the first $67,500 of distributions will go to Mr. Rawji's company, then distributions will go to repaying the capital investments of Cambridge, Newdale and Rawji's company to reduce them to $85,000. Thereafter, funds are to be distributed equally to the four joint venturers.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As will be seen, the Joint Venture Agreement's recital of the capital contributions of Cambridge, Newdale, and Mr. Langley do not accurately reflect their actual capital contributions. Nonetheless, it is clear that the intent of the agreement is that each of the investors would receive his or its capital investment back, and then any profits would be distributed equally.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Meeting of March 10, 1993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When the Joint Venture Agreement was ready, it was decided that Mr. Rawji, Mr. Hudda, and Mr. Lalji would travel to Kelowna for the signing. While it appears that the immediate purpose of the trip was the signing of the agreement, there were other benefits to going to Kelowna. The investors would visit the Mews and meet with Mr. And Ms. Langley, and with Mr. Gulenchyn, the Construction Manager. They would have a chance to be briefed on the progress of construction and marketing, and to see the site. They also planned to continue on to Kamloops after Kelowna, apparently to meet with their partners on the Kamloops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Mr. Hudda, Mr. Lalji, and Mr. Rawji drove up to Kelowna in one car, together with Mr. Hudda's brother, Sully Hudda, and a friend, Mr. Sadruin Tarmohamed.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various witnesses have somewhat different recollections of the sequence of events once they arrived in Kelowna on March 10, 1993. For the most part, the differences are not material. In any event, having thoroughly reviewed the evidence, I make the following findings with respect to the events of that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On their arrival the five men attended at the office of Ms. Langley. Any discussions there were of a purely casual nature. From there, they proceeded, with Ms. Langley, to the Capri Hotel for lunch, where Mr. Langley also joined them. This was the first time that Mr. Rawji had met Mr. and Ms. Langley.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Mr. Rawji claims that this was also the first occasion on which he learned that Ms. Langley was Mr. Hudda's cousin. I prefer Mr. Hudda's evidence on this issue, which is that he told Mr. Rawji that Mr. Langley was married to his cousin during the October telephone conversation. I make this finding for the following reasons. Mr. Langley was to be the person primarily involved in the day-to-day aspects of project development and he was unknown to Mr. Rawji. The fact that Mr. Langley, through a family relationship, was well-known to Mr. Hudda would have been important, and comforting, to Mr. Rawji. I also note that Mr. Rawji was pleased to learn that Ms. Langley was Ismaili; there was no reason for Mr. Hudda not to highlight that fact early 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lunch at the hotel was uneventful. The presence of Mr. Tarmohamed and Mr. Hudda's brother at the table may well have inhibited the others from dwelling on business matters. After lunch, Mr. Hudda, Mr. Lalji, Mr. Langley, and Mr. Rawji proceeded to the offices of Mr. Langley's Realty company for a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Mr. Rawji says that on the way out of the hotel after lunch, Mr. Hudda mentioned to him privately that an additional cash injection of $50,000 was needed for the Mews project, and asked whether Mr. Rawji was willing to advance that amount. I accept Mr. Rawji's testimony that such a conversation occurred. Mr. Hudda knew that there was a cash shortage, and must have known that it would be a topic of discussion at the post-lunch meeting. He would have wanted to personally advise Mr. Rawji of the shortfall. It also makes sense that he would have asked Mr. Rawji about his position on advancing additional funds, so as to avoid a potentially awkward moment at the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Except for an appearance by Ross Langford, the Trustee Company's lawyer, the post-lunch meeting was attended only by Mr. Rawji, Mr. Lalji, Mr. Hudda and Mr. Langley. Mr. Langford was at the meeting only briefly, to provide the parties with the draft Joint Venture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parties executed the Joint Venture Agreement at the meeting. Thereafter, Mr. Langley led a discussion concerning the project, bringing the other investors up to date on what was occurring. Discussion focussed on the financial situation and the construction progress, but touched, as well, on marketing.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This meeting was largely an opportunity for the Vancouver investors to meet with Mr. Langley and be updated on progress. Mr. Hudda and Mr. Lalji had been involved with the project from the outset, and were familiar with Mr. Langley. He was comfortable communicating with them regularly, and they had a fairly good grasp of project's financial status and the general progress of construction. Such was not the case with Mr. Rawji. He had joined the venture late, and he and Mr. Langley did not know each other. Indeed, Mr. Langley appears never to have been comfortable with Mr. Rawji, preferring to communicate with him only through Mr. Hudda, and not directly.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Mr. Rawji, in the result, was more an observer than a participant in the business meeting. As Mr. Rawji himself put it, he "did not know that much about the project at that time; there were a lot of things being discussed" at the meeting. The discussion was largely between Mr. Hudda and Mr. Langley, but Mr. Rawji that was satisfied that "Mr. Hudda was asking the right questions."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Much of what Mr. Rawji heard at the meeting was brand new to him, and it is quite likely that he lacked the contextual background to recognize the significance of some of the information imparted. He trusted Mr. Hudda and Mr. Lalji to ask questions of Mr. Langley and to raise any issues of importance. In determining what was and what was not said at the meeting, therefore, I place less reliance on Mr. Rawji's recollection of events than on the recollections of the other participants.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 am satisfied that a major topic of the meeting was the financial state of the project. There was an urgent need for an injection of $50,000, and a likelihood that a further $100-$150,000 would be required prior to the end of construction. Mr. Langley described various outstanding bills, and the fact that there were some problems with a financing holdback in respect of GST.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 find that Mr. Langley mentioned, probably in passing, that he had not yet collected money owing to him personally as a result of unanticipated excavation costs. I doubt that this matter was pursued at any length - Mr. Hudda and Mr. Lalji knew about the excavation difficulties. Mr. Rawji would not necessarily have differentiated the excavation costs from the other outstanding bills that Mr. Langley was discussing.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With respect to raising additional funds, I do not find that Mr. Rawji was in any way pressured to advance money. Rather, when the topic came up, he volunteered that he had funds to lend, provided terms could be agreed. He wanted 12% interest, personal guarantees from the other investors, and a $500 bonus. The other investors stated that they were not prepared to pay a bonus, and Mr. Rawji agreed to make the loan without a bonus.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Mr. Lalji and Mr. Hudda could easily have raised the funds themselves, and whether one of them or Mr. Rawji put up the money was a matter of convenience, not one of necessity. Mr. Rawji was happy to loan additional funds to the project, on the agreed terms, and the other investors were equally happy with the arrangement.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only other matter of substance discussed at the meeting was that of marketing of the units. Mr. Langley circulated a proposed price list for the units. He described the limited marketing efforts that had been made, and those that were planned. While he was not unduly pessimistic, he may have been concerned with the lack of pre-sales. Mr. Langley suggested that it might help marketing efforts if the investors purchased units themselves - perhaps at a discount - to get sales moving. He indicated that both he and his parents were interested in doing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After the meeting, the parties proceeded to the construction site, where they met Mr. Gulenchyn. The building was about 70% complete at that time. Mr. Hudda's brother and Mr. Tarmohamed also went for a tour of the site. During the tour, there was little discussion. I find, however, that the subject of the investors purchasing units at a discount was once again mentioned, probably in a casual manner. Other than Mr. Langley, no one indicated that they were strongly interested in purchasing a unit.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Events Between the March Meeting and the Bulk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Construction continued on the Mews following the March meeting. Ms. Langley, who had contracted with the Trustee Company to be the listing agent for the Mews units in January, began to plan her marketing efforts in more detail. In April, the disclosure statement for the development was filed. The strata plan was not registered until late May. No units could be formally sold until both these filings were completed.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 find that up until May 1993, there was very little effort put into marketing the units. A single MLS listing covering all of the units was placed in the Multiple Listing Service before May; individual MLS listings had to await the registration of the strata plan, and were not placed until June. As well, a rendering of the Mews that had been produced to assist in obtaining municipal approval was displayed in the reception area of Ms. Langley's real estate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In early May, a large sign was put up on the Mews site indicating that the units were for sale. About the middle of that month, sales brochures for the Mews were printed.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Mr. and Ms. Langley communicated with Mr. Hudda by telephone on a fairly regular basis, and Mr. Hudda passed on information about the state of the development and marketing to Mr. Rawji and Mr. Lalji. While the investors were becoming somewhat nervous about the lack of pre-sales by May, they were not particularly concerned. The market appeared to be healthy, and they felt that offers would come quickly once a show suite was opened. Indeed, for reasons that have not been adequately explained, Mr. Langley amended the proposed price list for the Mews units on May 31, 1993, generally increasing the prices somewhat.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 have heard a great deal of contradictory evidence on when the show suite opened. The Langleys insist that it was open for the May 24, 1993 long weekend, and this recollection is supported by Bruce Stone, a friend of the Langley family. Mr. Gulenchyn also believes, with somewhat less conviction, that the unit opened for the May long weekend. On the other hand, Tim Bird, a realtor in Kelowna who looked at the Mews on behalf of IIP believes that he visited the Mews during the last week of May or first week of June, and that the show suite was not yet open.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revised price list for the Mews is dated May 31, 1993, and invoices for unit cleanup, carpet installation, and final brochure printing point to an opening date in early June.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 find that the show suite was not open to the public until early June. The evidence of the Langleys is, I believe, wishful thinking. Mr. Stone is simply mistaken in his recollection. I am convinced that the best evidence of the opening date comes from the dates of the invoices for final work on the show suite. Mr. and Ms. Langley's explanation that the invoices must have been made up several days after the work was done is unconvincing given the pattern of invoicing for similar services demonstrated by the plaintiff. I think it most likely that the show suite opened for the first weekend in June, 1993.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By the time the show suite opened, there had been only "insider" sales. Ken and Susan Gulenchyn purchased a unit in April. Mr. Langley and his mother each appear to have committed to purchasing units in May, although the offers were not written up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In his evidence at trial, Mr. Rawji stated that he had been interested in purchasing a unit in the Mews, and had repeatedly asked for a price list, but could not obtain one. I do not accept Mr. Rawji's evidence in this regard. There is no documentary evidence supporting the suggestion that this was an issue for him. Further, it is very hard to believe that his joint venturers would have been slow to respond to any interest being expressed in purchasing a unit. They were all starting to become anxious because units were not selling.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In any event, the price lists would have been readily available from any realtor, and it is not conceivable that Mr. Rawji was unable to obtain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In early June, Mr. Lalji and Mr. Hudda went to Kelowna. They wished to see the show suite and discuss marketing with Mr. Langley. Mr. Rawji was not advised of the trip, and found out about it only by accident. Neither Mr. Lalji nor Mr. Hudda has explained why Mr. Rawji was not invited to go with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To my mind, the trip simply underlines the fact that Mr. Rawji was, to a large degree, an outsider among the investors. In many ways, this was Mr. Langley's project. He had pushed Mr. Lalji and Mr. Hudda to go along with it, and he had done the legwork to get it built. He considered Hudda and Lalji to be his partners, and Mr. Rawji to be his "partners' partner". He was comfortable dealing with Mr. Hudda, and he recognized that Mr. Lalji was Mr. Hudda's closest friend and frequent business partner. He wanted to have dealings with Mr. Hudda and Mr. Lalji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Mr. Langley, on the other hand, was not comfortable with Mr. Rawji, whom he "did not know from boo" and did not particularly wish to know. He saw Mr. Rawji as simply an investor, who could be kept informed of matters by Mr. Hudda.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Mr. Hudda and Mr. Lalji, for their parts, greatly respected one another and trusted each others' business judgment. They wanted to go to Kelowna to find out what was happening, and felt most comfortable going together. They saw Mr. Rawji more as a "silent partner"; a person who invested funds, and simply trusted the others to ensure that the project was well-handled.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To a large degree, this assessment was accurate. Mr. Rawji does not appear to have been particularly interested in taking a "hands on" role with respect to the Mews. He was content to get second-hand reports from Mr. Hudda when they met or talked on the phone.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Mr. Rawji was satisfied with a general assessment by Mr. Hudda of how things were progressing, and he did not seek details. For example, the Joint Venture Agreement provided that each of the joint venturers would receive a monthly statement of income and expenses. These were never prepared or provided. While Mr. Rawji weakly suggested in evidence that he "mentioned" this once or twice to Mr. Hudda, he admitted that he did not pursue it strongly. I find it unlikely that Mr. Rawji ever raised this issue with Mr. Hudda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All this said, Mr. Rawji understandably felt excluded when he was not invited to go with Mr. Lalji and Mr. Hudda to Kelowna in June of 1993. At the very least, their failure to advise Mr. Rawji of the trip was discourteous.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It does not appear, however, that anything of substance occurred on the June trip to Kelowna. Mr. Hudda and Mr. Lalji saw the show suite, and were impressed with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 accept the evidence of Ms. Langley that once the show suite was ready, it was open from 1:30 p.m. to 4:00 every day. I also accept that it was well-appointed, and that for the first while, there was a large number of people who went through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Unfortunately for the joint venturers, visits to the show suite did not translate into sales. The first arms-length contract of purchase and sale was not entered into until June 20. A second was entered into on June 27, though it was subject to a number of conditions that were never satisfied, and that sale collapsed.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In the meantime, Mr. Rawji was approached by Mr. Hudda and asked whether he was prepared to lend a further $100,000 for the Mews project on the same terms as the March loan. Mr. Rawji was prepared to do so, but only on the basis that Mr. Lalji and Mr. Hudda personally guaranteed the loan. Mr. Rawji indicated that he did not consider Mr. Langley's personal guarantee to be of value. The loan was made on June 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Bulk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As construction on the Mews neared completion in late May or early June of 1993, Tim Bird, a realtor, came to look at the Mews on behalf of his client, IIP.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IIP was in the business of purchasing complete residential condominium developments and then selling the individual units to investors. It had a sophisticated marketing program, involving investor seminars in various cities. Prospective investors joined the company's "Wealth Builder Club", and were then entitled to purchase individual condominium units as investments.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In order to make the units attractive, IIP provided a number of incentives. These included "mortgage buy downs" and rental subsidies. These incentives allowed investors to purchase the properties with minimal down payments (as little as $2500), and with a reasonable assurance that rental income would cover mortgage payments. IIP's marketing system was elaborate and costly. It was also (at least at that time) highly successful, and IIP had a waiting list of investors looking for properties.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On June 30, 1993, Mr. Bird presented an offer to purchase the available units in the Mews (i.e. all units other than the two Gulenchyn and two Langley units and the two units on which arms-length offers had been accepted) for $2,450,000.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Mr. Langley received the offer. He considered it to be a "lowball" offer, and did not bother to even tell his joint venturers about it. Indeed, without taking any specific instructions from Mr. Lalji, Mr. Hudda or Mr. Rawji, he made a counteroffer, to sell the 25 units for $2,800,000. IIP showed no interest in the counteroffer. A subsequent offer by Mr. Langley to sell the units for $2,737,000 was also rejected.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IIP's normal modus operandi was to make an offer, and abandon interest in a project if the offer was not accepted. In the case of the Mews, however, it decided to make a second offer, again at $2,450,000, on July 16, 1993.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By this time, Mr. Langley took the view that the offer should be accepted. In light of the low amount of the offer, however, he felt that he should get the approval of his joint venturers. On July 16, he spoke to Mr. Hudda, advising him that it would be up to the Vancouver partners whether the offer was accepted or not, but also indicating that he thought it should be accepted. He faxed the offer and a note to Mr. Hudda that afternoon.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The note read: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Pilu I faxed you the offer.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realtor who is bringing the offer to us will only reduce his commission to $50,000.00. Shaida is of the oppinion she should get the same amount as the other realtor. With great disappointment she will accept less, but not less than $25,000.00. The actual amount you will have to agree knowing yourselves and her.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feel we are currently experiencing a flat spot in the Kelowna Marketplace which may last long enough to use up all our Interest budget and still have us on the market when the upcoming 100-150 new units are on stream.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acceptance or rejection of this offer is totally up to you in Vancouver Now knowing my feelings ect. Please let me know your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Pilu is a nickname for Mr. Hudda.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Mr. Hudda was very busy in the last half of July of 1993. His daughter was getting married on July 31, and the wedding was a large one, with a number of receptions. Further, Mr. Hudda was going to Africa for a full month shortly after the wedding. In the circumstances, he spent very little time considering the IIP offer. Instead, he left it in the hands of Mr. Lalji, asking him to discuss it with Mr. Rawji, and stating that in his own view, it should be accepted.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Mr. Lalji himself contacted Mr. Langley to discuss the offer. What happened next is a matter of dispute. Mr. Lalji says he contacted Mr. Rawji, talked to him about the offer, and then got his fax number and faxed him a copy of the offer. Mr. Rawji says that he did not hear anything about a bulk offer until approximately the third week of August, when Mr. Hudda spoke to him and said that a bulk offer was expected, and that details would be forthcoming.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Clearly, either Mr. Lalji or Mr. Rawji is incorrect in his recollection of events. Mr. Rawji says that in July of 1993, he did not have a fax line separate from his ordinary telephone line. Under the circumstances, he could not (as Mr. Lalji says he did) provide him with his "fax number". He says further that he never received a fax from Mr. Lalji. Mr. Lalji is unable to produce the original of any fax cover page or note to Mr. Rawji.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Also, in favour of Mr. Rawji's version of events, it is noteworthy that in early August, when an addendum was added to amend the agreement, Mr. Langley faxed it to Mr. Hudda, with a note requesting that he provide a copy to Mr. Lalji. It is not disputed that none of the three thought to provide Mr. Rawji with a copy of that document. Again, this points to Mr. Rawji being seen as an "outsider", and not someone who they considered had to be consulted.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On the other hand, Mr. Rawji's apparently certainty that he first heard of the bulk offer in late August cannot be correct.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First, it should be noted that there is no rational explanation for why Mr. Hudda would have pretended, in late August, that the bulk offer was anticipated but not yet received. It would have been obvious that Mr. Rawji would eventually find out that the offer had been accepted in July. Further, there is no explanation as to why Mr. Hudda would falsely report to Mr. Rawji that an offer was expected, and not follow up with a later call indicating that an offer had been received. If one accepts Mr. Rawji's evidence, it is that Mr. Hudda inexplicably tried to deceive him as to the date of the offer, but made no effort at any time to give Mr. Rawji the impression that he was being consulted as to whether or not the offer should be accepted.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By far the biggest problem with Mr. Rawji's version of events, however, is that Mr. Hudda was indisputably travelling in Africa at the time that Mr. Rawji purports to have talked to him in Vancouver. Indeed, Mr. Hudda was away from Vancouver from August 8 to September 12, 1993.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In the circumstances, I find that Mr. Rawji is, at best, seriously mistaken as to when he was advised of the bulk purchase offer. While I have some doubts as to whether the actual offer was ever faxed to him, I find that he was advised of the general provisions of the offer on July 16 or 17, 1993, (probably July 17) in a telephone call from Mr. Lalji.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I also find that Mr. Rawji, in common with Mr. Lalji and Mr. Hudda, was content to accept the bulk offer. Mr. Rawji's own evidence is that he was concerned that sales were not occurring, and worried that his last loan of $100,000 may have "over-extended" him. He agrees that when advised of a bulk offer, his initial reaction was one of relief. He says that the possibility of making a modest profit on the project was positive to him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Mr. Lalji says that during his telephone conversation with Mr. Rawji, Mr. Rawji expressed tremendous relief on hearing of the offer. Mr. Lalji claims that Mr. Rawji used the Gujarati expression "jaan chhodawo", which I am told roughly translates as "good riddance", when told that they would be able to sell all of the Mews units without taking a loss on their investment.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The bulk sale offer was accepted very quickly; although the offer was open for acceptance until July 19, it was accepted on July 17 - probably the same day that Mr. Rawji was first advised of its existence.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Amendments to the Bulk Sale Agreement in Late July 1993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The Bulk Sale Agreement allowed the purchaser a period of due diligence, and allowed the vendor to continue selling individual units until such time as the purchaser had removed all of the conditions on the offer. The show suite in the Mews continued to operate, and units remained for sale. One unit was, in fact, sold on July 27, and removed from the bulk sale. The sale price on the bulk sale was adjusted, using a formula based on the area of the units, to reflect the unavailability of the unit.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On July 30, Mr. Langley met with principals of IIP to deal with some amendments to the Bulk Sale Agreement. He was, at that time, in Vancouver to attend Mr. Hudda's daughter's wedding. A final version of the bulk sales agreement was entered into at that time. Mr. Rawji was neither consulted regarding, nor informed of the detailed amendments. Mr. Lalji and Mr. Hudda were provided copies of the amendments, but were not involved in negotiating or approving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Sale of Unit 403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The final version of the bulk sale agreement was for a sale of 24 units. It did not include Unit 403; that unit had been sold by the Trustee Company to an individual purchaser on June 28, 1993 for $128,800, subject to the purchasers being able to sell their own residence. This condition was not fulfilled, and on August 24, 1993, the purchasers' realtor contacted Ms. Langley to advise her that the sale of Unit 403 had collapsed.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The unit was immediately offered to IIP for $115,500, a price which IIP rejected. It made a counter-offer, based on the formula used for the bulk purchase, at $113,000. Mr. Langley accepted the counteroffer. Mr. Hudda was in Africa at the time of the negotiations for Unit 403; probably as a result of his absence, Mr. Langley elected to neither consult nor inform his joint venturers of the developments with respect to unit 403.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Mr. Langley and some of the representatives of IIP suggest that the sale of unit 403 was covered by "the spirit of the bulk sales agreement" if not by its terms. I reject that suggestion. Nothing in the bulk sales agreement, nor in the negotiations leading up to it, suggests that IIP had any right or duty to purchase additional units if they became available.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Indeed, the fact that there were negotiations, even if perfunctory ones, prior to the agreement between the Trustee Company and IIP for the sale of Unit 403 indicates that there was no binding agreement in place between the parties. The Trustee Company, through the agency of Mr. and Ms. Langley, attempted to get slightly more for unit 403 than for the other units in the bulk sale, while IIP was prepared only to purchase it for a price based on the formula used in the bulk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Distribution of the proceeds of the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As the various sales completed and bills were paid, money became available for distribution to the joint venturers. On September 12, 1993, Mr. Hudda talked to Mr. Rawji, probably at the Jamatkhana, and asked him to come to meet with him at his office the next day, to deal with the initial distribution of the proceeds of the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Mr. Rawji says that this was the first time he became aware that the bulk sale had been made. For reasons discussed above, I find that Mr. Rawji had knowledge of the bulk sale offer by July 17, 1993, and that approved it. It is possible, however, that he was not fully informed of the closing of the deal, and I accept that he may have been surprised that funds were available for distribution as early as mid-September 1993.</w:t>
      </w:r>
      <w:r>
        <w:rPr>
          <w:rFonts w:ascii="arial" w:eastAsia="arial" w:hAnsi="arial" w:cs="arial"/>
          <w:sz w:val="20"/>
          <w:lang w:val="en-US" w:eastAsia="en-US" w:bidi="ar-SA"/>
        </w:rPr>
        <w:cr/>
      </w:r>
    </w:p>
    <w:p>
      <w:pPr>
        <w:numPr>
          <w:numId w:val="6"/>
        </w:numPr>
        <w:tabs>
          <w:tab w:val="num" w:pos="760"/>
          <w:tab w:val="clear" w:pos="220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Mr. Langley's Relinquishment of Profits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By the time the first distribution was made, in September, Mr. Langley had agreed to relinquish his entitlement to any profits in the venture. Mr. Langley, Mr. Lalji and Mr. Hudda say that this decision was purely voluntary on the part of Mr. Langley. They say that he felt badly that the profits on the project had not reached the levels that he anticipated, and that he therefore gave up his share of the profits.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Mr. Rawji says that, at the time of the initial distribution, in September 1993, Mr. Hudda advised him that Mr. Langley would not be sharing in the profits because Mr. Langley had been guilty of a number of "irregularities" (I note that the actual word used was a Gujarati one, and it may be that the word "irregularities" does not cover all of its nuances).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To some extent, this proposition enjoys support in the evidence of Mr. Lalji. Mr. Lalji says that when he initially spoke to Mr. Langley about the latter's decision to relinquish his right to share in the profits, Mr. Langley told him that he came to his decision because Mr. Hudda had been disappointed in the profits, and had told Mr. Langley that he felt that they had been generous with him, and yet he had not managed the project in such a manner as to conform with profit projections. It may well be that Mr. Hudda's impression at the time was that Mr. Langley was being pressured to relinquish profits as a result of his poor performance.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I accept that Mr. Hudda did make a statement to Mr. Rawji to the effect that Mr. Langley was relinquishing his profits as a result of irregularities. I do not, however, see this as wholly inconsistent with the proposition that Mr. Langley voluntarily gave up his share of the profits, and that this was primarily because profits did not reach the anticipated levels.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This project was under Mr. Langley's day to day control. He failed to ensure that it was constructed on schedule. By his own admission, he insisted on building specifications that made construction more expensive than it need have been. He and Ms. Langley produced a late effort at marketing the project, with lacklustre results. Finally, he failed to keep adequate records of the costs and expenditures - the accounting for construction was a horrible mess.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Under these conditions, Mr. Langley rightly felt embarrassed about the way the project had been handled - particularly when his wife had enjoyed sizeable commissions on real estate sales without having expended much effort on the marketing of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I expect Mr. Hudda expressed his disappointment to Mr. Langley. Thereafter, Mr. Langley advised Mr. Hudda and Mr. Lalji that he was relinquishing his profits because he felt at least somewhat responsible for the fact that the project's profits had not met his expectations.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I doubt that Mr. Langley ever described the situation as one of 'irregularities'. It is quite possible, however, that in September of 1993, Mr. Hudda described the situation in blunter terms than Mr. Langley would have used. He may well have conveyed the idea that Mr. Langley was guilty of 'irregularities' in speaking to Mr. Rawji.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I do not, in any event, consider that whatever Mr. Hudda may have said was intended to convey to Mr. Rawji the idea that Mr. Langley had been guilty of fraud. Rather, any 'irregularities' were a result of Mr. Langley's lack of experience as a developer, and Ms. Langley's limited efforts at marketing the project.</w:t>
      </w:r>
      <w:r>
        <w:rPr>
          <w:rFonts w:ascii="arial" w:eastAsia="arial" w:hAnsi="arial" w:cs="arial"/>
          <w:sz w:val="20"/>
          <w:lang w:val="en-US" w:eastAsia="en-US" w:bidi="ar-SA"/>
        </w:rPr>
        <w:cr/>
      </w:r>
    </w:p>
    <w:p>
      <w:pPr>
        <w:numPr>
          <w:numId w:val="7"/>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Distribution of Proceeds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The first payment was made to the plaintiff and Mr. Rawji on September 13, 1993. At that time, Mr. Rawji's loans to the Trustee Company were repaid (interest on the loans was repaid at a later date). The plaintiff also received a repayment of its priority capital contribution in the amount of $65,000 (not, it would appear, the $67,500 referred to in the joint venture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A second distribution was made on September 28, 1993. On that date, each of Newdale, Cambridge and the plaintiff received $77,000 in partial repayment of their capital contributions. Further repayments were made on October 5 and 8, 1993, totalling $43,000 for each of the three companies.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Each of these payments appear to have been made based on the amount of money available in the bank account that was used primarily for the Mews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By October 18, 1993, Mr. Hudda had consulted with the Trustee Company's accountant, Mr. Lalani, and had become aware that both Newdale and Cambridge had under-contributed capital to the joint venture. Rather than the $132,500 stated in the joint venture agreement, or the $135,000 he had based the earlier repayments on, the two companies had, in fact, put up only $113,000. In an effort to deal with the under-contribution, Mr. Hudda adjusted the payments of October 18, 1993, paying the plaintiff $39,000, and the other two companies $17,000 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A final distribution was made on November 29, 1993, in the amount of $15,000 to each of the three companies. In the result, Cambridge and Newdale each received back their total investment of $113,000, plus profit of $40,000. The plaintiff received back its investment of $200,000, plus a profit of $40,000.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A balance of $6488.00 remained undistributed as of the end of 1993. By that time, Mr. Langley had taken the position that his share of the profits should have gone to Newdale and Cambridge, and not to the plaintiff. Mr. Hudda, accordingly, took the position that the plaintiff had already been over-compensated, and refused to allow the plaintiff to share in the balance that apparently remained.</w:t>
      </w:r>
      <w:r>
        <w:rPr>
          <w:rFonts w:ascii="arial" w:eastAsia="arial" w:hAnsi="arial" w:cs="arial"/>
          <w:sz w:val="20"/>
          <w:lang w:val="en-US" w:eastAsia="en-US" w:bidi="ar-SA"/>
        </w:rPr>
        <w:cr/>
      </w:r>
    </w:p>
    <w:p>
      <w:pPr>
        <w:numPr>
          <w:numId w:val="8"/>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Repayment of Langley's Capital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While there is little dispute over the amount of capital contributed to the project by Newdale and Cambridge, Mr. Langley's capital contribution is a matter of significant dispute. I will consider the issue of his capital contribution later in this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What is clear is that Mr. Langley purported to repay himself a capital contribution of $105,000. He did so in three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First, he repaid an amount of $40,000 that he borrowed from the Sierra Project account with a transfer from the Mews account. He treated the withdrawal from the Mews account as a diminution of his capital investment in the Mews.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Second, when his mother purchased her unit in the Mews, he instructed the solicitor who dealt with the conveyance to include as part of the payment for the unit an amount of $53,974.22, attributed to a repayment of his capital investment in the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Finally, Mr. Langley drew the balance of his capital by way of an $11,025.78 cheque on the Mews account payable to himself. These three amounts, $40,000.00, $53,974.22 and $11,025.78 add up to $105,000, which Mr. Langley claims to be his actual capital contribution to the Mews.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Discussions in 1994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In 1994, Mr. Rawji was provided with a draft copy of the Trustee Company's 1993 financial statements. He was not satisfied with them. In particular, he raised three complaints with Mr. Hudda and Mr. Lalji.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First, he did not accept that Mr. Langley's share of profits should be divided 2 ways as opposed to 3. He therefore considered the plaintiff company to be entitled to one-third of the $6488 remaining in the Mews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Second, he considered that the plaintiff company was entitled to be compensated in respect of the under-contributions to capital made by Newdale and Cambridge. He argued that the plaintiff company's share of the profits in the venture should have been increased to compensate for their underinvestment.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Finally, Mr. Rawji was aggrieved by the fact that Mr. Hudda and Mr. Lalji had charged travel expenses totalling $5760 to the Mews project. As Mr. Rawji had paid his share of expenses to attend the March 4, 1993 meeting out of his own pocket, he considered it illegitimate for the other joint venturers to be charging travel expenses to the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Mr. Rawji says that he met with Mr. Hudda and Mr. Lalji in the summer of 1994 to discuss his complaints. Mr. Hudda and Mr. Lalji deny that the meeting occurred. I do not think that it is important to determine whether or not the meeting occurred. On all of the evidence, it is clear to me that Mr. Rawji was, indeed, concerned about these three issues in 1994, and that he had discussions with Mr. Hudda and Mr. Lalji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1994 to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Mr. Rawji discussed his concerns about the distribution of profits from Mews project with Mr. Lalji and Mr. Hudda in the spring or summer of 1994. Thereafter, the three men remained friends for a period of time. They played cards at one another's houses regularly. By early 1997, however, Mr. Rawji's relations with the other two men had deteriorated, and Mr. Hudda left the card group. Still, in August of 1997, when Mr. Rawji's son got married, Mr. Hudda and Mr. Lalji were invited to a reception at Mr. Rawji's house. That honour is normally extended only to family members and close friends.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While the distribution of funds from the Mews may have remained an issue between Mr. Rawji and the others, it was not a major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Revenue Canada Inquiries and 1998 Meetings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The situation changed abruptly in late September, 1997, when Mr. Rawji received a telephone call and a letter from Revenue Canada regarding The Mews project. The department's concern was that the units of the Mews that had been part of the bulk sale had been transferred for amounts far greater than reported in the financial statements for the Mews. An explanation of the discrepancy was demanded.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Mr. Rawji was alarmed by the demand for an explanation - it suggested that large profits from the bulk sale had not been disclosed to him, and that the sales to the Langleys and the Gulenchyns had been below market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Mr. Rawji contacted Mr. Hudda, who also purported to be surprised by the suggestion that the bulk sale had been much more profitable than the accounting records disclosed.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On being unable to obtain satisfactory responses from Mr. Hudda, Mr. Rawji wrote, in frustration, to Revenue Canada in late October, inviting the department to do a full audit of the Mews development.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Eventually, Mr. Lalani provided extensive information to Revenue Canada on the Mews. While his explanation did not fully satisfy Revenue Canada in respect of certain aspects of the Mews accounting - particularly the treatment of the Langley capital contributions and distributions, and the travel expenses - the department was sufficiently mollified that it abandoned its audit in June of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Before Revenue Canada abandoned its audit, there were two meetings at which Mr. Rawji sought explanations from the joint venturers with respect to the accounting on the Mews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On February 13, 1998, Mr. Rawji met with Mr. Hudda, Mr. Lalji, and Mr. Lalani. He expressed concern about a number of items, including travel expenses, the under-contributions of capital by Newdale and Cambridge, the lack of clear information about Mr. Langley's capital contribution, the credit taken by Mr. Langley on the purchase of his mother's unit, possible co-mingling of funds between the Sierra and Mews projects, and the large discrepancy between the amounts received by the joint venture from IIP and the amounts for which the units were actually sold to individual investors.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Mr. Rawji did not consider that the others provided adequate answers to any of the concerns he raised at the February 13, 1998 meeting. He wanted a complete audit. Mr. Hudda, Mr. Lalji and Mr. Lalani curtly invited him to have an audit done, at his own expense, if he wished.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A last attempt to discuss matters occurred in May of 1998. A meeting was set up at Mr. Hudda's office, to be attended by Mr. Hudda, Mr. Lalji, Mr. Langley and Mr. Rawji. When Mr. Rawji arrived, however, he learned that the others had already met for some time, and had proceeded to go across the street to a restaurant for lunch.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When Mr. Rawji attended at the restaurant, Mr. Langley refused to speak to him, and told him that all further communications should be with his lawyer. Mr Rawji and the plaintiff commenced this lawsuit by Writ of Summons filed July 30,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Claims Advanced in this Lawsuit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The plaintiff advances several claims in this lawsuit. In relation to the bulk sale, it alleges that the transaction was fraudulent, and that the defendants secretly profited from it. In the alternative, it alleges that the transaction amounted to a breach of trust, or that it was negligent of the Trustee Company to accept IIP's discounted offer for the units of the Mews.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The plaintiff also alleges that the sale of unit 403 to IIP was at less than market value, and was fraudulently or negligently entered into.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The plaintiff challenges the sales of the units to the Langleys and the Gulenchyns, saying that the transactions were at less than fair market value. It claims that it should be compensated for the loss of profit incurred as a result of those sales.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The plaintiff claims that Ms. Langley was wrongly paid commissions on the various transactions, and claims damages as a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Mr. Langley's various drawings from the company are also challenged. The plaintiff alleges that Mr. Langley was repaid for capital contributions that he never made, and compensated for excavation work that he did not undertake.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Finally, the plaintiff claims that the accounting with respect to the Mews understated the plaintiff's entitlement to distributions. It did so by failing to give the plaintiff it's share of the relinquished Langley profits, by failing to account for the under-contribution to capital by Mr. Hudda and Mr. Lalji, by crediting Mr. Hudda and Mr. Lalji with travel expenditures that they were not entitled to, and by charging expenses to the Mews that should have been charged to the Sierra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Was the Bulk Sale Fraudulent?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The Trustee Company sold 24 units to IIP in the bulk sale. A further unit (Unit 403) was added to the bulk sale prior to the closing. According to land title documents, individual investors paid some $642,537.80 more for the units than the Trustee Company received for them. The plaintiff sees this as evidence of fraud, which it has particularized thus: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 alleges that the defendants conspired and colluded with the bulk purchaser and its assignee to sell 24 or 25 strata lots to the bulk purchaser at substantially less than fair market value, thus depriving the plaintiff of profit from the sale of those strata lots.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xml:space="preserve">  The plaintiff concedes that it has no direct evidence of collusion or conspiracy. It says, however, that the circumstances of the case "excite suspicion" and include "badges of fraud". It relies on the case of Koop v. Smith </w:t>
      </w:r>
      <w:hyperlink r:id="rId887" w:history="1">
        <w:r>
          <w:rPr>
            <w:rFonts w:ascii="arial" w:eastAsia="arial" w:hAnsi="arial" w:cs="arial"/>
            <w:i/>
            <w:color w:val="0077CC"/>
            <w:sz w:val="20"/>
            <w:u w:val="single"/>
            <w:shd w:val="clear" w:color="auto" w:fill="FFFFFF"/>
            <w:lang w:val="en-US" w:eastAsia="en-US" w:bidi="ar-SA"/>
          </w:rPr>
          <w:t>(1915), 51 S.C.R. 554</w:t>
        </w:r>
      </w:hyperlink>
      <w:r>
        <w:rPr>
          <w:rFonts w:ascii="arial" w:eastAsia="arial" w:hAnsi="arial" w:cs="arial"/>
          <w:color w:val="000000"/>
          <w:sz w:val="20"/>
          <w:lang w:val="en-US" w:eastAsia="en-US" w:bidi="ar-SA"/>
        </w:rPr>
        <w:t xml:space="preserve">, </w:t>
      </w:r>
      <w:hyperlink r:id="rId888" w:history="1">
        <w:r>
          <w:rPr>
            <w:rFonts w:ascii="arial" w:eastAsia="arial" w:hAnsi="arial" w:cs="arial"/>
            <w:i/>
            <w:color w:val="0077CC"/>
            <w:sz w:val="20"/>
            <w:u w:val="single"/>
            <w:shd w:val="clear" w:color="auto" w:fill="FFFFFF"/>
            <w:lang w:val="en-US" w:eastAsia="en-US" w:bidi="ar-SA"/>
          </w:rPr>
          <w:t>25 D.L.R. 355</w:t>
        </w:r>
      </w:hyperlink>
      <w:r>
        <w:rPr>
          <w:rFonts w:ascii="arial" w:eastAsia="arial" w:hAnsi="arial" w:cs="arial"/>
          <w:color w:val="000000"/>
          <w:sz w:val="20"/>
          <w:lang w:val="en-US" w:eastAsia="en-US" w:bidi="ar-SA"/>
        </w:rPr>
        <w:t xml:space="preserve"> for the proposition that once such suspicions arise, the burden of proof of the bona fides of a transaction shifts to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There are some suspicious circumstances with respect to the bulk sale. The sale price is about 15% below the prices at which the Trustee Company listed the units, and several hundred thousand dollars below the price at which the units appear to have been transferred to individual investors.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It is also noteworthy that the defendants initially advised the plaintiff that the discrepancy in price was due to IIP reselling the units to offshore investors, apparently as part of an immigration scam. There was no truth at all to that explanation.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As well, the plaintiff says that it was not consulted on the bulk sale, that the sale occurred inexplicably quickly at a time when the units had not been adequately exposed to the market. The plaintiff also notes that the bulk purchaser's offer came shortly after a mysterious visit to Kelowna in early June by Mr. Hudda and Mr. Lalji.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In my view, the defendants have more than adequately explained the circumstances of the bulk sale, and I find no merit in the plaintiff's contention that the sale was a result of collusion between the buyer and seller, or was a product of a conspiracy.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I am satisfied that the bulk sale was an arm's length transaction entered into after hard bargaining by the vendor and purchaser. The purchaser, IIP, was able to resell the units at a substantially greater price than it paid because of its skilful marketing of its "Wealth Builder Club" and because it provided substantial financial incentives to investors who purchased units, including rent guarantees, mortgage buy-downs, and arranged financing. The prices that IIP obtained for the units were premium prices, reflecting its expenditures on these financial incentives. Those prices were substantially in excess of the fair market value of the units.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As I have indicated, I find that the plaintiff was consulted prior to the bulk sale being entered into, and that the plaintiff approved the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I do not find the various other circumstances described by the plaintiff to be particularly suspicious. It is not surprising that IIP, in purchasing the entire project, would receive a substantial discount from the list prices. Effectively, this was a wholesale rather than a retail purchase.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The joint venturers' initial statements that offshore investors involved in an immigration scam may have purchased the units from IIP were nothing more than speculation.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The June trip to Kelowna by Mr. Hudda and Mr. Lalji, as I have already indicated, had no sinister purpose - they simply went to look at the show suite. Their failure to invite Mr. Rawji to join them was discourteous, not conspiratorial.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With respect to the rapidity and timing of the sale, I am satisfied the IIP's business was an efficient one, and that it typically arranged bulk purchases within limited timeframes. It was not interested in purchasing projects where a significant number of units had already been sold, and so it was able to pressure the Trustee Company into a quick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Breach of Trust in Relation to the Bulk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The plaintiff argues that even if the bulk sale was not fraudulent, it was improvident, and that, having failed to consult with the plaintiff prior to entering into it, the defendants are liable to it in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While I accept that joint venturers owe a fiduciary duty to one another, it is my view that there is no arguable breach of that duty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I am satisfied that the decision to accept the bulk purchase offer was made by all of the joint venturers, including Mr. Rawji. They made the decision with adequate knowledge as to the state of the Kelowna market and the project. None took financial advantage of the others; rather, each was relieved to take a moderate profit from the project rather than leaving their capital at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Accepting the Bulk Purchase Offer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xml:space="preserve">  The plaintiff argues that the bulk sale failed to realize maximum profits for the joint venture, and that the defendants are liable, both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marketing the property, and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electing to accept an inadequate offer.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The marketing of the Mews units was less than ideal. Ms. Langley made almost no effort to market the units until the display suite opened in early June of 1993. Thereafter, however, it appears that she did make appropriate marketing efforts, both in terms of ensuring that the show suite was well-appointed and open convenient hours, and in terms of local advertising.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xml:space="preserve">  There seems to have been little interest in the units. While it may be that the units were listed at too high a price, I find that the pricing was not so high as to amount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The decision to accept the bulk offer was taken jointly by the joint venturers, including the plaintiff, and it is not open to the plaintiff to now argue that the decision was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In any event, I do not accept that it is open to the court to find the acceptance of the bulk purchase offer to have been negligent. The joint venturers chose to take a conservative approach, accepting a moderate profit rather than holding out for an larger one and taking the risk of a loss. It would be wrong for the court to second-guess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xml:space="preserve">  Both the listing prices of the units and the acceptance of the bulk purchase offer were judgment calls, based on the joint venturers' balancing of financial risks against potential profits. I agree with the defendants that a court should be slow to find an exercise of business judgment to have been negligent. In this regard, the defendants cite Act Enterprises Ltd. v. Cliger Construction Ltd., </w:t>
      </w:r>
      <w:hyperlink r:id="rId889" w:history="1">
        <w:r>
          <w:rPr>
            <w:rFonts w:ascii="arial" w:eastAsia="arial" w:hAnsi="arial" w:cs="arial"/>
            <w:i/>
            <w:color w:val="0077CC"/>
            <w:sz w:val="20"/>
            <w:u w:val="single"/>
            <w:shd w:val="clear" w:color="auto" w:fill="FFFFFF"/>
            <w:lang w:val="en-US" w:eastAsia="en-US" w:bidi="ar-SA"/>
          </w:rPr>
          <w:t>2001 BCSC 1110</w:t>
        </w:r>
      </w:hyperlink>
      <w:r>
        <w:rPr>
          <w:rFonts w:ascii="arial" w:eastAsia="arial" w:hAnsi="arial" w:cs="arial"/>
          <w:color w:val="000000"/>
          <w:sz w:val="20"/>
          <w:lang w:val="en-US" w:eastAsia="en-US" w:bidi="ar-SA"/>
        </w:rPr>
        <w:t xml:space="preserve">, </w:t>
      </w:r>
      <w:hyperlink r:id="rId889" w:history="1">
        <w:r>
          <w:rPr>
            <w:rFonts w:ascii="arial" w:eastAsia="arial" w:hAnsi="arial" w:cs="arial"/>
            <w:i/>
            <w:color w:val="0077CC"/>
            <w:sz w:val="20"/>
            <w:u w:val="single"/>
            <w:shd w:val="clear" w:color="auto" w:fill="FFFFFF"/>
            <w:lang w:val="en-US" w:eastAsia="en-US" w:bidi="ar-SA"/>
          </w:rPr>
          <w:t>93 B.C.L.R. (3d) 176</w:t>
        </w:r>
      </w:hyperlink>
      <w:r>
        <w:rPr>
          <w:rFonts w:ascii="arial" w:eastAsia="arial" w:hAnsi="arial" w:cs="arial"/>
          <w:color w:val="000000"/>
          <w:sz w:val="20"/>
          <w:lang w:val="en-US" w:eastAsia="en-US" w:bidi="ar-SA"/>
        </w:rPr>
        <w:t>, wherein respondent's counsel described the "business judgment rule" in these terms (at paragraph 38):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'business judgment rule' in Canada operates to shield directors from Court intervention in business decisions which have been made honestly, prudently, in good faith and on reasonable grounds. The Court ought not to usurp the function of the Board of Directors in managing the company, nor should it eliminate or supplant the legitimate exercise of control by the majority. Business decisions honestly made should not be subjected to microscopic 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xml:space="preserve">  Act Enterprises was an oppression action; the business judgment rule has been applied in such actions, as well as in derivative actions brought by shareholders in corporations. Care must be taken in applying the principles to a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in respect of business decisions made by joint venturers. I am, however, satisfied that the court ought to be slow to find a good faith business decision to have been negligent. Where the decision was a product of rational consideration of the circumstances, it must be found to be a reasonable one, notwithstanding that it might not have maximized returns.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I have, in the course of the trial, been treated to evidence respecting the state of the Kelowna condominium market in the summer of 1993. Mr. Shroff, for the plaintiff, argues that it was a "hot market", while the defendants insist that, in Mr. Langley's words, there was a "flat spot". I find that the market was neither particularly buoyant nor stagnant. It was beginning to decline after a period of strong growth. There were a number of condominium units similar to the Mews coming onto the market, and sales of the units in the Mews had been very slow, even taking into consideration that serious marketing efforts had been in place for only about a month.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The decision to accept the bulk sale offer was a conservative one, based on a pessimistic view of market prospects. While the joint venture probably could have increased its profits by rejecting the bulk purchase offer and continuing to market the Mews (perhaps at reduced listing prices), I am not convinced that the decision to accept the bulk purchase offer was an unreasonable one. I therefore dismiss the claim that the bulk sale was negligently entered into.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Claims Respecting Unit 403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As I have indicated earlier, an agreement to sell unit 403 to IIP was entered into, on the same terms as the bulk sale, when a sale to an individual purchaser collapsed in late August 1993.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There is no basis for finding this sale to be a product of fraud, and I dismiss the fraud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I also find no basis for concluding that, in the course of making the sale, Mr. Langley took any personal advantage at the expense of the joint venturers. He did not breach any fiduciary duty to them, even though he did not consult with them prior to agreeing to the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I find that it was, at least implicitly, within Mr. Langley's authority to decide at what prices individual units would be sold. He was, therefore, entitled to accept $113,000 for the unit, even though this amount was substantially less that the MLS listing price of $127,800.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As I have indicated above, I do not accept the contention that the Trustee Company was obligated by the Bulk Sales Agreement, or by its "spirit", to sell unit 403 to IIP at a discounted price. I also find that by August 1993, the concerns that the investors had about potential losses on the Mews had evaporated; the bulk sale had been finalized, and unit 403 was the only unit left. Under these circumstances, the decision to sell unit 403 for $14,800 less than the list price was a questionable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I am satisfied, however, that the court should not find the acceptance of the IIP offer on unit 403 to have been unreasonable. The character of the Mews changed once the bulk sale was finalized. It was no longer going to be an owner-occupied development, but would, instead, be rental accommodation. This undoubtedly reduced its appeal to potential buyers.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Further, I find that by late August, 1993, a large number of similar units were coming onto the market in the area. This was likely to make the market more competitive, and reduce both prices and opportunities to make sales. Finally, the Trustee Company had, by that time, closed the show suite, and terminated its active marketing efforts.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For all of these reasons, it was not realistic, by late August 1993, to expect that unit 403 would sell for its listing price. As well, the joint venturers would incur further expenses if they attempted to sell unit 403 as an individual sale. There would be costs to carrying the unit for a period of time, including municipal taxes, and higher rates of commission than on the bulk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In all of the circumstances, while the decision to sell unit 403 to IIP for $113,000 was not particularly astute, I do not find it to have been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Langley Units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Among the individual sales of Mews units were a sale of a unit to Mr. Langley himself, and a sale of a unit to his mother. The plaintiff says that these two non-arm's length sales were at below fair market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Mr. Langley and his mother both agreed to purchase units prior to the opening of the show suite and prior to the finalization of the listing prices for the Mews.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Mr. Langley disclosed his interest in purchasing units at the March 1993 meeting, and provided a draft list of retail prices at that time. Although he stated, at that time, that the joint venturers should be entitled to purchase units at a discount, the purchases by Mr. Langley and by his mother were at (or virtually at) the prices listed in the March 1993 price list.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Mr. Langley and his mother did receive certain benefits by committing to purchasing units prior to June,1993. As no units (other than the Gulenchyn unit) had been sold, they could choose the units that they considered to be the best ones. As well, they avoided paying the somewhat increased prices that were set at the end of May 1993.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I do not think that either of these factors casts doubt on the legitimacy of the sales. Neither sale was at a discount - I am satisfied that any buyer would have been offered the same terms that the Langleys accepted.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Two other allegations are made with respect to the Langley units. It is said that the units were particularly desirable, and that they were finished with high quality materials.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The Langley units were among the most desirable ones in the Mews, but I do not see how this gives rise to a cause of action. It is simply an advantage that accrues to an early buyer. The Langleys were under no obligation to choose less desirable units.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With respect to the finishing of the units, I accept that Mr. Langley would have been particularly interested in ensuring that his own unit and that of his mother were carefully finished. There is no credible evidence, however, that the Langley units were, at the expense of the joint venturers, finished better, or in a more expensive fashion than other units in the Mews.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Finally, the plaintiff points out that the documentation of the Langley sales is deficient. Although Mr. Langley and his mother agreed to purchase the units in May 1993, the purchase offers were not prepared until September, when the sales closed.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The paperwork was late, and carelessly prepared. I do not, however, understand how that translates into a cause of action. Neither the Trustee Company nor the plaintiff suffered any damages as a result of deficiencies in the documentation relating to the sales.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Gulenchyn Unit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On April 23, 1993, Susan Gulenchyn, the wife of Ken Gulenchyn, the construction manager for the Mews, agreed to purchase a unit for $89,000. This was, at the time, the list price for the unit. When the sale closed, however, Mr. Langley directed that the price be reduced by $20,000, and Mr. Gulenchyn paid only $69,000 for the unit. Shaida Langley received commission based on a sale price of $89,000.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Mr. Langley and Mr. Gulenchyn say that the price adjustment was agreed to after the agreement of purchase and sale was entered into. They say that in about May,1993. Mr. Gulenchyn proposed that he would take the unit at "lockup stage", and would finish it at his own expense. He suggested that he be given a $20,000 discount, based on the approximate cost to finish the unit from lockup stage.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Mr. Langley confirms that this is what occurred. Both men say that Mr. Gulenchyn thereafter supplied materials to complete the Gulenchyn unit, and that Mr. Gulenchyn himself supplied the labour, outside of his hours of work on the project. I am satisfied that both Mr. Gulenchyn and Mr. Langley are being untruthful on this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It may be that, at some point, Mr. Gulenchyn suggested that he be given a $20,000 discount in exchange for taking a unit at lockup stage. It may even be that Mr. Langley accepted such a deal. If he did so, he should not have.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I find that the estimate of $20,000 to finish the unit from the lockup stage is unrealistically high, even if one bases the estimate on the costs to finish a single unit in isolation.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The savings to the Trustee Company in not finishing the Gulenchyn unit would have been much less than the costs of finishing a single unit in isolation. There are economies of scale involved in finishing a complete project rather than a single unit; materials are purchased in bulk, and mobilization and demobilization costs for various trades are spread over a number of units.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The fact that the Trustee Company was obligated to pay Ms. Langley's commission based on a sale for $89,000 also reduced any savings that might otherwise have been realized. In short, a $20,000 discount on an $89,000 unit was not in the best interests of the joint venturers.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The evidence also clearly establishes that materials purchased by the Trustee Company did go into finishing the Gulenchyn Unit, contrary to the alleged deal between Langley and Gulenchyn. I found the testimony of Mr. Langley and Mr. Gulenchyn, when confronted with this evidence, to be evasive and unconvincing.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Given the improvidence of the alleged deal, and the fact that at least some of the post-lockup finishing of the Gulenchyn unit was paid for by the Trustee Company, I am not prepared to accept the evidence of Mr. Langley and Mr. Gulenchyn with respect to the discount on the Gulenchyn unit. I am driven to the conclusion that the discount given by Mr. Langley to Mr. Gulenchyn was an improper "sweetheart deal", as alleged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I find that the Trustee Company realized no diminution of expenses as a result of the alleged arrangement with Mr. Gulenchyn for the finishing of his unit. It therefore suffered $20,000 damages as a result of the arrangement entered into between Mr. Langley and Mr. Gulenchyn.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I am satisfied that the arrangement was either completely fraudulent, or was ill-advised and made by Mr. Langley for the purpose of giving Mr. Gulenchyn, who was his friend, an economic advantage at the expense of the joint venturers. At the very least, therefore, Mr. Langley breached a fiduciary obligation to his joint venturers in entering into the agreement to reduce the purchase price of the Gulenchyn unit.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The plaintiff is entitled to damages as against Mr. Langley in respect of the Gulenchyn discount. I will deal with the appropriate amount of damages later in this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Real Estate Commissions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Ms. Langley entered into an agreement with the Trustee Company in January 1993 to be the listing agreement for the Mews. Under the agreement, she was entitled to a 5% commission on sales of units in the Mews. This was somewhat less than typical multiple listing service rates for individual sales.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Mr. Rawji was aware, from at least the March 8, 1993 meeting that Ms. Langley would be the listing agent and that she would receive commissions on sales. He was, at that time, content with that arrangement.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In this lawsuit, the plaintiff claims that Ms. Langley should not have been entitled to commissions on the two Langley sales or the Gulenchyn sale, because they were non-arm's length transactions and were pre-sales. The plaintiff also says that her commission on the bulk sale (which was 1%) was too high, and that she should not have received a commission on the sale of unit 403.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I have some sympathy for the plaintiff's position. Ms. Langley's efforts had little to do with any of the impugned transactions. She did not introduce Mr. Langley, his mother, the Gulenchyns or IIP to the property, and she played at most a peripheral role in negotiating those sales.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The more general marketing efforts of Ms. Langley were also largely ineffectual. She made minimal efforts to generate pre-sales, and while she did operate the show suite in a competent manner once it was opened in June, 1993, the commissions that she received were completely out of proportion to the efforts she expended.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The evidence in this case shows that the Mews was unusual in marketing its units through the MLS system. Most developers of similar properties undertook their own marketing rather than entering into listing contracts with realtors. This said, I am satisfied that all of the parties, including the plaintiff, were aware of the decision to have Ms. Langley market the Mews under an MLS listing contract. The plaintiff cannot, therefore, (and does not) complain that this marketing method was inappropriate.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Ms. Langley's right to a commission is not based on principles of quantum meruit, but on her contractual rights. She was entitled, under the contract, to charge commissions, and she did so. In respect of the bulk sale, her reduced commission was approved by the joint venturers with full knowledge of all pertinent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I find no basis for allowing the plaintiff to recover any portion of the commissions paid to Ms. Langley.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Jim Langley Capital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The plaintiff alleges that Mr. Langley's actual investment in the Mews project was nothing, and that the $105,000 that he took as repayment of capital was therefore wrongful.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The accounting records for the Mews project are in a woeful state. There are four factors contributing to the mess. First, Mr. Langley, who handled the banking and bill payments, was careless in his record keeping.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Second, Mr. Lalani, who acted as the Trustee Company's accountant and prepared the statements for the Mews project, was not involved in record-keeping on any regular basis. He prepared statements only on an annual basis, and made few inquiries about transactions before deciding how to characterize them for accounting purposes.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Third, inadequate efforts were made to ensure that completely separate accounts were kept for the Mews and Sierra projects.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Finally, Mr. Lalani or his employees had difficulty in the accounting characterization of Mr. Langley's decision to relinquish profits on the Mews project, resulting in multiple statements and restatements of his capital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The plaintiff called Mr. Ronald Parks, a noted forensic accountant, to deal with the Langley capital account. Mr. Parks stated that he was unable, on the information available, to re-construct the account with any degree of certainty. In the result, he stated that the best evidence of Mr. Langley's capital contributions came from the 1993 draft statements of the Trustee Corporation, which recorded Mr. Langley's investment in the Mews as zero.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Mr. Parks agreed that a cheque from Mr. Langley for $100,000 had probably gone to purchase the Mews property. He was not, however, prepared to characterize that expenditure as a capital contribution to the Mews Project. In his view, that contribution had probably been treated, for accounting purposes, as part of Mr. Langley's capital contribution to the Sierra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While I agree with Mr. Parks' view that, in the absence of strong evidence to the contrary, I should accept the veracity of the 1993 draft statement, I am of the view that the evidence I have heard provides a satisfactory explanation for the 1993 statement, and tends to demonstrate that Mr. Langley's capital contribution was $105,000.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It is not disputed that Mr. Langley paid $100,000 towards acquiring the property on which the Mews was built. On the face of it, this was a contribution to the Mews. Certainly the payment for the real property on which the Mews was built was a capital contribution to the Mews.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It is possible, of course, that adjustments between the Sierra Project and the Mews Project served to transfer all or part of Mr. Langley's capital contribution out of the Mews project and into the Sierra project. We know, for example, that Mr. Langley borrowed $40,000 from the line of credit for the Sierra project, and paid it back by reducing his capital account on the Mews. This transfer can be traced through the accounting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I am not prepared to accept that a transfer of the balance of Mr. Langley's capital contribution out of the Mews occurred. Even in the poor state that the accounting records are in, if a sum as large as $60,000-$65,000 (or an equivalent value of property) was transferred from the Sierra Project to the Mews Project in exchange for the Langley capital contribution, it would be evident.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The fact that the original 1993 Statements for the Trustee Company show Mr. Langley to have no capital invested in the Mews has been adequately explained by Mr. Lalani. He says that when Mr. Langley relinquished any interest in the profits of the project, they had difficulty determining the appropriate accounting treatment of the decision. They decided - wrongly - to deal with it by reducing his capital contribution in the Mews to zero and attributing to him a corresponding increase in his capital in the Sierra Project. His capital withdrawals from the Mews project were then used to reduce his recorded capital in the Sierra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Much later on, Mr. Lalani corrected the error, but again, the accounting was sloppy. Rather than providing proper revised statements, a document entitled "Presentation Error" was produced.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I am satisfied that the evidence supports the view that Mr. Langley invested $105,000 in the Mews project. I have already mentioned the $100,000 cheque used to acquire the Mews land. Mr. Langley has also presented evidence of two smaller cheques, for $4000 and $1000 that he says are attributable to capital contributions.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The plaintiff places great emphasis on the fact that Mr. Langley has only recently pointed to those two cheques as being the evidence supporting his assertion that his capital contribution was $105,000. At earlier times, he suggested that the 'missing' $5000 might be made up of numerous small expenditures.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I place some weight on the fact that contemporaneous evidence from 1992, in the form of the draft joint venture agreement, shows that Mr. Langley always took the position that his capital contribution was $105,000.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I also recognize that Mr. Langley's aptitude for keeping proper financial records is minimal, and accept that he was unable, until very late in the day, to locate the two cheques making up the $5000 difference between his initial contribution to the purchase of the Mews property and his recorded capital investment of $105,000.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While the accounting records leave much to be desired, I find that the 1993 statements which Mr. Parks suggests should be relied on are not likely to be accurate. They show Mr. Langley's investment in the Sierra project to be higher than either Mr. Lalji's or Mr. Hudda's. As the three were equal partners in the project, this seems highly suspicious. They also show Mr. Langley with no capital contribution to the Mews project, which seems unlikely given that we know he paid $100,000 towards the Mews 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I accept the evidence of Mr. Langley and Mr. Lalani to the effect that the correct characterization of Mr. Langley's capital contributions to the Mews is that his initial contribution was $105,000. Of this amount, $40,000 was transferred from the Mews account to the Sierra account. The balance of $65,000 was taken by Mr. Langley in the form of a setoff against the payment for his mother's condominium and in the form of a cheque drawn on the Mews account, as described above, in paragraph [130].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In the result, despite the poor state of the accounting records, I find that Mr. Langley has not been overpaid in respect of his capital contributions for the Mews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Excavation Expenses paid to Mr. Langley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Mr. Langley bid for, and won the contract to do the excavation of the footprint for the Mews project. The excavation was commenced in August or September of 1992. Mr. Langley says that he almost immediately encountered garbage buried on the site. This resulted in extensive extra work, which Mr. Langley agreed to do, on the basis that he would be compensated for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238</w:t>
      </w:r>
      <w:r>
        <w:rPr>
          <w:rFonts w:ascii="arial" w:eastAsia="arial" w:hAnsi="arial" w:cs="arial"/>
          <w:color w:val="000000"/>
          <w:sz w:val="20"/>
          <w:lang w:val="en-US" w:eastAsia="en-US" w:bidi="ar-SA"/>
        </w:rPr>
        <w:t>  Mr. Langley says that the extra work was extensive, and he ultimately, in October of 1993, billed an amount of $29,960 ($28,000 plus tax) for the work. He received payment for the work by way of an adjustment on the purchase of his unit in the Mews of $29,079.62 and a cheque for $880.38.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239</w:t>
      </w:r>
      <w:r>
        <w:rPr>
          <w:rFonts w:ascii="arial" w:eastAsia="arial" w:hAnsi="arial" w:cs="arial"/>
          <w:color w:val="000000"/>
          <w:sz w:val="20"/>
          <w:lang w:val="en-US" w:eastAsia="en-US" w:bidi="ar-SA"/>
        </w:rPr>
        <w:t>  The plaintiff alleges that Mr. Langley did not do the extra excavation work claimed, and that he has therefore fraudulently converted the amount of $29,960.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240</w:t>
      </w:r>
      <w:r>
        <w:rPr>
          <w:rFonts w:ascii="arial" w:eastAsia="arial" w:hAnsi="arial" w:cs="arial"/>
          <w:color w:val="000000"/>
          <w:sz w:val="20"/>
          <w:lang w:val="en-US" w:eastAsia="en-US" w:bidi="ar-SA"/>
        </w:rPr>
        <w:t>  In support of its allegations, the plaintiff notes that there is no invoice or backup financial documentation prior to Mr. Langley's final invoice in October, 1993. Even that invoice is sadly lacking in detail, simply providing an amount of $28,000 next to the notation: "To invoice for extra excavation. Equipment time materials and dewatering not included in original Bid Price and completed work end Oct. beginning Nov./92."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241</w:t>
      </w:r>
      <w:r>
        <w:rPr>
          <w:rFonts w:ascii="arial" w:eastAsia="arial" w:hAnsi="arial" w:cs="arial"/>
          <w:color w:val="000000"/>
          <w:sz w:val="20"/>
          <w:lang w:val="en-US" w:eastAsia="en-US" w:bidi="ar-SA"/>
        </w:rPr>
        <w:t>  Gordon W. Smith, a quantity surveyor called on behalf of the plaintiff, acknowledged that if Mr. Langley did the work that he purports to have done, then a charge of $25,000 would be reasonable. He also acknowledged that if additional pumping equipment was needed, as Mr, Langley says it was, then the entire charge of $28,000 would be reasonable. The dispute, then, is as to whether or not the work was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242</w:t>
      </w:r>
      <w:r>
        <w:rPr>
          <w:rFonts w:ascii="arial" w:eastAsia="arial" w:hAnsi="arial" w:cs="arial"/>
          <w:color w:val="000000"/>
          <w:sz w:val="20"/>
          <w:lang w:val="en-US" w:eastAsia="en-US" w:bidi="ar-SA"/>
        </w:rPr>
        <w:t>  I am satisfied that Mr. Langley did the excavation work that he claims to have done. While he did not provide contemporaneous invoices, he did refer the court to contemporaneous documentation showing the areas where extra excavation was necessary, and showing where garbage was found.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243</w:t>
      </w:r>
      <w:r>
        <w:rPr>
          <w:rFonts w:ascii="arial" w:eastAsia="arial" w:hAnsi="arial" w:cs="arial"/>
          <w:color w:val="000000"/>
          <w:sz w:val="20"/>
          <w:lang w:val="en-US" w:eastAsia="en-US" w:bidi="ar-SA"/>
        </w:rPr>
        <w:t>  Mr. Langley's evidence is corroborated by Mr. Gulenchyn. Mr. Hudda and Mr. Lalji also gave evidence to the effect that Mr. Langley raised the issue of extra excavation with them almost as soon as the project began. They agree that they authorized Mr. Langley to do the extra work, and that he told them it would cost about $30,000.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244</w:t>
      </w:r>
      <w:r>
        <w:rPr>
          <w:rFonts w:ascii="arial" w:eastAsia="arial" w:hAnsi="arial" w:cs="arial"/>
          <w:color w:val="000000"/>
          <w:sz w:val="20"/>
          <w:lang w:val="en-US" w:eastAsia="en-US" w:bidi="ar-SA"/>
        </w:rPr>
        <w:t>  I find that the excavation work was mentioned at the March 8, 1993 meeting in Kelowna, and that Mr. Rawji does not recall the brief discussion about it because it did not, at the time, strike him as an important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245</w:t>
      </w:r>
      <w:r>
        <w:rPr>
          <w:rFonts w:ascii="arial" w:eastAsia="arial" w:hAnsi="arial" w:cs="arial"/>
          <w:color w:val="000000"/>
          <w:sz w:val="20"/>
          <w:lang w:val="en-US" w:eastAsia="en-US" w:bidi="ar-SA"/>
        </w:rPr>
        <w:t>  Mr. Langley's failure to invoice for the excavation until October of 1993, and his perfunctory invoice are both in keeping with his careless record-keeping in financial matters. I do not doubt that the rounded amount of $28,000 that he charged was arbitrary. It was, however, a reasonable amount for the work that was done, and he is therefore not required to repay any portion of that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Reallocation of Langley's Profits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246</w:t>
      </w:r>
      <w:r>
        <w:rPr>
          <w:rFonts w:ascii="arial" w:eastAsia="arial" w:hAnsi="arial" w:cs="arial"/>
          <w:color w:val="000000"/>
          <w:sz w:val="20"/>
          <w:lang w:val="en-US" w:eastAsia="en-US" w:bidi="ar-SA"/>
        </w:rPr>
        <w:t>  As discussed above, beginning at paragraph [111], Mr. Langley decided to relinquish his share of the profits on the Mews project in the fall of 1993, before distributions were made. Mr. Langley says that the relinquishment was purely voluntary, and that his intention was that they be shared by Mr. Hudda's and Mr. Lalji's companies, and not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247</w:t>
      </w:r>
      <w:r>
        <w:rPr>
          <w:rFonts w:ascii="arial" w:eastAsia="arial" w:hAnsi="arial" w:cs="arial"/>
          <w:color w:val="000000"/>
          <w:sz w:val="20"/>
          <w:lang w:val="en-US" w:eastAsia="en-US" w:bidi="ar-SA"/>
        </w:rPr>
        <w:t>  As I have indicated, I find that Mr. Langley's decision to relinquish profits was taken because he was rightly embarrassed by his poor handling of the Mews project. I do not find, however, that the decision to relinquish profits was done as part of any legal settlement for wrongful conduct. Rather, it was a voluntary act by Mr. Langley, without expectation of any quid pro quo.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248</w:t>
      </w:r>
      <w:r>
        <w:rPr>
          <w:rFonts w:ascii="arial" w:eastAsia="arial" w:hAnsi="arial" w:cs="arial"/>
          <w:color w:val="000000"/>
          <w:sz w:val="20"/>
          <w:lang w:val="en-US" w:eastAsia="en-US" w:bidi="ar-SA"/>
        </w:rPr>
        <w:t>  I suspect that in deciding to relinquish his profits, Mr. Langley did not give any consideration to whether Mr. Rawji or his company might receive part of them. Mr. Langley never really thought of Mr. Langley as a partner in the enterprise. At best, he thought of him as his partners' partner.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249</w:t>
      </w:r>
      <w:r>
        <w:rPr>
          <w:rFonts w:ascii="arial" w:eastAsia="arial" w:hAnsi="arial" w:cs="arial"/>
          <w:color w:val="000000"/>
          <w:sz w:val="20"/>
          <w:lang w:val="en-US" w:eastAsia="en-US" w:bidi="ar-SA"/>
        </w:rPr>
        <w:t>  In the result, I find that Mr. Langley did not give explicit instructions as to how his share of profits should be allocated among the other joint venturers. He simply left his share of the profits with the Trustee Company, to be divvyed up in accordance with its obligations.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250</w:t>
      </w:r>
      <w:r>
        <w:rPr>
          <w:rFonts w:ascii="arial" w:eastAsia="arial" w:hAnsi="arial" w:cs="arial"/>
          <w:color w:val="000000"/>
          <w:sz w:val="20"/>
          <w:lang w:val="en-US" w:eastAsia="en-US" w:bidi="ar-SA"/>
        </w:rPr>
        <w:t>  In the result, Mr. Hudda split the profits on the Mews project three ways. I consider that to have been an appropriate allocation of the funds. Mr. Langley's later view that Mr. Rawji's company should not share in his relinquished profits was simply a case of attempting to retake control over money which was no longer 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251</w:t>
      </w:r>
      <w:r>
        <w:rPr>
          <w:rFonts w:ascii="arial" w:eastAsia="arial" w:hAnsi="arial" w:cs="arial"/>
          <w:color w:val="000000"/>
          <w:sz w:val="20"/>
          <w:lang w:val="en-US" w:eastAsia="en-US" w:bidi="ar-SA"/>
        </w:rPr>
        <w:t>  In the result, I find that the plaintiff was fully entitled to a 1/3 share of the profits on the Mews project. Effect cannot be given to Mr. Langley's late attempts (later supported by Mr. Hudda and Mr. Lalji) to limit the plaintiff's interest to a 1/4 share.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252</w:t>
      </w:r>
      <w:r>
        <w:rPr>
          <w:rFonts w:ascii="arial" w:eastAsia="arial" w:hAnsi="arial" w:cs="arial"/>
          <w:color w:val="000000"/>
          <w:sz w:val="20"/>
          <w:lang w:val="en-US" w:eastAsia="en-US" w:bidi="ar-SA"/>
        </w:rPr>
        <w:t>  To the extent that any profits on the Mews project have not yet been distributed (a matter which I shall come to), the plaintiff is entitled to a 1/3 share of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Compensation for Under-contributions to capital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253</w:t>
      </w:r>
      <w:r>
        <w:rPr>
          <w:rFonts w:ascii="arial" w:eastAsia="arial" w:hAnsi="arial" w:cs="arial"/>
          <w:color w:val="000000"/>
          <w:sz w:val="20"/>
          <w:lang w:val="en-US" w:eastAsia="en-US" w:bidi="ar-SA"/>
        </w:rPr>
        <w:t>  It is acknowledged by Mr. Hudda and Mr. Lalji that although the Joint Venture agreement recited their companies' capital investments in the Mews as being $132,500, their actual contributions were only $113,00 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254</w:t>
      </w:r>
      <w:r>
        <w:rPr>
          <w:rFonts w:ascii="arial" w:eastAsia="arial" w:hAnsi="arial" w:cs="arial"/>
          <w:color w:val="000000"/>
          <w:sz w:val="20"/>
          <w:lang w:val="en-US" w:eastAsia="en-US" w:bidi="ar-SA"/>
        </w:rPr>
        <w:t>  The plaintiff does not dispute that Cambridge and Newdale each contributed $113,000 in capital to the Mews. While it did, at one stage, dispute $15,000 of Cambridge's investment, this dispute was resolved by evidence given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255</w:t>
      </w:r>
      <w:r>
        <w:rPr>
          <w:rFonts w:ascii="arial" w:eastAsia="arial" w:hAnsi="arial" w:cs="arial"/>
          <w:color w:val="000000"/>
          <w:sz w:val="20"/>
          <w:lang w:val="en-US" w:eastAsia="en-US" w:bidi="ar-SA"/>
        </w:rPr>
        <w:t>  The plaintiff says that because Cambridge and Newdale did not put up as much capital as they were required to, their share of profits ought to have been reduced pro rata.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256</w:t>
      </w:r>
      <w:r>
        <w:rPr>
          <w:rFonts w:ascii="arial" w:eastAsia="arial" w:hAnsi="arial" w:cs="arial"/>
          <w:color w:val="000000"/>
          <w:sz w:val="20"/>
          <w:lang w:val="en-US" w:eastAsia="en-US" w:bidi="ar-SA"/>
        </w:rPr>
        <w:t>  I do not agree with that proposition. While the two companies did not put up all of the capital that they were required to under the Joint Venture Agreement, that does not mean, as the plaintiff suggests, that they took a smaller risk on the project than they said they would. I am satisfied that the plaintiffs remained legally bound, at all material times, to put up the balance of the capital that they had promised. In the event that the project had not been successful, the plaintiff or creditors of the Trustee Company could have called upon them to make good on their promised contributions.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257</w:t>
      </w:r>
      <w:r>
        <w:rPr>
          <w:rFonts w:ascii="arial" w:eastAsia="arial" w:hAnsi="arial" w:cs="arial"/>
          <w:color w:val="000000"/>
          <w:sz w:val="20"/>
          <w:lang w:val="en-US" w:eastAsia="en-US" w:bidi="ar-SA"/>
        </w:rPr>
        <w:t>  This does not, however, mean that the joint venture was unaffected by the deficiencies in capital contributions. The joint venture did, at times, find itself in cash flow difficulties, and was forced to borrow funds from Mr. Rawji (with interest) in order to make ends meet. Had Cambridge and Newdale fulfilled their commitments with respect to capital contributions, the need for loans would have been reduced.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258</w:t>
      </w:r>
      <w:r>
        <w:rPr>
          <w:rFonts w:ascii="arial" w:eastAsia="arial" w:hAnsi="arial" w:cs="arial"/>
          <w:color w:val="000000"/>
          <w:sz w:val="20"/>
          <w:lang w:val="en-US" w:eastAsia="en-US" w:bidi="ar-SA"/>
        </w:rPr>
        <w:t>  I find that the damage suffered by the joint venture as a result of the under-contribution of capital amounts to 6 months' interest on the $39,000 shortfall. I am satisfied that the appropriate rate of interest is the rate at which the joint venture actually borrowed funds from Mr. Rawji - 12% simple interest. In the result, each of Cambridge and Newdale would be liable to the joint venture in damages in the amount of $1170. Mr. Rawji is entitled to a portion of this amount, which I will deal with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Travel Expenditures credited to Mr. Hudda and Mr. Lalji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259</w:t>
      </w:r>
      <w:r>
        <w:rPr>
          <w:rFonts w:ascii="arial" w:eastAsia="arial" w:hAnsi="arial" w:cs="arial"/>
          <w:color w:val="000000"/>
          <w:sz w:val="20"/>
          <w:lang w:val="en-US" w:eastAsia="en-US" w:bidi="ar-SA"/>
        </w:rPr>
        <w:t>  The 1993 Financial Statements for the Mews show an amount of $5760 in travel expenses. It is conceded that half of this amount was paid to each of Mr. Hudda and Mr. Lalji. No receipts justifying this "reimbursement" were provided.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260</w:t>
      </w:r>
      <w:r>
        <w:rPr>
          <w:rFonts w:ascii="arial" w:eastAsia="arial" w:hAnsi="arial" w:cs="arial"/>
          <w:color w:val="000000"/>
          <w:sz w:val="20"/>
          <w:lang w:val="en-US" w:eastAsia="en-US" w:bidi="ar-SA"/>
        </w:rPr>
        <w:t>  From the moment the financial statements were provided to Mr. Rawji, he considered the matter of travel expenditures to be problematic. Mr. Rawji had been required to pay his own travel expenses for attending the March 8, 1993 meeting, and he resented the fact that Mr. Hudda and Mr. Lalji were charging expenditures to the joint venture. This resentment grew as he formed the opinion that the travel expenditures may never have been incurred.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261</w:t>
      </w:r>
      <w:r>
        <w:rPr>
          <w:rFonts w:ascii="arial" w:eastAsia="arial" w:hAnsi="arial" w:cs="arial"/>
          <w:color w:val="000000"/>
          <w:sz w:val="20"/>
          <w:lang w:val="en-US" w:eastAsia="en-US" w:bidi="ar-SA"/>
        </w:rPr>
        <w:t>  While I am satisfied that Mr. Hudda and Mr. Lalji did expend funds for the purpose of several trips to Kelowna, I am not satisfied that they kept any records of those expenditures. The $5760 appears to have been simply an estimate - probably a high one - of their actual travel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262</w:t>
      </w:r>
      <w:r>
        <w:rPr>
          <w:rFonts w:ascii="arial" w:eastAsia="arial" w:hAnsi="arial" w:cs="arial"/>
          <w:color w:val="000000"/>
          <w:sz w:val="20"/>
          <w:lang w:val="en-US" w:eastAsia="en-US" w:bidi="ar-SA"/>
        </w:rPr>
        <w:t>  Given that Mr. Hudda and Mr. Lalji have not accounted for their travel costs, and given that the "policy" adopted for the March 8 trip to Kelowna was that each joint venturer was responsible for his own travel costs, I am of the opinion that Mr. Hudda and Mr. Lalji should not have been credited with $2880 for their travel. They should be required to reimburse the plaintiff for a share of those travel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Co-Mingling of Sierra and Mews funds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263</w:t>
      </w:r>
      <w:r>
        <w:rPr>
          <w:rFonts w:ascii="arial" w:eastAsia="arial" w:hAnsi="arial" w:cs="arial"/>
          <w:color w:val="000000"/>
          <w:sz w:val="20"/>
          <w:lang w:val="en-US" w:eastAsia="en-US" w:bidi="ar-SA"/>
        </w:rPr>
        <w:t>  The final claim that I should deal with is that through poor accounting practices, money belonging to the Mews venture was co-mingled with Sierra project funds. It is suggested that the Sierra project was benefited thereby.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264</w:t>
      </w:r>
      <w:r>
        <w:rPr>
          <w:rFonts w:ascii="arial" w:eastAsia="arial" w:hAnsi="arial" w:cs="arial"/>
          <w:color w:val="000000"/>
          <w:sz w:val="20"/>
          <w:lang w:val="en-US" w:eastAsia="en-US" w:bidi="ar-SA"/>
        </w:rPr>
        <w:t>  It is true that Mr. Langley did not keep the funds of the two ventures entirely separate. At times, the Mews project borrowed money on the line of credit that was opened for the Sierra project. As well, there were times when particular expenditures were paid from the wrong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265</w:t>
      </w:r>
      <w:r>
        <w:rPr>
          <w:rFonts w:ascii="arial" w:eastAsia="arial" w:hAnsi="arial" w:cs="arial"/>
          <w:color w:val="000000"/>
          <w:sz w:val="20"/>
          <w:lang w:val="en-US" w:eastAsia="en-US" w:bidi="ar-SA"/>
        </w:rPr>
        <w:t>  Attempts were made at trial by Mr. Lalani to reconcile various amounts owed by each venture to the other. I am satisfied that, in the end, any amounts at issue are small, and unascertainable.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266</w:t>
      </w:r>
      <w:r>
        <w:rPr>
          <w:rFonts w:ascii="arial" w:eastAsia="arial" w:hAnsi="arial" w:cs="arial"/>
          <w:color w:val="000000"/>
          <w:sz w:val="20"/>
          <w:lang w:val="en-US" w:eastAsia="en-US" w:bidi="ar-SA"/>
        </w:rPr>
        <w:t>  I find that the poor accounting practices by Mr. Langley were a result of carelessness, and possibly a lack of ability. I reject the contention by the plaintiff that the poor state of financial records was a deliberate attempt to conceal fraudulent transactions.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267</w:t>
      </w:r>
      <w:r>
        <w:rPr>
          <w:rFonts w:ascii="arial" w:eastAsia="arial" w:hAnsi="arial" w:cs="arial"/>
          <w:color w:val="000000"/>
          <w:sz w:val="20"/>
          <w:lang w:val="en-US" w:eastAsia="en-US" w:bidi="ar-SA"/>
        </w:rPr>
        <w:t>  In the result, I do not think it would be useful to order any financial adjustments between the Sierra and Mews projects.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268</w:t>
      </w:r>
      <w:r>
        <w:rPr>
          <w:rFonts w:ascii="arial" w:eastAsia="arial" w:hAnsi="arial" w:cs="arial"/>
          <w:color w:val="000000"/>
          <w:sz w:val="20"/>
          <w:lang w:val="en-US" w:eastAsia="en-US" w:bidi="ar-SA"/>
        </w:rPr>
        <w:t>  The 1993 financial statements of the Trustee Company show an amount of $6488 remaining to the credit of the Mews. I accept that amount as being as accurate as it can be, given the state of the accounting records. I am of the view that the plaintiff is entitled to share that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ASSESSMENT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269</w:t>
      </w:r>
      <w:r>
        <w:rPr>
          <w:rFonts w:ascii="arial" w:eastAsia="arial" w:hAnsi="arial" w:cs="arial"/>
          <w:color w:val="000000"/>
          <w:sz w:val="20"/>
          <w:lang w:val="en-US" w:eastAsia="en-US" w:bidi="ar-SA"/>
        </w:rPr>
        <w:t>  To summarize my findings of liability, I have found that Mr. Langley is liable in respect of the $20,000 discount given to the Gulenchyns on the purchase of their unit. Cambridge and Newdale are each liable for interest in the amount of $1170 in respect of their under-contributions of capital to the joint venture. Mr. Hudda and Mr. Lalji are liable to repay amounts credited to them for travel expenses in the amount of $2880 each. Finally, the Trustee Company is liable to the plaintiff for his share of the $6488 remaining to the credit of the Mews.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270</w:t>
      </w:r>
      <w:r>
        <w:rPr>
          <w:rFonts w:ascii="arial" w:eastAsia="arial" w:hAnsi="arial" w:cs="arial"/>
          <w:color w:val="000000"/>
          <w:sz w:val="20"/>
          <w:lang w:val="en-US" w:eastAsia="en-US" w:bidi="ar-SA"/>
        </w:rPr>
        <w:t>  In each case, the amount stated represents the liability of the individual or company to the joint venture. Only a proportion of those amounts represents an entitlement of the plaintiff. The proportion is either one-quarter or one-third, depending on whether the court should consider Mr. Langley to be entitled to share in the amounts owed or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271</w:t>
      </w:r>
      <w:r>
        <w:rPr>
          <w:rFonts w:ascii="arial" w:eastAsia="arial" w:hAnsi="arial" w:cs="arial"/>
          <w:color w:val="000000"/>
          <w:sz w:val="20"/>
          <w:lang w:val="en-US" w:eastAsia="en-US" w:bidi="ar-SA"/>
        </w:rPr>
        <w:t>  I am of the view that the court ought to treat the joint venture as consisting of only three investors, each with an equal interest. I am satisfied that Mr. Langley's decision to relinquish his interest in profits was taken with proper consideration of the circumstances, and is irrevocable. I am also satisfied that the decision was based on his failures in managing the project, and that it did not, per se extinguish his liability to the other joint venturers in respect of his breach of trust in giving the Gulenchyns a $20,000 reduction in the cost of their unit.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272</w:t>
      </w:r>
      <w:r>
        <w:rPr>
          <w:rFonts w:ascii="arial" w:eastAsia="arial" w:hAnsi="arial" w:cs="arial"/>
          <w:color w:val="000000"/>
          <w:sz w:val="20"/>
          <w:lang w:val="en-US" w:eastAsia="en-US" w:bidi="ar-SA"/>
        </w:rPr>
        <w:t>  In the result, the plaintiff is entitled to one-third of the amounts described in paragraph [269] above. The plaintiff will have judgment against the defendants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556"/>
        <w:gridCol w:w="2195"/>
        <w:gridCol w:w="4078"/>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Cambridge Holdings</w:t>
            </w:r>
          </w:p>
        </w:tc>
        <w:tc>
          <w:tcPr>
            <w:tcW w:w="215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$390.00</w:t>
            </w:r>
          </w:p>
        </w:tc>
        <w:tc>
          <w:tcPr>
            <w:tcW w:w="399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346"/>
        <w:gridCol w:w="2405"/>
        <w:gridCol w:w="4078"/>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Pyarali Hudda</w:t>
            </w:r>
          </w:p>
        </w:tc>
        <w:tc>
          <w:tcPr>
            <w:tcW w:w="235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$960.00</w:t>
            </w:r>
          </w:p>
        </w:tc>
        <w:tc>
          <w:tcPr>
            <w:tcW w:w="399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450"/>
        <w:gridCol w:w="2301"/>
        <w:gridCol w:w="4078"/>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37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Newdale Holdings</w:t>
            </w:r>
          </w:p>
        </w:tc>
        <w:tc>
          <w:tcPr>
            <w:tcW w:w="225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$390.00</w:t>
            </w:r>
          </w:p>
        </w:tc>
        <w:tc>
          <w:tcPr>
            <w:tcW w:w="399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346"/>
        <w:gridCol w:w="2405"/>
        <w:gridCol w:w="4078"/>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Najmudin Lalji</w:t>
            </w:r>
          </w:p>
        </w:tc>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$960.00</w:t>
            </w:r>
          </w:p>
        </w:tc>
        <w:tc>
          <w:tcPr>
            <w:tcW w:w="399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412634 B.C. Ltd.</w:t>
            </w:r>
          </w:p>
        </w:tc>
        <w:tc>
          <w:tcPr>
            <w:tcW w:w="235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$2,162.67</w:t>
            </w:r>
          </w:p>
        </w:tc>
        <w:tc>
          <w:tcPr>
            <w:tcW w:w="399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137"/>
        <w:gridCol w:w="2614"/>
        <w:gridCol w:w="4078"/>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07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James Langley</w:t>
            </w:r>
          </w:p>
        </w:tc>
        <w:tc>
          <w:tcPr>
            <w:tcW w:w="256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$6,666.67</w:t>
            </w:r>
          </w:p>
        </w:tc>
        <w:tc>
          <w:tcPr>
            <w:tcW w:w="399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claim against Shaida Langley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273</w:t>
      </w:r>
      <w:r>
        <w:rPr>
          <w:rFonts w:ascii="arial" w:eastAsia="arial" w:hAnsi="arial" w:cs="arial"/>
          <w:color w:val="000000"/>
          <w:sz w:val="20"/>
          <w:lang w:val="en-US" w:eastAsia="en-US" w:bidi="ar-SA"/>
        </w:rPr>
        <w:t>  The plaintiff has largely failed in its claim - a claim involving allegations of fraud. This would ordinarily result in an award of costs (possibly special costs) against it. For their parts, the defendants have been remiss in their duties to disclose documents, and have, at times, failed to take seriously their obligations in respect of examination for discoveries. This might also affect an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274</w:t>
      </w:r>
      <w:r>
        <w:rPr>
          <w:rFonts w:ascii="arial" w:eastAsia="arial" w:hAnsi="arial" w:cs="arial"/>
          <w:color w:val="000000"/>
          <w:sz w:val="20"/>
          <w:lang w:val="en-US" w:eastAsia="en-US" w:bidi="ar-SA"/>
        </w:rPr>
        <w:t>  As I indicated to the parties at the close of the hearing, I am prepared to receive submissions from them as to the appropriate costs award. Counsel will receive a brief memorandum from me setting out my intentions with respect to receiving those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GROBERMAN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89" style="position:absolute;z-index:25184460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90"/>
          <w:headerReference w:type="default" r:id="rId891"/>
          <w:footerReference w:type="even" r:id="rId892"/>
          <w:footerReference w:type="default" r:id="rId893"/>
          <w:headerReference w:type="first" r:id="rId894"/>
          <w:footerReference w:type="first" r:id="rId89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96" w:history="1">
        <w:r>
          <w:rPr>
            <w:rFonts w:ascii="arial" w:eastAsia="arial" w:hAnsi="arial" w:cs="arial"/>
            <w:b/>
            <w:bCs/>
            <w:i/>
            <w:color w:val="0077CC"/>
            <w:kern w:val="32"/>
            <w:sz w:val="28"/>
            <w:szCs w:val="32"/>
            <w:u w:val="single"/>
            <w:shd w:val="clear" w:color="auto" w:fill="FFFFFF"/>
            <w:lang w:val="en-US" w:eastAsia="en-US" w:bidi="ar-SA"/>
          </w:rPr>
          <w:t>Acciona Infrastructure Canada Inc. v. Allianz Global Risks US Insurance Co., [2014] B.C.J. No. 2137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R.A. Skolrood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17, 19-21, 24-28,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March 3-7, 10-12 and 17-20,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19,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S111660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[2014] B.C.J. No. 2137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897" w:history="1">
        <w:r>
          <w:rPr>
            <w:rFonts w:ascii="arial" w:eastAsia="arial" w:hAnsi="arial" w:cs="arial"/>
            <w:i/>
            <w:color w:val="0077CC"/>
            <w:sz w:val="20"/>
            <w:u w:val="single"/>
            <w:shd w:val="clear" w:color="auto" w:fill="FFFFFF"/>
            <w:lang w:val="en-US" w:eastAsia="en-US" w:bidi="ar-SA"/>
          </w:rPr>
          <w:t>2014 BCSC 1568</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897" w:history="1">
        <w:r>
          <w:rPr>
            <w:rFonts w:ascii="arial" w:eastAsia="arial" w:hAnsi="arial" w:cs="arial"/>
            <w:i/>
            <w:color w:val="0077CC"/>
            <w:sz w:val="20"/>
            <w:u w:val="single"/>
            <w:shd w:val="clear" w:color="auto" w:fill="FFFFFF"/>
            <w:lang w:val="en-US" w:eastAsia="en-US" w:bidi="ar-SA"/>
          </w:rPr>
          <w:t>[2014] I.L.R. I-5640</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897" w:history="1">
        <w:r>
          <w:rPr>
            <w:rFonts w:ascii="arial" w:eastAsia="arial" w:hAnsi="arial" w:cs="arial"/>
            <w:i/>
            <w:color w:val="0077CC"/>
            <w:sz w:val="20"/>
            <w:u w:val="single"/>
            <w:shd w:val="clear" w:color="auto" w:fill="FFFFFF"/>
            <w:lang w:val="en-US" w:eastAsia="en-US" w:bidi="ar-SA"/>
          </w:rPr>
          <w:t>2014 CarswellBC 2471</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897" w:history="1">
        <w:r>
          <w:rPr>
            <w:rFonts w:ascii="arial" w:eastAsia="arial" w:hAnsi="arial" w:cs="arial"/>
            <w:i/>
            <w:color w:val="0077CC"/>
            <w:sz w:val="20"/>
            <w:u w:val="single"/>
            <w:shd w:val="clear" w:color="auto" w:fill="FFFFFF"/>
            <w:lang w:val="en-US" w:eastAsia="en-US" w:bidi="ar-SA"/>
          </w:rPr>
          <w:t>244 A.C.W.S. (3d) 428</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897" w:history="1">
        <w:r>
          <w:rPr>
            <w:rFonts w:ascii="arial" w:eastAsia="arial" w:hAnsi="arial" w:cs="arial"/>
            <w:i/>
            <w:color w:val="0077CC"/>
            <w:sz w:val="20"/>
            <w:u w:val="single"/>
            <w:shd w:val="clear" w:color="auto" w:fill="FFFFFF"/>
            <w:lang w:val="en-US" w:eastAsia="en-US" w:bidi="ar-SA"/>
          </w:rPr>
          <w:t>33 C.L.R. (4th) 210</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897" w:history="1">
        <w:r>
          <w:rPr>
            <w:rFonts w:ascii="arial" w:eastAsia="arial" w:hAnsi="arial" w:cs="arial"/>
            <w:i/>
            <w:color w:val="0077CC"/>
            <w:sz w:val="20"/>
            <w:u w:val="single"/>
            <w:shd w:val="clear" w:color="auto" w:fill="FFFFFF"/>
            <w:lang w:val="en-US" w:eastAsia="en-US" w:bidi="ar-SA"/>
          </w:rPr>
          <w:t>39 C.C.L.I. (5th) 7</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897" w:history="1">
        <w:r>
          <w:rPr>
            <w:rFonts w:ascii="arial" w:eastAsia="arial" w:hAnsi="arial" w:cs="arial"/>
            <w:i/>
            <w:color w:val="0077CC"/>
            <w:sz w:val="20"/>
            <w:u w:val="single"/>
            <w:shd w:val="clear" w:color="auto" w:fill="FFFFFF"/>
            <w:lang w:val="en-US" w:eastAsia="en-US" w:bidi="ar-SA"/>
          </w:rPr>
          <w:t>71 B.C.L.R. (5th) 64</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Acciona Infrastructure Canada Inc. and Lark Projects (2004) Ltd., collectively doing business as Acciona Lark Joint Venture, Plaintiffs, and Allianz Global Risks US Insurance Company Compagnie D'Assurance Allianz Risques Mondiaux E.-U., Zurich Insurance Company Ltd. Zurich Compagnie D'Assurances SA, Temple Insurance Company; and in French, La Compagnie D'Assurance Temple, GCAN Insurance Company,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(260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90" style="position:absolute;z-index:2516930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23" w:name="Keywords_32"/>
      <w:bookmarkEnd w:id="223"/>
      <w:r>
        <w:rPr>
          <w:rFonts w:ascii="arial" w:eastAsia="arial" w:hAnsi="arial" w:cs="arial"/>
          <w:b/>
          <w:color w:val="000000"/>
          <w:sz w:val="20"/>
          <w:lang w:val="en-US" w:eastAsia="en-US" w:bidi="ar-SA"/>
        </w:rPr>
        <w:t>Insurance law — The insurance contract — Interpretation — Coverage provisions and exclusion clauses — Action by Acciona Lark Joint Venture (ALJV) to recover $14,952,439 under an insurance policy allowed in part — ALJV was the design-build contractor for the project and the defendants underwrote and issued a course of construction insurance policy — Concrete slabs over deflected and exhibited cracking — The over deflections and cracking fell within the Perils Insured clause of the Policy — While an exclusion applied because the cracking and over deflection were workmanship issues, the exclusion did not extend to exclude the cost of rectifying or replacing the damaged property — ALJV was entitled to recover $8,514,931.</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Insurance law — Actions — By insured against insurer — Action by Acciona Lark Joint Venture (ALJV) to recover $14,952,439 under an insurance policy allowed in part — ALJV was the design-build contractor for the project and the defendants underwrote and issued a course of construction insurance policy — Concrete slabs over deflected and exhibited cracking — The over deflections and cracking fell within the Perils Insured clause of the Policy — While an exclusion applied because the cracking and over deflection were workmanship issues, the exclusion did not extend to exclude the cost of rectifying or replacing the damaged property — ALJV was entitled to recover $8,514,931.</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24" w:name="Case Summary_30"/>
            <w:bookmarkEnd w:id="22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Acciona Lark Joint Venture (ALJV) to recover $14,952,439 under an insurance policy for losses alleged to have occurred during a construction project. ALJV was the design-build contractor for the project, which involved constructing a new patient care facility at the Royal Jubilee Hospital in Victoria, British Columbia. The defendants underwrote and issued a course of construction insurance policy which covered certain defined risks arising during the construction project. Concrete slabs over deflected and exhibited cracking. The extent of the deflection was such that considerable repair work was required. ALJV took the position that the over deflection and cracking of the concrete slabs fell within the perils insured. The defendants took the position that the over deflections and cracking fell outside of the insuring provisions and, in any event, their occurrence was not fortuitous.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25" w:name="Holdings of Court_26"/>
            <w:bookmarkEnd w:id="225"/>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over deflections and cracking constituted damage that was fortuitous and fell within the Perils Insured clause of the Policy. The cracking and over deflection were workmanship issues and therefore an exclusion applied. However, the exclusion did not extend to exclude the cost of rectifying or replacing the damaged property itself. ALJV was entitled to recover $8,514,931.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26" w:name="Legislation Cited_22"/>
      <w:bookmarkEnd w:id="22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91" style="position:absolute;z-index:2517442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Health Authorities Act, </w:t>
      </w:r>
      <w:r>
        <w:rPr>
          <w:rFonts w:ascii="arial" w:eastAsia="arial" w:hAnsi="arial" w:cs="arial"/>
          <w:i/>
          <w:color w:val="000000"/>
          <w:sz w:val="20"/>
          <w:lang w:val="en-US" w:eastAsia="en-US" w:bidi="ar-SA"/>
        </w:rPr>
        <w:t>RSBC 1996, CHAPTER 180</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27" w:name="Counsel_33"/>
      <w:bookmarkEnd w:id="227"/>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92" style="position:absolute;z-index:2517954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Plaintiffs: D.L. Miachika, G.H. Mayovsky, D. Claassen.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Defendants: R.B. Lindsay, Q.C., S.W. Urquhart, V.M. Kim.</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28" w:name="Judgment_33"/>
      <w:bookmarkEnd w:id="228"/>
      <w:r>
        <w:pict>
          <v:line id="_x0000_s1193" style="position:absolute;z-index:25184563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0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29" w:name="R.A. SKOLROOD J."/>
            <w:bookmarkEnd w:id="229"/>
            <w:r>
              <w:rPr>
                <w:rFonts w:ascii="arial" w:eastAsia="arial" w:hAnsi="arial" w:cs="arial"/>
                <w:b/>
                <w:color w:val="000000"/>
                <w:sz w:val="30"/>
                <w:lang w:val="en-US" w:eastAsia="en-US" w:bidi="ar-SA"/>
              </w:rPr>
              <w:t>R.A. SKOLROOD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action for recovery under an insurance policy for losses alleged to have occurred during the construction of a new 500 bed patient care facility at the Royal Jubilee Hospital in Victoria, British Columbia (the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plaintiffs, Acciona Infrastructure Canada Inc. and Lark Projects (2004) Ltd., collectively doing business as Acciona Lark Joint Venture ("ALJV"), were the design-build contractors for the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defendants, Allianz Global Risks US Insurance Company, Zurich Insurance Company Ltd., Temple Insurance Company and GCAN Insurance Company (the "Insurers"), underwrote and issued a Course of Construction Insurance Policy, No. MP08-0024 (the "Policy") covering certain defined risks arising during the construction of the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Other parties of note include Vancouver Island Health Authority ("VIHA"), which is a Health Authority under the </w:t>
      </w:r>
      <w:r>
        <w:rPr>
          <w:rFonts w:ascii="arial" w:eastAsia="arial" w:hAnsi="arial" w:cs="arial"/>
          <w:i/>
          <w:color w:val="000000"/>
          <w:sz w:val="20"/>
          <w:lang w:val="en-US" w:eastAsia="en-US" w:bidi="ar-SA"/>
        </w:rPr>
        <w:t>Health Authorities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180</w:t>
      </w:r>
      <w:r>
        <w:rPr>
          <w:rFonts w:ascii="arial" w:eastAsia="arial" w:hAnsi="arial" w:cs="arial"/>
          <w:color w:val="000000"/>
          <w:sz w:val="20"/>
          <w:lang w:val="en-US" w:eastAsia="en-US" w:bidi="ar-SA"/>
        </w:rPr>
        <w:t xml:space="preserve"> and the entity responsible for managing health care facilities on Vancouver Island, as well as ISL Health (Victoria) Partnership ("ISL"), a partnership that contracted with VIHA to finance, design, build and operate the Project pursuant to a Public Private Partnership ("P3") agreement. ISL in turn contracted with ALJV for the design-build portion of the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 of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central facts underlying this action are generally not in dispute.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It is helpful at the outset to identify the witnesses and their roles with respect to the Project: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ALJV Witnesses</w:t>
      </w:r>
    </w:p>
    <w:p>
      <w:pPr>
        <w:numPr>
          <w:numId w:val="29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Derek Fuller - ALJV project manager;</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Nazz Russo - ALJV site superintendent;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Kip Gaudry - ALJV assistant site supervisor and head surveyor;</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Rudi Van den Broek - VIHA project manager;</w:t>
      </w:r>
    </w:p>
    <w:p>
      <w:pPr>
        <w:numPr>
          <w:numId w:val="5"/>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Timothy Kempe - ALJV planning and scheduling consultant on the Project;</w:t>
      </w:r>
    </w:p>
    <w:p>
      <w:pPr>
        <w:numPr>
          <w:numId w:val="6"/>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John White - quantity surveyor and ALJV procurement manager for the Project;</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James Derringer - former Marsh Canada vice president and lead insurance broker for obtaining Project insurance;</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Miche l O'Keeffe, P. Eng. - engineering consultant and expert witness on causation;</w:t>
      </w:r>
    </w:p>
    <w:p>
      <w:pPr>
        <w:numPr>
          <w:numId w:val="9"/>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Gregory Smith, P. Eng. - expert witness on causation; and</w:t>
      </w:r>
    </w:p>
    <w:p>
      <w:pPr>
        <w:numPr>
          <w:numId w:val="10"/>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Rick Moffat - expert opinion report on remedial costs (report only).</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Insurers' Witnesses</w:t>
      </w:r>
    </w:p>
    <w:p>
      <w:pPr>
        <w:numPr>
          <w:numId w:val="11"/>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Evan Stregger - quantity surveyor and expert witness on remedial costs; and</w:t>
      </w:r>
    </w:p>
    <w:p>
      <w:pPr>
        <w:numPr>
          <w:numId w:val="12"/>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Dr. Amin Ghali, P. Eng. - expert witness on causation.</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Background to the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Following a competitive bid process, VIHA selected ISL as the preferred proponent to undertake the Project. Pursuant to the P3 structure, ISL is referred to as the Concessionaire, meaning that it has the concession to operate the Project for a specified period of time, in this case 30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VIHA and ISL entered into a Project Agreement dated July 18, 2008 that set out ISL's obligations in connection with the Project. The Project Agreement included detailed specifications for the design and construction of the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ISL and ALJV executed a Design-Build Agreement, also dated July 18, 2008, that set out ALJV's obligations with respect to the design and construction of the Project. The Design-Build Agreement incorporated the detailed design and construction specifications set out in the Project Agreement.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Design of the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Project is an eight storey reinforced concrete structure comprised of concrete columns, shear walls and cast in place suspended slabs. "Cast in place" refers to a method of construction in which the concrete elements are constructed on site as distinct from, for example, using pre-fabricated or pre-cast components.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Project comprises four wings connected by a central core. The wings are separated into a north section and a south section and the wings in each section are designated as "east" and "west." Each wing also has a letter designation, with the north section being made up of blocks "E" and "H" and the south section blocks "A" and "D."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Project represented a major addition to the Royal Jubilee Hospital, which is the largest primary patient care health facility on Vancouver Island. The Royal Jubilee is also the designated post-disaster centre on the Island, meaning that it is intended to provide health care in the event of an earthquake or other similar catastrophic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general design of the Project was done by CannonDesign as the Project architects. The actual concrete structure was designed by Bogdanov Pao Associates Ltd. ("BPA"), an experienced structural engineering firm. The lead engineer on the Project for BPA was Walter Janzen, P. Eng. who prepared the structural drawings.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As noted above, both the Project Agreement and the Design-Build Agreement contained detailed specifications about the design and construction requirements for the Project. For example, under clause 2.1(a)(5) of Schedule 3 of the Design-Build Agreement, ALJV was required to undertake all design and construction activities "to the same standards that an experienced, prudent, and knowledgeable long term owner of a first class health care facility in North America, whether to be operated publicly or privately, would employ."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Other relevant design objectives or requirements set out in Schedule 3 of the Design-Build Agreement included:</w:t>
      </w:r>
      <w:r>
        <w:rPr>
          <w:rFonts w:ascii="arial" w:eastAsia="arial" w:hAnsi="arial" w:cs="arial"/>
          <w:sz w:val="20"/>
          <w:lang w:val="en-US" w:eastAsia="en-US" w:bidi="ar-SA"/>
        </w:rPr>
        <w:cr/>
      </w:r>
    </w:p>
    <w:p>
      <w:pPr>
        <w:numPr>
          <w:numId w:val="1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flexibility to accommodate future changes in use of the facility;</w:t>
      </w:r>
    </w:p>
    <w:p>
      <w:pPr>
        <w:numPr>
          <w:numId w:val="14"/>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facility be elder friendly; and</w:t>
      </w:r>
    </w:p>
    <w:p>
      <w:pPr>
        <w:numPr>
          <w:numId w:val="1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floors be finished in a manner suitable to pedestrian and/or vehicular/wheel traffic.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ALJV highlighted these design criteria as being particularly significant when considering the impacts of the problems with the concrete slab floors that developed during construction.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Construction of the Concrete Slabs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While the Design-Build Agreement provided that ALJV was responsible for the construction of the Project, most of the actual construction work was done using sub-contractors. Campbell Construction Ltd. ("CCL") was the principal sub-contractor for the construction of the concrete structure, including designing and building the concrete formwork, placing and finishing the concrete and undertaking the required shoring (as explained further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formwork and shoring were carried out in accordance with drawings (the "Formwork Drawings") prepared and sealed by Ted Newell, P. Eng. of Ted Newell Associates Inc., an engineering consultant experienced in formwork design. Mr. Newell was retained directly by CCL.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Formwork Drawings set out a step by step procedure for constructing the concrete slabs, which involved the use of prefabricated fly forms comprised of a flat plywood deck supported by an aluminum framed truss. The forms are referred to as "fly forms" because when the concrete sets, they can be removed as a single unit and moved or "flown" by crane to the next level.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slabs were designed by BPA to be 250 mm thick and to have an upward camber or crown of 30 mm in the centre of the slab. The camber is built into the slabs in order to accommodate the expected downward deflection of the slab as the concrete cures and as occurs naturally over the life of the slab, a phenomenon known as "creep". The intent is to arrive at a level or almost-level surface in order to meet functionality requirements.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BPA initially specified a maximum camber of 40 mm but CCL expressed concern that this was excessive and would result in slabs with an upward crown. CCL recommended a reduction to the 30 mm to which BPA agreed.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camber is achieved by building it into the fly forms using wedges or "packers" inserted between the aluminum joists of the fly tables and the plywood sheathing upon which the concrete was placed.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Once the camber was set, the fly forms were put in place and steel reinforcing rods, or rebar, were placed in the forms in accordance with the specifications supplied by BPA. The rebar was placed by a separate rebar subcontractor.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CCL then nailed screed blocks onto the table of the fly form in a grid pattern. The screed blocks were 2" by 4" blocks of wood cut to a 250 mm thickness that were used to help ensure that the intended 250 mm thickness of the slab was achieved.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One other design feature of the slabs should be noted. Many of the slabs included a recessed area for the purpose of accommodating prefabricated bathroom pods that would be attached as part of the finishing process. The pod areas were recessed by 50 mm meaning that the thickness of the concrete slab in those areas was reduced to 200 mm.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conjunction with the pour of each slab, there was a pre-pour checklist that set out a number of items that had to be confirmed before the pour could proceed, for example, the formwork and rebar had to be inspected and approved, the concrete tested and various safety features confirmed.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Once all elements of the checklist were confirmed, the concrete was poured using a large pump mechanism. In order to achieve the required thickness, the concrete was raked and vibrated and then "screeded," which involves pulling a board, which is mounted on pipes running beside the slab area, across the slab.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After screeding, the concrete was allowed to set then it was power trowelled to smooth off the surface. The concrete was then left to cure until it reached a minimum strength specified by BPA. The strength of the concrete was confirmed using test samples obtained by another independent subcontractor at the time of the pour.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Once the concrete reached the specified strength, the fly forms were stripped from the slab and moved to the next level. This process involved first releasing or "cracking" the supporting legs of the forms which allowed the weight of the concrete slab to distribute to the walls and supporting columns. Once all of the legs were released, they were then re-tightened and the forms were released and moved to the edge of the slab and flown by crane to the next level. While that was happening, CCL erected shores underneath the slab to provide support while the slab continued to cure. The shores consisted typically of 4" by 6" wood posts set in place using wood wedges underneath the posts.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"Shoring" refers to the use of support posts to support the formwork during the pouring of a slab, whereas "reshoring" refers to the supports erected on the floors below to support and distribute the load of the top slab until it is sufficiently cured to be self-supporting.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method and placement of the reshoring was specified in the Formwork Drawings which required three levels of reshoring under each slab while the concrete cured. That permitted the distribution of the weight of the newly poured slab over the four levels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CCL's experience however, it was common practice to reduce the reshoring to two levels during the summer months as the concrete slabs cured more quickly in the warmer temperatures. In May of 2009, Newell advised CCL that two levels were sufficient and CCL implemented this change.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Over Deflection and Cracking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first suspended concrete slab was poured in block A, level 2 on February 5, 2009. Both Mr. Russo, ALJV's site superintendent for the south wing, and Mr. Dean Smith, CCL's site superintendent, testified that this pour, and indeed the pours for every level, were carried out in accordance with the pre-pour checklist.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Following this initial pour, it was determined that the top of the slab was 12 mm less than the expected 30 mm camber. According to Mr. Russo, it was determined by ALJV and CCL that the issue was caused by the manner in which the concrete was power trowelled after the pour, which resulted in the loss of the crown of the slab. Mr. Russo testified that the problem was addressed for future pours by adding screed blocks in the centre of the fly form to ensure that the required 30 mm camber was maintained.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Pouring of the subsequent slabs proceeded according to staged intervals until early September 2009. The pour schedule differed for each block. By way of example, the pour schedule for block A was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Level 3</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February 25</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Level 4</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March 19</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Level 5</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April 8</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Level 6</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April 30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Level 7</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May 21</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Level 8</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June 9</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Roof</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June 29</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or around mid-June 2009, following the pouring of level 7, it was discovered that the slabs were losing camber, meaning that rather than flattening out towards a level surface, the slabs were over deflecting resulting in a concave recession in the centre of the slab.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ALJV raised the issue with BPA, in response to which BPA recommended reinstituting three levels of re-shoring. That was done but it did not resolve the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On July 7, 2009, a meeting was held on the construction site with representatives from ALJV, BPA, CCL and Newell. As noted in the meeting minutes, the purpose of the meeting was to address why the slabs were deflecting more than anticipated, what may have caused the over deflection, what remedial measures should be taken and whether anything should be done with respect to the remaining slabs to be poured.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During the course of the meeting, the BPA representatives took the position that there was no issue with the design of the slabs. CCL and Newell similarly took the position that the problem was not the result of the formwork or anything to do with construction. They suggested that the problem was due to the design of the slabs.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As a result of the July 7th meeting, it was decided to increase the camber for the slabs remaining to be poured from 30 mm to 40 mm. However, as of July 7, 2009 there were only three slabs left to be poured.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It was also agreed at the meeting that BPA and CCL/Newell would work together and produce a joint report on likely causes of and possible solutions for the over deflection issue. No such joint report was ever prepared. Instead, each of BPA and CCL continued to defend their respective roles and work and to deny that they were responsible for the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Throughout the spring and summer of 2009, ALJV undertook regular surveys of the various slabs to measure elevations and to gauge the degree of deflection. Kip Gaudry, an assistant site superintendent employed by ALJV, testified about the results of the survey work that showed significant and variable deflections over a number of the floor levels.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addition to the survey results, a number of witnesses testified that the deflections were visible to the naked eye. For example, Mr. Fuller testified that the deflections in the northwest and southwest slabs were particularly noticeable in the light of the setting sun and that on certain levels, rainwater would pool in the depressions.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Mr. Van den Broek of VIHA testified to similar observations and stated that the deflections were unacceptable to VIHA given the intended use of the facility. Mr. Van den Broek noted in particular the fact that there would be wheeled equipment used in the facility that needed to remain stationary.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In addition to the deflections, many of the slabs exhibited cracking in the vicinity of the support walls and columns. While the cracks varied in width and length, many were wide enough to insert a credit card.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Load Tests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In August 2009, ALJV retained the engineering firm of Glotman Simpson to provide independent advice on the deflection and cracking issues. The lead engineer on behalf of Glotman Simpson was Miche l O'Keeffe. Glotman Simpson had previously done a preliminary design concept review for ALJV in the fall of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One aspect of Glotman Simpson's retainer was to review the design of the slabs. Mr. O'Keeffe testified that, as a result of that review, Glotman Simpson had a concern about the strength of the slabs given the information they had that the steel rebar used to reinforce the slabs had been pushed down to accommodate the recessed bathroom pods.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Glotman Simpson therefore recommended that load tests be conducted to determine whether the slabs were designed and constructed in accordance with the applicable design codes.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load tests were conducted in two places on the fourth level because that level had experienced the most significant deflections and cracking. The tests were carried out in accordance with specifications established by the Canadian Standards Association (CSA).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Essentially, the tests involved constructing a large plywood pool lined with polyurethane at the designated site. The pool was then filled with water to a sufficient depth to replicate the dead load that would be applied to the slab on completion of construction. Dead load refers to the load resulting from the permanent structures. After 24 hours, water was added to the pool in stages to replicate various live loads, being the loads applied to the slab during use of the facility from things such as staff, patients, beds, equipment, etc.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Dial gauges were installed at designated spots on the underside of the slabs to measure and record the amount of deflection of the slab under the various loads applied.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load tests applied loads up to 90% of the full factored design load, meaning the maximum load that might result in structural failure. In other words, the load tests were designed to test the slabs under loads well in excess of what they would ever actually experience.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Once the maximum load was applied, the water was then released from the pool, again in stages, and the degree of rebound in the slab was also measured using the dial gauges. According to Mr. O'Keeffe, under CSA standards, a load test is deemed to be passed if the final readings indicate a deflection recovery or rebound of at least 60%. The load tests conducted at the Project exhibited in excess of a 90% rebound.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Mr. O'Keeffe testified that this degree of rebound indicates that the concrete slab is performing as expected. When the concrete bends or deflects under load, the reinforcing steel rebar is designed to stretch. When the load is released, the rebar is designed to rebound or return to its original shape, much like an elastic band.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If the rebar reaches an inelastic state i.e. it stretches beyond its point of return, it will lose its shape resulting in cracks in the concrete. These cracks are referred to as "flexural yielding cracks" because they appear when the rebar has exceeded its yield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Mr. O'Keeffe testified that the patterns of the cracks around the supporting walls and columns that were observed before the load tests were consistent with flexural yield cracks, suggesting that the slabs had been overloaded at some earlier point. However, no new cracking was observed as a result of the load tests, nor was there worsening of the existing cracks, suggesting no new damage resulted from the load tests.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In addition to retaining Glotman Simpson to conduct the load tests, ALJV also retained another engineering firm, Jones Kwong Kishi, to independently review both the procedures used in the tests and the test results.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Both engineering firms confirmed that, based on the load tests, the slabs as designed and constructed met applicable CSA standards and design load requirements, and were safe.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Remedial Measures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While the load tests confirmed that the slabs met applicable safety standards, the extent of the deflection was such that considerable repair work was required in order to meet the serviceability standards set out in the project agreements. As noted above, Mr. Van den Broek of VIHA testified that the slab deflections were not acceptable to VIHA.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Repairs to the slabs involved a process of grinding down or scarifying higher areas and filling lower areas with a self-levelling filler in accordance with instructions provided by BPA. The grinding was necessary because simply adding topping or filler to the slabs would have added too much weight to the slabs and created structural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slab repairs were carried out primarily by another subcontractor, LT Concrete Ltd. In addition, Goal Engineering was hired as a materials consultant to assist with determining the proper filling compound.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grinding and scarifying created a significant amount of silica dust. In addition, the low areas were shot blasted in order to roughen the surface in preparation for the filling, which also produced dust. As a result, each wing had to be isolated and sealed using polyurethane and negative air pumps. Once the actual repair work was completed, extensive cleaning was required in order to meet hospital standards.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According to Mr. Russo, it took about one week to repair each wing resulting in about six months of repairs in total. This resulted in delays for other subcontractors, for example the electrical, mechanical, plumbing, drywall and flooring contractors.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Costs Incurred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ALJV claims damages and costs in the amount of $14,952,439 as a result of the slab deflections. That amount can be broken down into nine categories as follows:</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 id="_x0000_i1194" type="#_x0000_t75" style="width:394.5pt;height:274.5pt">
            <v:imagedata r:id="rId898" o:title=""/>
          </v:shape>
        </w:pict>
      </w:r>
      <w:r>
        <w:rPr>
          <w:rFonts w:ascii="arial" w:eastAsia="arial" w:hAnsi="arial" w:cs="arial"/>
          <w:sz w:val="20"/>
          <w:lang w:val="en-US" w:eastAsia="en-US" w:bidi="ar-SA"/>
        </w:rPr>
        <w:t xml:space="preserv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Pursuant to an agreed statement of facts, the parties agreed that the costs set out in categories 1-6 were reasonable and within a reasonable range of cost for the work performed, and that the amounts were paid by ALJV for the work, materials, and/or equipment described in each document contained in the costs documents submitted in support of the claim. However, the Insurers submit that the costs in category 5 are not covered by the Policy and they also take issue with the amounts claimed in categories 7-9. These are alternative submissions to the Insurers' principal position that the losses claimed by ALJV, in their entirety, fall outside of the scope of coverage under the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 will address the additional costs in greater detail below.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Policy is a Course of Construction Insurance Policy intended to insure certain defined risks during the construction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Policy was placed through Marsh Canada Limited ("Marsh") as broker. Mr. Jim Deringer, now retired, was a senior vice-president of Marsh and the broker responsible for placing the insurance coverage. According to Mr. Deringer, Marsh had a contract with the Risk Management Branch of the provincial government pursuant to which Marsh obtained insurance coverage for all hospital projects in the province. Mr. Deringer testified that in placing this particular Policy, his client was the Risk Management Branch and, indirectly, VIHA.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Policy contains the following material provisions.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Clause 1 of the Policy describes the property insured:</w:t>
      </w:r>
      <w:r>
        <w:rPr>
          <w:rFonts w:ascii="arial" w:eastAsia="arial" w:hAnsi="arial" w:cs="arial"/>
          <w:sz w:val="20"/>
          <w:lang w:val="en-US" w:eastAsia="en-US" w:bidi="ar-SA"/>
        </w:rPr>
        <w:cr/>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PROPERTY INSURED: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Policy insures:</w:t>
      </w:r>
    </w:p>
    <w:p>
      <w:pPr>
        <w:numPr>
          <w:numId w:val="17"/>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property in course of construction, installation, erection, start up, testing and commissioning, reconstruction or repair whilst at the risk of the Insured and whilst at the location of the said construction, installation, erection, reconstruction or repair operations (hereinafter called the "Construction Operations");</w:t>
      </w:r>
    </w:p>
    <w:p>
      <w:pPr>
        <w:numPr>
          <w:numId w:val="18"/>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property of every kind and description (including but not limited to materials and supplies, valuable papers or records, scale models of construction or work insured hereunder) used or to be used in a part of, or incidental to, the construction operations wherever the said property may be located within the Continental United States of America, and Canada, and whilst in transit or storage within and between Canada and the Continental United States of America on or over land or inland waters;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Under clause 2 of the Policy, "occurrence" is defined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For the purposes of the insurance under this Policy, an occurrence shall be defined as a loss or a series of losses which are attributable to one disaster or cause. All such losses shall be added together and the total amount of such losses shall be treated as one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Clause 3 defines the insured perils: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Policy insures against ALL RISKS of direct physical loss of or damage to the property insured (including general average and salvage charges), except as hereinafter provided.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following exclusions set out in clause 5 of the Policy are relevant:</w:t>
      </w:r>
      <w:r>
        <w:rPr>
          <w:rFonts w:ascii="arial" w:eastAsia="arial" w:hAnsi="arial" w:cs="arial"/>
          <w:sz w:val="20"/>
          <w:lang w:val="en-US" w:eastAsia="en-US" w:bidi="ar-SA"/>
        </w:rPr>
        <w:cr/>
      </w:r>
    </w:p>
    <w:p>
      <w:pPr>
        <w:numPr>
          <w:numId w:val="1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all costs rendered necessary by defects of material workmanship, design, plan, or specification, and should damage occur to any portion of the Insured Property containing any of the said defects the cost of replacement or rectification which is hereby excluded is that cost which would have been incurred if replacement or rectification of the Insured Property had been put in hand immediately prior to the said damage.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For the purpose of this policy and not merely this exclusion it is understood and agreed that any portion of the Insured Property shall not be regarded as damaged solely by virtue of the existence of any defect of material workmanship, design, plan or specification.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settling or shrinkage of walls, floors, foundations or ceilings, but this exclusion shall not apply to damage resulting from settling or shrinkage of walls, floors foundations, or ceilings.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Clause 10 of the Policy deals with expediting and extra expenses: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Policy shall also pay for the reasonable extra cost of expediting the repair or replacement of Property Insured damaged by a Peril insured, including overtime and the extra cost of express or other rapid means of transportation. This Policy also provides Extra Expense beyond that payable under Section II - Business Interruption (if insured) as is necessarily incurred for the purpose of continuing as nearly as practicable the normal operation of the Business. Such Extra Expense shall include the expense of obtaining and using other property or facilities of other concerns or necessary emergency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Policy provides for a $1 million limit on such expediting and extra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One of the central issues in this case is whether the damage to the Project falls within the exclusion set out clause 5(b) of the Policy. There was some discussion at the trial as to the genesis of that provision. It was Mr. Deringer's evidence that clause 5(b) contains standard exclusionary language developed by the London Engineering Group, an entity that develops policy wording for insurance companies. According to Mr. Deringer, that provision was proposed by Zurich Insurance Company Ltd., one of the defendant insurers, and there was no negotiation of the terms of the exclusion. Specifically, Mr. Deringer testified that ALJV had no input into the content of the exclusion clause or, for that matter, the Policy in general.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following issues arise in this action:</w:t>
      </w:r>
      <w:r>
        <w:rPr>
          <w:rFonts w:ascii="arial" w:eastAsia="arial" w:hAnsi="arial" w:cs="arial"/>
          <w:sz w:val="20"/>
          <w:lang w:val="en-US" w:eastAsia="en-US" w:bidi="ar-SA"/>
        </w:rPr>
        <w:cr/>
      </w:r>
    </w:p>
    <w:p>
      <w:pPr>
        <w:numPr>
          <w:numId w:val="2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caused the over deflection and cracking in the slabs?</w:t>
      </w:r>
    </w:p>
    <w:p>
      <w:pPr>
        <w:numPr>
          <w:numId w:val="2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Do the costs incurred to remedy the problems fall within the scope of the coverage provided under the Policy?</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claimed loss excluded pursuant to clause 5(b) of the Policy as being costs incurred by reason of defective design or workmanship?</w:t>
      </w:r>
    </w:p>
    <w:p>
      <w:pPr>
        <w:numPr>
          <w:numId w:val="2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claimed loss excluded pursuant to clause 5(i) of the Policy as being costs incurred by reason of settling or shrinkage?</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some or all of the claimed loss is covered by the Policy, what is the value of the claim?</w:t>
      </w:r>
    </w:p>
    <w:p>
      <w:pPr>
        <w:numPr>
          <w:numId w:val="2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Is any portion of the claimed loss subject to the sub-limits for expediting and extra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r>
        <w:rPr>
          <w:rFonts w:ascii="arial" w:eastAsia="arial" w:hAnsi="arial" w:cs="arial"/>
          <w:sz w:val="20"/>
          <w:lang w:val="en-US" w:eastAsia="en-US" w:bidi="ar-SA"/>
        </w:rPr>
        <w:cr/>
      </w:r>
    </w:p>
    <w:p>
      <w:pPr>
        <w:numPr>
          <w:numId w:val="2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Cause of the Over Deflection and Cracking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Both parties led expert opinion evidence as to the cause of the over deflection and the cracking.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ALJV relied on the opinion of Miche l O'Keeffe of Glotman Simpson. As noted above, Glotman Simpson was retained in August of 2009 to investigate the cause of the over deflections and cracking and it produced a report on that issue authored by Mr. O'Keeffe. Subsequently, Mr. O'Keeffe was retained to provide an expert opinion on the causation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In his expert report dated November 18, 2013, Mr. O'Keeffe notes that his opinion on causation is informed by the results of the slab load tests which confirmed that the slabs met building code and project design specifications. That fact, combined with the presence before the load tests of crack patterns consistent with slab flexural yielding and the fact that no new cracking resulted from the load tests, led him to conclude that the rebar in the slabs had previously been stretched beyond its yield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Mr. O'Keeffe's report contains a number of figures illustrating how a concrete slab will perform under anticipated loads in accordance with design codes, and how the slab will perform when over loaded. When performing properly, the rebar in the slab will stretch and maintain the necessary tension to accommodate the load. As the load is released, the rebar will rebound in a straight line to its starting point. Any cracks that might have occurred in the concrete slab, due to deflection under the load, will then close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However, when a slab is over loaded and the rebar is stretched beyond its yield point, the rebar will rebound along a different line when the load is released, resulting in a permanent deflection in the concrete slab. Further, because the rebar does not rebound along the same line as when the concrete was poured, any cracks that occurred in the concrete will not fully close. Again, the existence of such cracks in the slabs prior to the load tests indicated to Mr. O'Keeffe that the slabs had been over loaded at some earlier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In Mr. O'Keeffe's opinion, that over loading was the result of the formwork and reshoring process used in the construction of the slabs. Specifically, it occurred due to a failure to loosen and then retighten the shores below the slabs once poured, resulting in the lowest slab supporting the shores to be over loaded. Mr. O'Keeffe described this phenomenon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an assumed fact as provided by BLG in their letter of August 14, 2013 is that during construction all shores remained fixed in place between pouring of the slabs and that at no time were the shores released and re-set prior to setting the fly forms and pouring of the next slab above. In my opinion, this caused the lowest slab in the shoring sequence to carry more load than intended, resulting in overloading and yielding of the flexural reinforcing, resulting in a permanent deflection of the lowest slab and thus causing the loss of the intended camber for the slab being placed, as noted in the assumed facts. Recently placed concrete creeps meaning it continues to deflect under it's [sic] own load. If a recently placed slab is supported on shores it will transfer more and more of it's [sic] own weight to the shores below as it continues to creep over time. This load will be transferred by the shores below on to the slab below. The slab below will also be creeping and transferring more and more of it's [sic] weight on to the shores below over time. The lowest slab not supported on shores will thus end up carrying an unexpected portion of the weight of the re-shored slabs above. Loosening and re-tightening the shores supporting a slab allows the creep deflection of that slab to occur so that the slab again carries all of it's [sic] own weight and doesn't transfer some of it onto the slab below. Without loosening and re-tightening of the shores the lowest slab not supported on shores will carry a share of the weight of the newly placed slab as well as a portion of the shored slabs in between.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Gregory Smith of the engineering firm Weiler Smith Bowers also provided an expert report, dated November 8, 2013, that was tendered by ALJV. Like Mr. O'Keeffe, it was Mr. Smith's opinion that the slabs were overloaded at some point during construction. However, his analysis in arriving at that opinion differs somewhat from Mr. O'Keeffe's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Specifically, it is Mr. Smith's view that the formwork and reshoring procedures used during construction did not adequately account for what he described as the "complex" design of the slabs. According to Mr. Smith, the formwork contractor should have considered a number of key factors when undertaking the formwork and reshoring, including:</w:t>
      </w:r>
      <w:r>
        <w:rPr>
          <w:rFonts w:ascii="arial" w:eastAsia="arial" w:hAnsi="arial" w:cs="arial"/>
          <w:sz w:val="20"/>
          <w:lang w:val="en-US" w:eastAsia="en-US" w:bidi="ar-SA"/>
        </w:rPr>
        <w:cr/>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slab thickness, and more importantly, the ratio of slab thickness to span length. A thin slab will result in a smaller ratio and larger deflections for a given load condition.</w:t>
      </w:r>
    </w:p>
    <w:p>
      <w:pPr>
        <w:numPr>
          <w:numId w:val="2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Amount of reinforcing placed at the extreme bottom and top levels of the slab and the amount of redistribution of forces developed from loading of the slab.</w:t>
      </w:r>
    </w:p>
    <w:p>
      <w:pPr>
        <w:numPr>
          <w:numId w:val="3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Magnitude and duration of load on slabs.</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Installation procedures of reshores and formwork.</w:t>
      </w:r>
    </w:p>
    <w:p>
      <w:pPr>
        <w:numPr>
          <w:numId w:val="3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Amount of Camber in the slabs.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Of particular concern to Mr. Smith was the thickness of the slabs and the size of the span over which the slabs would be suspended. Under the applicable CSA standard, a thickness of 250 mm was less than what was recommended. According to Mr. Smith, a thinner slab is permissible provided that adjustments are made to the reshoring design and procedures. However, he noted that there was no evidence that a detailed deflection analysis was done by the formwork/shoring contractor. Instead, the formwork/shoring contractor used the 'simplified method" of reshoring.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Mr. Smith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Steps should have been taken to ensure an even distribution of construction load to all levels being utilized by the reshores. This could be done in a number of ways. For example, when the formwork was released to allow the upper slab to support its own weight, the reshores on the levels below could have been released at the same time to allow all the slabs to find their own deflected shape. Prior to pouring the upper slab the reshores would all be reinstalled and would be the correct length to ensure equal distribution of the construction load. Another option would be to stiffen the slab and reduce cracking. This could be done by either thickening the slabs or adding reinforcing to the slabs or both. Adding concrete is not really an option as the extra weight would require a complete redesign of the structural frame. However, adding reinforcing, especially to the top of the slab at supports, would have been fairly easy and relatively inexpensive and would only have been required on the long spans.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One other point of note from Mr. Smith is his opinion about the amount of camber. Mr. Smith stated that the amount of camber shown on the structural drawings is what is required after the removal of the formwork. Thus, if the drawings indicated a 30 mm camber, the camber built into the formwork should have been increased to account for the immediate deflection of the slab upon release of the formwork.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The Insurers rely on the expert opinion of Dr. Amin Ghali, </w:t>
      </w:r>
      <w:r>
        <w:rPr>
          <w:rFonts w:ascii="arial" w:eastAsia="arial" w:hAnsi="arial" w:cs="arial"/>
          <w:i/>
          <w:color w:val="000000"/>
          <w:sz w:val="20"/>
          <w:lang w:val="en-US" w:eastAsia="en-US" w:bidi="ar-SA"/>
        </w:rPr>
        <w:t>emeritus</w:t>
      </w:r>
      <w:r>
        <w:rPr>
          <w:rFonts w:ascii="arial" w:eastAsia="arial" w:hAnsi="arial" w:cs="arial"/>
          <w:color w:val="000000"/>
          <w:sz w:val="20"/>
          <w:lang w:val="en-US" w:eastAsia="en-US" w:bidi="ar-SA"/>
        </w:rPr>
        <w:t xml:space="preserve"> professor of civil engineering at the University of Calgary, that the cause of the over deflection was the inadequacy of the 250 mm slab thickness. Specifically, he opines that the slabs were too thin given the length of the span between supports.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All of the experts agreed that the CSA code entitled </w:t>
      </w:r>
      <w:r>
        <w:rPr>
          <w:rFonts w:ascii="arial" w:eastAsia="arial" w:hAnsi="arial" w:cs="arial"/>
          <w:i/>
          <w:color w:val="000000"/>
          <w:sz w:val="20"/>
          <w:lang w:val="en-US" w:eastAsia="en-US" w:bidi="ar-SA"/>
        </w:rPr>
        <w:t>Design of Concrete Structures,</w:t>
      </w:r>
      <w:r>
        <w:rPr>
          <w:rFonts w:ascii="arial" w:eastAsia="arial" w:hAnsi="arial" w:cs="arial"/>
          <w:color w:val="000000"/>
          <w:sz w:val="20"/>
          <w:lang w:val="en-US" w:eastAsia="en-US" w:bidi="ar-SA"/>
        </w:rPr>
        <w:t xml:space="preserve"> CSA A23.3-04, is the key governing code in terms of establishing requirements for concrete construction.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Dr. Ghali testified that calculations done in accordance with the formula established under clause 13.2.2 of CSA A23.3-04 indicate that the 250 mm slab thickness is less than the minimum specified in the code. He acknowledged that thinner slabs are permissible, provided that there are computations done to demonstrate that the resulting slab deflections will not have adverse consequences. According to Dr. Ghali, he was not aware of any such computations being done with respect to the slabs in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In his report dated December 14, 2013, which is referred to as the annex to his main report dated December 31, 2014, Dr. Ghali records the results of three analyses done to predict the long term deflection of the slabs. Based on these analyses, he states in the annex report (at p. 8) that the largest net deflection in the slabs at levels 2-8 is predicted to be 45 mm, although he states the figure as 55 mm in his main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Dr. Ghali however declined to characterize 55 mm as an excessive deflection because, as he said, the CSA code does not define what constitutes excessive deflection. Dr. Ghali said that the user of the facility is best situated to determine what is acceptable and what is not given the intended 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Dr. Ghali's central thesis again was that a thickness of 250 mm for the slabs did not meet the minimum requirements specified by CSA A23.3-04.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While Dr. Ghali undoubtedly has extensive and impressive academic credentials, I found his evidence to be of minimal assistance. It is clear that Dr. Ghali has little recent actual structural engineering or construction experience.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His opinion is based exclusively on theoretical computations which, on his own evidence, are of questionable accuracy. For example, he states at page 7 of his annex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computed long-term deflection depends upon parameters that cannot be accurately predicted. Computation can give a value of probable deflection; but the margin of error cannot be calculated.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The utility of Dr. Ghali's reports is also diminished by their narrow scope. Throughout the two reports as well as during his testimony, Dr. Ghali was at pains to emphasize that he was only considering the adequacy of the structural design and that he offered no opinion about issues relating to construction. This, despite acknowledging in cross examination, that over deflection of concrete slabs can be caused by design issues or construction issues. Dr. Ghali also stated that information about what occurred during construction and what degree of deflection was actually experienced was of no interest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With respect to the expert opinion evidence relied on by ALJV, there are also issues with Mr. O'Keeffe's evidence. One concern highlighted by the Insurers was the degree to which Mr. O'Keeffe appeared open to influence by Mr. Fuller when preparing his initial slab deflection report, making a number of changes at Mr. Fuller's request. Further, it is apparent that early on, Mr. O'Keeffe and other members of his firm had concerns about the design of the slabs, in particular, the thickness of the slabs. His colleague, Mr. Simpson, in an internal email referred to the design as "dicey" and "deficient." However, in his report, Mr. O'Keeffe focusses solely on the formwork and reshoring procedures as the likely cause of the over deflections.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Notwithstanding these concerns, I found Mr. O'Keeffe to be a knowledgeable witness who presented his opinion in a clear and forthright manner. While Mr. O'Keeffe did make changes to his earlier report at the request of Mr. Fuller, he explained that the changes were concerned with how his findings were communicated and did not alter his basic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Further, his evidence about the procedure and results of the load test was compelling and provided a strong foundation for his opinion that the cause of the over-deflections was the manner in which the formwork and reshoring was carried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Of the three expert structural engineering witnesses, I found Mr. Smith's evidence to be the most useful. Unlike Mr. O'Keeffe, who had prior involvement in the Project, Mr. Smith was a true independent expert. During the course of his analysis, he considered both design and construction issues, which also sets his evidence apart from Dr. Ghali's.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That said, it is useful to note that there are certain common threads that run through all of the expert reports, the principal one being the thickness of the concrete slabs. Again, Dr. Ghali opined that the slabs were thinner than what is contemplated by CSA A23.3-04, however his analysis essentially stopped there. Mr. O'Keeffe also recognized that the thickness of the slab was a factor, however he ruled out slab design as the cause of the over deflection once the slab load test established that the slabs met design specifications from a safety and strength perspective.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It was really only Mr. Smith who examined the relationship of the slab design to the construction methods, specifically the formwork and reshoring procedures. That relationship is summarized in the following key passage from his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my opinion that the root cause of the over deflection is that the slabs were overloaded during construction. Inadequate analysis was done with respect to the slab deflections and stresses caused by the construction loading. The fact that the design of the slab was complex was not recognized by the formwork/reshoring procedures that were developed for this project. ...The reshoring procedures did not allow the construction loads to be equally distributed to the supporting levels and should have been revised.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I accept Mr. Smith's opinion on this point, which again does not differ significantly from what the other experts said. Accordingly, I find that the over deflections and cracking were caused by the failure of the formwork/reshoring procedures to account for the unusually thin design of the slabs. However, to be clear, I do not find that the design of the slabs by itself was the cause, given that all of the experts agreed that such a thin slab was permissible under the applicable code, provided that proper accommodations were made during the formwork/reshoring process.</w:t>
      </w:r>
      <w:r>
        <w:rPr>
          <w:rFonts w:ascii="arial" w:eastAsia="arial" w:hAnsi="arial" w:cs="arial"/>
          <w:sz w:val="20"/>
          <w:lang w:val="en-US" w:eastAsia="en-US" w:bidi="ar-SA"/>
        </w:rPr>
        <w:cr/>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Coverage Under the Policy</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Principles of Interpretation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Before turning to the principles that govern the interpretation of insurance policies generally, it is important to note the specific nature of the Policy in issue. It is a course of construction policy, also referred to as an "all risks" policy. The purpose of these types of insurance policies is to insure against certain risks that may arise while a structure is being constructed and which would not otherwise be covered by general property insurance policies.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xml:space="preserve">  The Supreme Court of Canada in </w:t>
      </w:r>
      <w:r>
        <w:rPr>
          <w:rFonts w:ascii="arial" w:eastAsia="arial" w:hAnsi="arial" w:cs="arial"/>
          <w:i/>
          <w:color w:val="000000"/>
          <w:sz w:val="20"/>
          <w:lang w:val="en-US" w:eastAsia="en-US" w:bidi="ar-SA"/>
        </w:rPr>
        <w:t>Commonwealth Construction Co. Ltd. v. Imperial Oil Ltd. et al.</w:t>
      </w:r>
      <w:r>
        <w:rPr>
          <w:rFonts w:ascii="arial" w:eastAsia="arial" w:hAnsi="arial" w:cs="arial"/>
          <w:color w:val="000000"/>
          <w:sz w:val="20"/>
          <w:lang w:val="en-US" w:eastAsia="en-US" w:bidi="ar-SA"/>
        </w:rPr>
        <w:t xml:space="preserve">, </w:t>
      </w:r>
      <w:hyperlink r:id="rId899" w:history="1">
        <w:r>
          <w:rPr>
            <w:rFonts w:ascii="arial" w:eastAsia="arial" w:hAnsi="arial" w:cs="arial"/>
            <w:i/>
            <w:color w:val="0077CC"/>
            <w:sz w:val="20"/>
            <w:u w:val="single"/>
            <w:shd w:val="clear" w:color="auto" w:fill="FFFFFF"/>
            <w:lang w:val="en-US" w:eastAsia="en-US" w:bidi="ar-SA"/>
          </w:rPr>
          <w:t>[1978] 1 S.C.R. 317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Imperial Oil</w:t>
      </w:r>
      <w:r>
        <w:rPr>
          <w:rFonts w:ascii="arial" w:eastAsia="arial" w:hAnsi="arial" w:cs="arial"/>
          <w:color w:val="000000"/>
          <w:sz w:val="20"/>
          <w:lang w:val="en-US" w:eastAsia="en-US" w:bidi="ar-SA"/>
        </w:rPr>
        <w:t>] described course of construction policies in these terms (at 328):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already noted, the multi-peril policy under consideration is called in the contract between Imperial and Wellman-Lord a course of construction insurance. In England, it is usually called a "Contractors' all risks insurance" and in the United States, it is referred to as "Builders' risk policy". Whatever its label, its function is to provide to the owner the promise that the contractors will have the funds to rebuild in case of loss and to the contractors the protection against the crippling cost of starting afresh in such an event, the whole without resort to litigation in case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anyone connected with the construction, a risk accepted by the insurers at the outset. This purpose recognizes the importance of keeping to a minimum the difficulties that are bound to be created by the large number of participants in a major construction project, the complexity of which needs no demonstration. It also recognizes the realities of industrial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Such policies typically include as named or covered insureds, the owner, general contractor and all subcontractors who may be involved in the construction project. The intent of doing so is to ensure that if a loss occurs during construction, caused by one member of the construction team, recourse can be had to the policy without requiring the party suffering the loss to seek recovery directly from the responsible party. Such recovery is barred by virtue of the waiver of subrogation doctrine.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xml:space="preserve">  This concept is further described by the Supreme Court of Canada in </w:t>
      </w:r>
      <w:r>
        <w:rPr>
          <w:rFonts w:ascii="arial" w:eastAsia="arial" w:hAnsi="arial" w:cs="arial"/>
          <w:i/>
          <w:color w:val="000000"/>
          <w:sz w:val="20"/>
          <w:lang w:val="en-US" w:eastAsia="en-US" w:bidi="ar-SA"/>
        </w:rPr>
        <w:t>Imperial Oil</w:t>
      </w:r>
      <w:r>
        <w:rPr>
          <w:rFonts w:ascii="arial" w:eastAsia="arial" w:hAnsi="arial" w:cs="arial"/>
          <w:color w:val="000000"/>
          <w:sz w:val="20"/>
          <w:lang w:val="en-US" w:eastAsia="en-US" w:bidi="ar-SA"/>
        </w:rPr>
        <w:t xml:space="preserve"> as follows (at 323 - 324):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 any construction site, and especially when the building being erected is a complex chemical plant, there is ever present the possibility of damage by one tradesman to the property of another and to the construction as a whole. Should this possibility become reality, the question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absence of complete property coverage would have to be debated in court. By recognizing in all tradesmen an insurable interest based on that very real possibility, which itself has its source in the contractual arrangements opening the doors of the job site to the tradesmen, the courts would apply to the construction field the principle expressed so long ago in the area of bailment. Thus all the parties whose joint efforts have one common goal, </w:t>
      </w:r>
      <w:r>
        <w:rPr>
          <w:rFonts w:ascii="arial" w:eastAsia="arial" w:hAnsi="arial" w:cs="arial"/>
          <w:i/>
          <w:color w:val="000000"/>
          <w:sz w:val="20"/>
          <w:lang w:val="en-US" w:eastAsia="en-US" w:bidi="ar-SA"/>
        </w:rPr>
        <w:t>e.g.,</w:t>
      </w:r>
      <w:r>
        <w:rPr>
          <w:rFonts w:ascii="arial" w:eastAsia="arial" w:hAnsi="arial" w:cs="arial"/>
          <w:color w:val="000000"/>
          <w:sz w:val="20"/>
          <w:lang w:val="en-US" w:eastAsia="en-US" w:bidi="ar-SA"/>
        </w:rPr>
        <w:t xml:space="preserve"> the completion of the construction, would be spared the necessity of fighting between themselves should an accident occur involving the possible responsibility of one of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xml:space="preserve">  The leading authority on the interpretation of insurance policies generally is the decision of the Supreme Court of Canada in </w:t>
      </w:r>
      <w:r>
        <w:rPr>
          <w:rFonts w:ascii="arial" w:eastAsia="arial" w:hAnsi="arial" w:cs="arial"/>
          <w:i/>
          <w:color w:val="000000"/>
          <w:sz w:val="20"/>
          <w:lang w:val="en-US" w:eastAsia="en-US" w:bidi="ar-SA"/>
        </w:rPr>
        <w:t>Progressive Homes Ltd. v. Lombard General Insurance Co. of Canada,</w:t>
      </w:r>
      <w:r>
        <w:rPr>
          <w:rFonts w:ascii="arial" w:eastAsia="arial" w:hAnsi="arial" w:cs="arial"/>
          <w:color w:val="000000"/>
          <w:sz w:val="20"/>
          <w:lang w:val="en-US" w:eastAsia="en-US" w:bidi="ar-SA"/>
        </w:rPr>
        <w:t xml:space="preserve"> </w:t>
      </w:r>
      <w:hyperlink r:id="rId900" w:history="1">
        <w:r>
          <w:rPr>
            <w:rFonts w:ascii="arial" w:eastAsia="arial" w:hAnsi="arial" w:cs="arial"/>
            <w:i/>
            <w:color w:val="0077CC"/>
            <w:sz w:val="20"/>
            <w:u w:val="single"/>
            <w:shd w:val="clear" w:color="auto" w:fill="FFFFFF"/>
            <w:lang w:val="en-US" w:eastAsia="en-US" w:bidi="ar-SA"/>
          </w:rPr>
          <w:t>2010 SCC 33</w:t>
        </w:r>
      </w:hyperlink>
      <w:r>
        <w:rPr>
          <w:rFonts w:ascii="arial" w:eastAsia="arial" w:hAnsi="arial" w:cs="arial"/>
          <w:color w:val="000000"/>
          <w:sz w:val="20"/>
          <w:lang w:val="en-US" w:eastAsia="en-US" w:bidi="ar-SA"/>
        </w:rPr>
        <w:t>, where the court said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[22] The primary interpretive principle is that when the language of the policy is unambiguous, the court should give effect to clear language, reading the contract as a whole (</w:t>
      </w:r>
      <w:r>
        <w:rPr>
          <w:rFonts w:ascii="arial" w:eastAsia="arial" w:hAnsi="arial" w:cs="arial"/>
          <w:i/>
          <w:color w:val="000000"/>
          <w:sz w:val="20"/>
          <w:lang w:val="en-US" w:eastAsia="en-US" w:bidi="ar-SA"/>
        </w:rPr>
        <w:t>Scalera</w:t>
      </w:r>
      <w:r>
        <w:rPr>
          <w:rFonts w:ascii="arial" w:eastAsia="arial" w:hAnsi="arial" w:cs="arial"/>
          <w:color w:val="000000"/>
          <w:sz w:val="20"/>
          <w:lang w:val="en-US" w:eastAsia="en-US" w:bidi="ar-SA"/>
        </w:rPr>
        <w:t>, at para. 71).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[23] Where the language of the insurance policy is ambiguous, the courts rely on general rules of contract construction (</w:t>
      </w:r>
      <w:r>
        <w:rPr>
          <w:rFonts w:ascii="arial" w:eastAsia="arial" w:hAnsi="arial" w:cs="arial"/>
          <w:i/>
          <w:color w:val="000000"/>
          <w:sz w:val="20"/>
          <w:lang w:val="en-US" w:eastAsia="en-US" w:bidi="ar-SA"/>
        </w:rPr>
        <w:t>Consolidated-Bathurst</w:t>
      </w:r>
      <w:r>
        <w:rPr>
          <w:rFonts w:ascii="arial" w:eastAsia="arial" w:hAnsi="arial" w:cs="arial"/>
          <w:color w:val="000000"/>
          <w:sz w:val="20"/>
          <w:lang w:val="en-US" w:eastAsia="en-US" w:bidi="ar-SA"/>
        </w:rPr>
        <w:t xml:space="preserve">, </w:t>
      </w:r>
      <w:hyperlink r:id="rId901" w:history="1">
        <w:r>
          <w:rPr>
            <w:rFonts w:ascii="arial" w:eastAsia="arial" w:hAnsi="arial" w:cs="arial"/>
            <w:i/>
            <w:color w:val="0077CC"/>
            <w:sz w:val="20"/>
            <w:u w:val="single"/>
            <w:shd w:val="clear" w:color="auto" w:fill="FFFFFF"/>
            <w:lang w:val="en-US" w:eastAsia="en-US" w:bidi="ar-SA"/>
          </w:rPr>
          <w:t>[1980] 1 S.C.R. 888</w:t>
        </w:r>
      </w:hyperlink>
      <w:r>
        <w:rPr>
          <w:rFonts w:ascii="arial" w:eastAsia="arial" w:hAnsi="arial" w:cs="arial"/>
          <w:color w:val="000000"/>
          <w:sz w:val="20"/>
          <w:lang w:val="en-US" w:eastAsia="en-US" w:bidi="ar-SA"/>
        </w:rPr>
        <w:t xml:space="preserve"> at pp. 900-902). For example, courts should prefer interpretations that are consistent with the reasonable expectations of the parties (</w:t>
      </w:r>
      <w:r>
        <w:rPr>
          <w:rFonts w:ascii="arial" w:eastAsia="arial" w:hAnsi="arial" w:cs="arial"/>
          <w:i/>
          <w:color w:val="000000"/>
          <w:sz w:val="20"/>
          <w:lang w:val="en-US" w:eastAsia="en-US" w:bidi="ar-SA"/>
        </w:rPr>
        <w:t>Gibbens</w:t>
      </w:r>
      <w:r>
        <w:rPr>
          <w:rFonts w:ascii="arial" w:eastAsia="arial" w:hAnsi="arial" w:cs="arial"/>
          <w:color w:val="000000"/>
          <w:sz w:val="20"/>
          <w:lang w:val="en-US" w:eastAsia="en-US" w:bidi="ar-SA"/>
        </w:rPr>
        <w:t xml:space="preserve">, </w:t>
      </w:r>
      <w:hyperlink r:id="rId902" w:history="1">
        <w:r>
          <w:rPr>
            <w:rFonts w:ascii="arial" w:eastAsia="arial" w:hAnsi="arial" w:cs="arial"/>
            <w:i/>
            <w:color w:val="0077CC"/>
            <w:sz w:val="20"/>
            <w:u w:val="single"/>
            <w:shd w:val="clear" w:color="auto" w:fill="FFFFFF"/>
            <w:lang w:val="en-US" w:eastAsia="en-US" w:bidi="ar-SA"/>
          </w:rPr>
          <w:t>[2009] 3 S.C.R. 605</w:t>
        </w:r>
      </w:hyperlink>
      <w:r>
        <w:rPr>
          <w:rFonts w:ascii="arial" w:eastAsia="arial" w:hAnsi="arial" w:cs="arial"/>
          <w:color w:val="000000"/>
          <w:sz w:val="20"/>
          <w:lang w:val="en-US" w:eastAsia="en-US" w:bidi="ar-SA"/>
        </w:rPr>
        <w:t xml:space="preserve"> at para. 26; </w:t>
      </w:r>
      <w:r>
        <w:rPr>
          <w:rFonts w:ascii="arial" w:eastAsia="arial" w:hAnsi="arial" w:cs="arial"/>
          <w:i/>
          <w:color w:val="000000"/>
          <w:sz w:val="20"/>
          <w:lang w:val="en-US" w:eastAsia="en-US" w:bidi="ar-SA"/>
        </w:rPr>
        <w:t>Scalera</w:t>
      </w:r>
      <w:r>
        <w:rPr>
          <w:rFonts w:ascii="arial" w:eastAsia="arial" w:hAnsi="arial" w:cs="arial"/>
          <w:color w:val="000000"/>
          <w:sz w:val="20"/>
          <w:lang w:val="en-US" w:eastAsia="en-US" w:bidi="ar-SA"/>
        </w:rPr>
        <w:t xml:space="preserve">, at para. 71; </w:t>
      </w:r>
      <w:r>
        <w:rPr>
          <w:rFonts w:ascii="arial" w:eastAsia="arial" w:hAnsi="arial" w:cs="arial"/>
          <w:i/>
          <w:color w:val="000000"/>
          <w:sz w:val="20"/>
          <w:lang w:val="en-US" w:eastAsia="en-US" w:bidi="ar-SA"/>
        </w:rPr>
        <w:t>Consolidated-Bathurst</w:t>
      </w:r>
      <w:r>
        <w:rPr>
          <w:rFonts w:ascii="arial" w:eastAsia="arial" w:hAnsi="arial" w:cs="arial"/>
          <w:color w:val="000000"/>
          <w:sz w:val="20"/>
          <w:lang w:val="en-US" w:eastAsia="en-US" w:bidi="ar-SA"/>
        </w:rPr>
        <w:t>, at p. 901), so long as such an interpretation can be supported by the text of the policy. Courts should avoid interpretations that would give rise to an unrealistic result or that would not have been in the contemplation of the parties at the time the policy was concluded (</w:t>
      </w:r>
      <w:r>
        <w:rPr>
          <w:rFonts w:ascii="arial" w:eastAsia="arial" w:hAnsi="arial" w:cs="arial"/>
          <w:i/>
          <w:color w:val="000000"/>
          <w:sz w:val="20"/>
          <w:lang w:val="en-US" w:eastAsia="en-US" w:bidi="ar-SA"/>
        </w:rPr>
        <w:t>Scalera</w:t>
      </w:r>
      <w:r>
        <w:rPr>
          <w:rFonts w:ascii="arial" w:eastAsia="arial" w:hAnsi="arial" w:cs="arial"/>
          <w:color w:val="000000"/>
          <w:sz w:val="20"/>
          <w:lang w:val="en-US" w:eastAsia="en-US" w:bidi="ar-SA"/>
        </w:rPr>
        <w:t xml:space="preserve">, at para. 71; </w:t>
      </w:r>
      <w:r>
        <w:rPr>
          <w:rFonts w:ascii="arial" w:eastAsia="arial" w:hAnsi="arial" w:cs="arial"/>
          <w:i/>
          <w:color w:val="000000"/>
          <w:sz w:val="20"/>
          <w:lang w:val="en-US" w:eastAsia="en-US" w:bidi="ar-SA"/>
        </w:rPr>
        <w:t>Consolidated-Bathurst</w:t>
      </w:r>
      <w:r>
        <w:rPr>
          <w:rFonts w:ascii="arial" w:eastAsia="arial" w:hAnsi="arial" w:cs="arial"/>
          <w:color w:val="000000"/>
          <w:sz w:val="20"/>
          <w:lang w:val="en-US" w:eastAsia="en-US" w:bidi="ar-SA"/>
        </w:rPr>
        <w:t>, at p. 901). Courts should also strive to ensure that similar insurance policies are construed consistently (</w:t>
      </w:r>
      <w:r>
        <w:rPr>
          <w:rFonts w:ascii="arial" w:eastAsia="arial" w:hAnsi="arial" w:cs="arial"/>
          <w:i/>
          <w:color w:val="000000"/>
          <w:sz w:val="20"/>
          <w:lang w:val="en-US" w:eastAsia="en-US" w:bidi="ar-SA"/>
        </w:rPr>
        <w:t>Gibbens</w:t>
      </w:r>
      <w:r>
        <w:rPr>
          <w:rFonts w:ascii="arial" w:eastAsia="arial" w:hAnsi="arial" w:cs="arial"/>
          <w:color w:val="000000"/>
          <w:sz w:val="20"/>
          <w:lang w:val="en-US" w:eastAsia="en-US" w:bidi="ar-SA"/>
        </w:rPr>
        <w:t>, at para. 27). These rules of construction are applied to resolve ambiguity. They do not operate to create ambiguity where there is none in the first place.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[24] When these rules of construction fail to resolve the ambiguity, courts will construe the policy </w:t>
      </w:r>
      <w:r>
        <w:rPr>
          <w:rFonts w:ascii="arial" w:eastAsia="arial" w:hAnsi="arial" w:cs="arial"/>
          <w:i/>
          <w:color w:val="000000"/>
          <w:sz w:val="20"/>
          <w:lang w:val="en-US" w:eastAsia="en-US" w:bidi="ar-SA"/>
        </w:rPr>
        <w:t>contra proferentem</w:t>
      </w:r>
      <w:r>
        <w:rPr>
          <w:rFonts w:ascii="arial" w:eastAsia="arial" w:hAnsi="arial" w:cs="arial"/>
          <w:color w:val="000000"/>
          <w:sz w:val="20"/>
          <w:lang w:val="en-US" w:eastAsia="en-US" w:bidi="ar-SA"/>
        </w:rPr>
        <w:t xml:space="preserve"> -- against the insurer (</w:t>
      </w:r>
      <w:r>
        <w:rPr>
          <w:rFonts w:ascii="arial" w:eastAsia="arial" w:hAnsi="arial" w:cs="arial"/>
          <w:i/>
          <w:color w:val="000000"/>
          <w:sz w:val="20"/>
          <w:lang w:val="en-US" w:eastAsia="en-US" w:bidi="ar-SA"/>
        </w:rPr>
        <w:t>Gibbens</w:t>
      </w:r>
      <w:r>
        <w:rPr>
          <w:rFonts w:ascii="arial" w:eastAsia="arial" w:hAnsi="arial" w:cs="arial"/>
          <w:color w:val="000000"/>
          <w:sz w:val="20"/>
          <w:lang w:val="en-US" w:eastAsia="en-US" w:bidi="ar-SA"/>
        </w:rPr>
        <w:t xml:space="preserve">, at para. 25; </w:t>
      </w:r>
      <w:r>
        <w:rPr>
          <w:rFonts w:ascii="arial" w:eastAsia="arial" w:hAnsi="arial" w:cs="arial"/>
          <w:i/>
          <w:color w:val="000000"/>
          <w:sz w:val="20"/>
          <w:lang w:val="en-US" w:eastAsia="en-US" w:bidi="ar-SA"/>
        </w:rPr>
        <w:t>Scalera</w:t>
      </w:r>
      <w:r>
        <w:rPr>
          <w:rFonts w:ascii="arial" w:eastAsia="arial" w:hAnsi="arial" w:cs="arial"/>
          <w:color w:val="000000"/>
          <w:sz w:val="20"/>
          <w:lang w:val="en-US" w:eastAsia="en-US" w:bidi="ar-SA"/>
        </w:rPr>
        <w:t xml:space="preserve">, at para. 70; </w:t>
      </w:r>
      <w:r>
        <w:rPr>
          <w:rFonts w:ascii="arial" w:eastAsia="arial" w:hAnsi="arial" w:cs="arial"/>
          <w:i/>
          <w:color w:val="000000"/>
          <w:sz w:val="20"/>
          <w:lang w:val="en-US" w:eastAsia="en-US" w:bidi="ar-SA"/>
        </w:rPr>
        <w:t>Consolidated-Bathurst</w:t>
      </w:r>
      <w:r>
        <w:rPr>
          <w:rFonts w:ascii="arial" w:eastAsia="arial" w:hAnsi="arial" w:cs="arial"/>
          <w:color w:val="000000"/>
          <w:sz w:val="20"/>
          <w:lang w:val="en-US" w:eastAsia="en-US" w:bidi="ar-SA"/>
        </w:rPr>
        <w:t xml:space="preserve">, at pp. 899-901). One corollary of the </w:t>
      </w:r>
      <w:r>
        <w:rPr>
          <w:rFonts w:ascii="arial" w:eastAsia="arial" w:hAnsi="arial" w:cs="arial"/>
          <w:i/>
          <w:color w:val="000000"/>
          <w:sz w:val="20"/>
          <w:lang w:val="en-US" w:eastAsia="en-US" w:bidi="ar-SA"/>
        </w:rPr>
        <w:t>contra proferentem</w:t>
      </w:r>
      <w:r>
        <w:rPr>
          <w:rFonts w:ascii="arial" w:eastAsia="arial" w:hAnsi="arial" w:cs="arial"/>
          <w:color w:val="000000"/>
          <w:sz w:val="20"/>
          <w:lang w:val="en-US" w:eastAsia="en-US" w:bidi="ar-SA"/>
        </w:rPr>
        <w:t xml:space="preserve"> rule is that coverage provisions are interpreted broadly, and exclusion clauses narrowly (</w:t>
      </w:r>
      <w:r>
        <w:rPr>
          <w:rFonts w:ascii="arial" w:eastAsia="arial" w:hAnsi="arial" w:cs="arial"/>
          <w:i/>
          <w:color w:val="000000"/>
          <w:sz w:val="20"/>
          <w:lang w:val="en-US" w:eastAsia="en-US" w:bidi="ar-SA"/>
        </w:rPr>
        <w:t>Jesuit Fathers</w:t>
      </w:r>
      <w:r>
        <w:rPr>
          <w:rFonts w:ascii="arial" w:eastAsia="arial" w:hAnsi="arial" w:cs="arial"/>
          <w:color w:val="000000"/>
          <w:sz w:val="20"/>
          <w:lang w:val="en-US" w:eastAsia="en-US" w:bidi="ar-SA"/>
        </w:rPr>
        <w:t xml:space="preserve">, </w:t>
      </w:r>
      <w:hyperlink r:id="rId903" w:history="1">
        <w:r>
          <w:rPr>
            <w:rFonts w:ascii="arial" w:eastAsia="arial" w:hAnsi="arial" w:cs="arial"/>
            <w:i/>
            <w:color w:val="0077CC"/>
            <w:sz w:val="20"/>
            <w:u w:val="single"/>
            <w:shd w:val="clear" w:color="auto" w:fill="FFFFFF"/>
            <w:lang w:val="en-US" w:eastAsia="en-US" w:bidi="ar-SA"/>
          </w:rPr>
          <w:t>[2006] 1 S.C.R. 744</w:t>
        </w:r>
      </w:hyperlink>
      <w:r>
        <w:rPr>
          <w:rFonts w:ascii="arial" w:eastAsia="arial" w:hAnsi="arial" w:cs="arial"/>
          <w:color w:val="000000"/>
          <w:sz w:val="20"/>
          <w:lang w:val="en-US" w:eastAsia="en-US" w:bidi="ar-SA"/>
        </w:rPr>
        <w:t xml:space="preserve"> at para. 28).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xml:space="preserve">  Our Court of Appeal recently provided a succinct summary of the proper interpretive approach in </w:t>
      </w:r>
      <w:r>
        <w:rPr>
          <w:rFonts w:ascii="arial" w:eastAsia="arial" w:hAnsi="arial" w:cs="arial"/>
          <w:i/>
          <w:color w:val="000000"/>
          <w:sz w:val="20"/>
          <w:lang w:val="en-US" w:eastAsia="en-US" w:bidi="ar-SA"/>
        </w:rPr>
        <w:t>Coburn v. Family Insurance Solutions,</w:t>
      </w:r>
      <w:r>
        <w:rPr>
          <w:rFonts w:ascii="arial" w:eastAsia="arial" w:hAnsi="arial" w:cs="arial"/>
          <w:color w:val="000000"/>
          <w:sz w:val="20"/>
          <w:lang w:val="en-US" w:eastAsia="en-US" w:bidi="ar-SA"/>
        </w:rPr>
        <w:t xml:space="preserve"> </w:t>
      </w:r>
      <w:hyperlink r:id="rId904" w:history="1">
        <w:r>
          <w:rPr>
            <w:rFonts w:ascii="arial" w:eastAsia="arial" w:hAnsi="arial" w:cs="arial"/>
            <w:i/>
            <w:color w:val="0077CC"/>
            <w:sz w:val="20"/>
            <w:u w:val="single"/>
            <w:shd w:val="clear" w:color="auto" w:fill="FFFFFF"/>
            <w:lang w:val="en-US" w:eastAsia="en-US" w:bidi="ar-SA"/>
          </w:rPr>
          <w:t>2014 BCCA 73</w:t>
        </w:r>
      </w:hyperlink>
      <w:r>
        <w:rPr>
          <w:rFonts w:ascii="arial" w:eastAsia="arial" w:hAnsi="arial" w:cs="arial"/>
          <w:color w:val="000000"/>
          <w:sz w:val="20"/>
          <w:lang w:val="en-US" w:eastAsia="en-US" w:bidi="ar-SA"/>
        </w:rPr>
        <w:t xml:space="preserve"> at para. 28: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general principles governing interpretation of insurance contracts are settled law. The provisions of an insurance contract that provide coverage are to be construed broadly. Ambiguity in the language is resolved in the insured's favour. Provisions of an insurance contract that exclude or limit coverage are to be construed narrowly. Contracts are construed </w:t>
      </w:r>
      <w:r>
        <w:rPr>
          <w:rFonts w:ascii="arial" w:eastAsia="arial" w:hAnsi="arial" w:cs="arial"/>
          <w:i/>
          <w:color w:val="000000"/>
          <w:sz w:val="20"/>
          <w:lang w:val="en-US" w:eastAsia="en-US" w:bidi="ar-SA"/>
        </w:rPr>
        <w:t>contra proferentum</w:t>
      </w:r>
      <w:r>
        <w:rPr>
          <w:rFonts w:ascii="arial" w:eastAsia="arial" w:hAnsi="arial" w:cs="arial"/>
          <w:color w:val="000000"/>
          <w:sz w:val="20"/>
          <w:lang w:val="en-US" w:eastAsia="en-US" w:bidi="ar-SA"/>
        </w:rPr>
        <w:t xml:space="preserve"> for the reason that the language chosen is that of the insurer. Where the policy is ambiguous, effect should be given to the reasonable expectation of the parties: </w:t>
      </w:r>
      <w:r>
        <w:rPr>
          <w:rFonts w:ascii="arial" w:eastAsia="arial" w:hAnsi="arial" w:cs="arial"/>
          <w:i/>
          <w:color w:val="000000"/>
          <w:sz w:val="20"/>
          <w:lang w:val="en-US" w:eastAsia="en-US" w:bidi="ar-SA"/>
        </w:rPr>
        <w:t>Reid Crowther &amp; Partners Ltd. v. Simcoe &amp; Erie General Insurance Co.</w:t>
      </w:r>
      <w:r>
        <w:rPr>
          <w:rFonts w:ascii="arial" w:eastAsia="arial" w:hAnsi="arial" w:cs="arial"/>
          <w:color w:val="000000"/>
          <w:sz w:val="20"/>
          <w:lang w:val="en-US" w:eastAsia="en-US" w:bidi="ar-SA"/>
        </w:rPr>
        <w:t xml:space="preserve">, </w:t>
      </w:r>
      <w:hyperlink r:id="rId905" w:history="1">
        <w:r>
          <w:rPr>
            <w:rFonts w:ascii="arial" w:eastAsia="arial" w:hAnsi="arial" w:cs="arial"/>
            <w:i/>
            <w:color w:val="0077CC"/>
            <w:sz w:val="20"/>
            <w:u w:val="single"/>
            <w:shd w:val="clear" w:color="auto" w:fill="FFFFFF"/>
            <w:lang w:val="en-US" w:eastAsia="en-US" w:bidi="ar-SA"/>
          </w:rPr>
          <w:t>[1993] 1 S.C.R. 252</w:t>
        </w:r>
      </w:hyperlink>
      <w:r>
        <w:rPr>
          <w:rFonts w:ascii="arial" w:eastAsia="arial" w:hAnsi="arial" w:cs="arial"/>
          <w:color w:val="000000"/>
          <w:sz w:val="20"/>
          <w:lang w:val="en-US" w:eastAsia="en-US" w:bidi="ar-SA"/>
        </w:rPr>
        <w:t xml:space="preserve">, </w:t>
      </w:r>
      <w:hyperlink r:id="rId905" w:history="1">
        <w:r>
          <w:rPr>
            <w:rFonts w:ascii="arial" w:eastAsia="arial" w:hAnsi="arial" w:cs="arial"/>
            <w:i/>
            <w:color w:val="0077CC"/>
            <w:sz w:val="20"/>
            <w:u w:val="single"/>
            <w:shd w:val="clear" w:color="auto" w:fill="FFFFFF"/>
            <w:lang w:val="en-US" w:eastAsia="en-US" w:bidi="ar-SA"/>
          </w:rPr>
          <w:t>99 D.L.R. (4th) 741</w:t>
        </w:r>
      </w:hyperlink>
      <w:r>
        <w:rPr>
          <w:rFonts w:ascii="arial" w:eastAsia="arial" w:hAnsi="arial" w:cs="arial"/>
          <w:color w:val="000000"/>
          <w:sz w:val="20"/>
          <w:lang w:val="en-US" w:eastAsia="en-US" w:bidi="ar-SA"/>
        </w:rPr>
        <w:t xml:space="preserve">. While any ambiguity in the contract should be resolved against the insurer a court must first find ambiguity before applying the </w:t>
      </w:r>
      <w:r>
        <w:rPr>
          <w:rFonts w:ascii="arial" w:eastAsia="arial" w:hAnsi="arial" w:cs="arial"/>
          <w:i/>
          <w:color w:val="000000"/>
          <w:sz w:val="20"/>
          <w:lang w:val="en-US" w:eastAsia="en-US" w:bidi="ar-SA"/>
        </w:rPr>
        <w:t>contra proferentum</w:t>
      </w:r>
      <w:r>
        <w:rPr>
          <w:rFonts w:ascii="arial" w:eastAsia="arial" w:hAnsi="arial" w:cs="arial"/>
          <w:color w:val="000000"/>
          <w:sz w:val="20"/>
          <w:lang w:val="en-US" w:eastAsia="en-US" w:bidi="ar-SA"/>
        </w:rPr>
        <w:t xml:space="preserve"> rule: </w:t>
      </w:r>
      <w:r>
        <w:rPr>
          <w:rFonts w:ascii="arial" w:eastAsia="arial" w:hAnsi="arial" w:cs="arial"/>
          <w:i/>
          <w:color w:val="000000"/>
          <w:sz w:val="20"/>
          <w:lang w:val="en-US" w:eastAsia="en-US" w:bidi="ar-SA"/>
        </w:rPr>
        <w:t>Kinnear v. Canadian Recreation Excellence (Vernon) Corp.</w:t>
      </w:r>
      <w:r>
        <w:rPr>
          <w:rFonts w:ascii="arial" w:eastAsia="arial" w:hAnsi="arial" w:cs="arial"/>
          <w:color w:val="000000"/>
          <w:sz w:val="20"/>
          <w:lang w:val="en-US" w:eastAsia="en-US" w:bidi="ar-SA"/>
        </w:rPr>
        <w:t xml:space="preserve">, </w:t>
      </w:r>
      <w:hyperlink r:id="rId906" w:history="1">
        <w:r>
          <w:rPr>
            <w:rFonts w:ascii="arial" w:eastAsia="arial" w:hAnsi="arial" w:cs="arial"/>
            <w:i/>
            <w:color w:val="0077CC"/>
            <w:sz w:val="20"/>
            <w:u w:val="single"/>
            <w:shd w:val="clear" w:color="auto" w:fill="FFFFFF"/>
            <w:lang w:val="en-US" w:eastAsia="en-US" w:bidi="ar-SA"/>
          </w:rPr>
          <w:t>2012 BCCA 291</w:t>
        </w:r>
      </w:hyperlink>
      <w:r>
        <w:rPr>
          <w:rFonts w:ascii="arial" w:eastAsia="arial" w:hAnsi="arial" w:cs="arial"/>
          <w:color w:val="000000"/>
          <w:sz w:val="20"/>
          <w:lang w:val="en-US" w:eastAsia="en-US" w:bidi="ar-SA"/>
        </w:rPr>
        <w:t xml:space="preserve">, </w:t>
      </w:r>
      <w:hyperlink r:id="rId906" w:history="1">
        <w:r>
          <w:rPr>
            <w:rFonts w:ascii="arial" w:eastAsia="arial" w:hAnsi="arial" w:cs="arial"/>
            <w:i/>
            <w:color w:val="0077CC"/>
            <w:sz w:val="20"/>
            <w:u w:val="single"/>
            <w:shd w:val="clear" w:color="auto" w:fill="FFFFFF"/>
            <w:lang w:val="en-US" w:eastAsia="en-US" w:bidi="ar-SA"/>
          </w:rPr>
          <w:t>352 D.L.R. (4th) 57</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Must the Loss be Fortuitous?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While the above cases deal with general principles of interpretation, the parties disagree on whether the Policy in issue includes a requirement that any loss or damage for which coverage is sought must be fortuitous.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xml:space="preserve">  The Insurers say that fortuity is a fundamental principle of insurance law applicable to all insurance policies. The Insurers cite the following passage from R. Bruce Reynolds and Sharon C. Vogel, </w:t>
      </w:r>
      <w:r>
        <w:rPr>
          <w:rFonts w:ascii="arial" w:eastAsia="arial" w:hAnsi="arial" w:cs="arial"/>
          <w:i/>
          <w:color w:val="000000"/>
          <w:sz w:val="20"/>
          <w:lang w:val="en-US" w:eastAsia="en-US" w:bidi="ar-SA"/>
        </w:rPr>
        <w:t>A Guide to Canadian Construction Insurance</w:t>
      </w:r>
      <w:r>
        <w:rPr>
          <w:rFonts w:ascii="arial" w:eastAsia="arial" w:hAnsi="arial" w:cs="arial"/>
          <w:color w:val="000000"/>
          <w:sz w:val="20"/>
          <w:lang w:val="en-US" w:eastAsia="en-US" w:bidi="ar-SA"/>
        </w:rPr>
        <w:t xml:space="preserve"> (Toronto: Carswell, 2013) at 4.3.3: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Fortuity is a fundamental principle of insurance law. It is a truism that insurance only covers those losses that are fortuitous in nature. To put it simply, the loss must be accidental. One of the policy reasons behind this principle is that an insured should not be insured against liability for his or her own willful wrongdoing; another is that insurance compensates for the occurrence of a risk and not a certainty. The principle of fortuity can be traced back to the English case of </w:t>
      </w:r>
      <w:r>
        <w:rPr>
          <w:rFonts w:ascii="arial" w:eastAsia="arial" w:hAnsi="arial" w:cs="arial"/>
          <w:i/>
          <w:color w:val="000000"/>
          <w:sz w:val="20"/>
          <w:lang w:val="en-US" w:eastAsia="en-US" w:bidi="ar-SA"/>
        </w:rPr>
        <w:t>British &amp; Foreign Marine Insurance Co. v. Gaunt.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[Footnote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xml:space="preserve">  As noted by the authors in the above passage, the leading authority on the principle of fortuity is </w:t>
      </w:r>
      <w:r>
        <w:rPr>
          <w:rFonts w:ascii="arial" w:eastAsia="arial" w:hAnsi="arial" w:cs="arial"/>
          <w:i/>
          <w:color w:val="000000"/>
          <w:sz w:val="20"/>
          <w:lang w:val="en-US" w:eastAsia="en-US" w:bidi="ar-SA"/>
        </w:rPr>
        <w:t>British and Foreign Marine Insurance Company, Limited v. Gaunt</w:t>
      </w:r>
      <w:r>
        <w:rPr>
          <w:rFonts w:ascii="arial" w:eastAsia="arial" w:hAnsi="arial" w:cs="arial"/>
          <w:color w:val="000000"/>
          <w:sz w:val="20"/>
          <w:lang w:val="en-US" w:eastAsia="en-US" w:bidi="ar-SA"/>
        </w:rPr>
        <w:t>, [1921] 2 A.C. 4, [1921] All E.R. Rep. 447 (cited to All E.R.), where the House of Lords said (at 455):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are, of course, limits to "all risks." They are risks and risks insured against. Accordingly, the expression does not cover inherent vice or mere wear and tear or British capture. It covers a risk, not a certainty; it is something which happens to the subject-matter from without, not the natural behaviour of that subject-matter, being what it is, in the circumstances in which it is carried. Nor is it a loss which the assured brings about by his own act, for then he has not merely exposed the goods to the chance of injury, he has injured them himself. Finally, the description "all risks" does not alter the general law; only risks are covered which it is lawful to cover, and the onus of proof remains where it would have been on a policy against ordinary sea perils.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The basic premise is of course that insurance by its very nature is intended to allocate risk for accidental or unintended events, as distinct from the intended consequences of one's own purposeful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xml:space="preserve">  ALJV submits that the Policy here contains no express requirement that any loss be fortuitous in order to trigger coverage. It says further that the interpretive approach mandated by the Supreme Court of Canada in </w:t>
      </w:r>
      <w:r>
        <w:rPr>
          <w:rFonts w:ascii="arial" w:eastAsia="arial" w:hAnsi="arial" w:cs="arial"/>
          <w:i/>
          <w:color w:val="000000"/>
          <w:sz w:val="20"/>
          <w:lang w:val="en-US" w:eastAsia="en-US" w:bidi="ar-SA"/>
        </w:rPr>
        <w:t>Progressive Homes</w:t>
      </w:r>
      <w:r>
        <w:rPr>
          <w:rFonts w:ascii="arial" w:eastAsia="arial" w:hAnsi="arial" w:cs="arial"/>
          <w:color w:val="000000"/>
          <w:sz w:val="20"/>
          <w:lang w:val="en-US" w:eastAsia="en-US" w:bidi="ar-SA"/>
        </w:rPr>
        <w:t xml:space="preserve"> requires that the court adhere to the specific language used in the insurance policy and not rely on historical insurance "truisms" like the requirement of fortuity.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ALJV points to the definition of "perils insured" in the Policy, which again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Policy insures against ALL RISKS of direct physical loss of or damage to the property insured...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It also relies on the definition of "Occurrence" as "a loss or a series of losses which are attributable to one disaster or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According to ALJV, the concepts of "accident' and "fortuity" are not included in these definitions and there is no express requirement that loss or damage be fortuitous in order to trigger coverage.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Alternatively, ALJV submits that if fortuity is an implicit requirement under the Policy, the cracking and over deflections were fortuitous in the sense that they were clearly unintended.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xml:space="preserve">  In my view, while there is no doubt that the modern approach to the interpretation of insurance contracts demands that the language of the policy take precedence, I do not read </w:t>
      </w:r>
      <w:r>
        <w:rPr>
          <w:rFonts w:ascii="arial" w:eastAsia="arial" w:hAnsi="arial" w:cs="arial"/>
          <w:i/>
          <w:color w:val="000000"/>
          <w:sz w:val="20"/>
          <w:lang w:val="en-US" w:eastAsia="en-US" w:bidi="ar-SA"/>
        </w:rPr>
        <w:t>Progressive Homes</w:t>
      </w:r>
      <w:r>
        <w:rPr>
          <w:rFonts w:ascii="arial" w:eastAsia="arial" w:hAnsi="arial" w:cs="arial"/>
          <w:color w:val="000000"/>
          <w:sz w:val="20"/>
          <w:lang w:val="en-US" w:eastAsia="en-US" w:bidi="ar-SA"/>
        </w:rPr>
        <w:t xml:space="preserve"> as obviating the requirement that loss or damage must be fortuitous in order to trigger coverage. That again is the very essence of insurance.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xml:space="preserve">  As stated by the Supreme Court of Canada in </w:t>
      </w:r>
      <w:r>
        <w:rPr>
          <w:rFonts w:ascii="arial" w:eastAsia="arial" w:hAnsi="arial" w:cs="arial"/>
          <w:i/>
          <w:color w:val="000000"/>
          <w:sz w:val="20"/>
          <w:lang w:val="en-US" w:eastAsia="en-US" w:bidi="ar-SA"/>
        </w:rPr>
        <w:t>Non-Marine Underwriters, Lloyd's of London v Scalera,</w:t>
      </w:r>
      <w:r>
        <w:rPr>
          <w:rFonts w:ascii="arial" w:eastAsia="arial" w:hAnsi="arial" w:cs="arial"/>
          <w:color w:val="000000"/>
          <w:sz w:val="20"/>
          <w:lang w:val="en-US" w:eastAsia="en-US" w:bidi="ar-SA"/>
        </w:rPr>
        <w:t xml:space="preserve"> </w:t>
      </w:r>
      <w:hyperlink r:id="rId907" w:history="1">
        <w:r>
          <w:rPr>
            <w:rFonts w:ascii="arial" w:eastAsia="arial" w:hAnsi="arial" w:cs="arial"/>
            <w:i/>
            <w:color w:val="0077CC"/>
            <w:sz w:val="20"/>
            <w:u w:val="single"/>
            <w:shd w:val="clear" w:color="auto" w:fill="FFFFFF"/>
            <w:lang w:val="en-US" w:eastAsia="en-US" w:bidi="ar-SA"/>
          </w:rPr>
          <w:t>2000 SCC 24</w:t>
        </w:r>
      </w:hyperlink>
      <w:r>
        <w:rPr>
          <w:rFonts w:ascii="arial" w:eastAsia="arial" w:hAnsi="arial" w:cs="arial"/>
          <w:color w:val="000000"/>
          <w:sz w:val="20"/>
          <w:lang w:val="en-US" w:eastAsia="en-US" w:bidi="ar-SA"/>
        </w:rPr>
        <w:t xml:space="preserve"> at paras 68 - 69: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important to keep in mind the underlying economic rationale for insurance. C. Brown and J. Menezes, </w:t>
      </w:r>
      <w:r>
        <w:rPr>
          <w:rFonts w:ascii="arial" w:eastAsia="arial" w:hAnsi="arial" w:cs="arial"/>
          <w:i/>
          <w:color w:val="000000"/>
          <w:sz w:val="20"/>
          <w:lang w:val="en-US" w:eastAsia="en-US" w:bidi="ar-SA"/>
        </w:rPr>
        <w:t>Insurance Law in Canada</w:t>
      </w:r>
      <w:r>
        <w:rPr>
          <w:rFonts w:ascii="arial" w:eastAsia="arial" w:hAnsi="arial" w:cs="arial"/>
          <w:color w:val="000000"/>
          <w:sz w:val="20"/>
          <w:lang w:val="en-US" w:eastAsia="en-US" w:bidi="ar-SA"/>
        </w:rPr>
        <w:t xml:space="preserve"> (2nd ed. 1991), state this point well at pp. 125-26:</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Insurance is a mechanism for transferring fortuitous contingent risks. Losses that are neither fortuitous nor contingent cannot economically be transferred because the premium would have to be greater than the value of the subject matter in order to provide for marketing and adjusting costs and a profit for the insurer. It follows, therefore, that even where the literal working of a policy might appear to cover certain losses, it does not, in fact, do so if (1) the loss is from the inherent nature of the subject matter being insured, or (2) it results from the intentional actions of the insured.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other words, insurance usually makes economic sense only where the losses covered are unforeseen or accidental: "The assumptions on which insurance is based are undermined if successful claims arise out of loss which is not fortuitous" (C. Brown, </w:t>
      </w:r>
      <w:r>
        <w:rPr>
          <w:rFonts w:ascii="arial" w:eastAsia="arial" w:hAnsi="arial" w:cs="arial"/>
          <w:i/>
          <w:color w:val="000000"/>
          <w:sz w:val="20"/>
          <w:lang w:val="en-US" w:eastAsia="en-US" w:bidi="ar-SA"/>
        </w:rPr>
        <w:t>Insurance Law in Canada</w:t>
      </w:r>
      <w:r>
        <w:rPr>
          <w:rFonts w:ascii="arial" w:eastAsia="arial" w:hAnsi="arial" w:cs="arial"/>
          <w:color w:val="000000"/>
          <w:sz w:val="20"/>
          <w:lang w:val="en-US" w:eastAsia="en-US" w:bidi="ar-SA"/>
        </w:rPr>
        <w:t xml:space="preserve"> (3rd ed. 1997), at p. 4).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I agree with the Insurers that the concept of fortuity is, in any event, built into the Policy here. Again, the "Perils Insured" include "all risks" of direct physical loss or damage. Use of the term "risk" underscores that the Policy is intended to insure against possible occurrences, as distinct from certain events or intended consequences.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Do the Over Deflections and Cracking Fall Within the Perils Insured Under the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ALJV submits that the over deflection and cracking of the concrete slabs falls within the perils insured as set out in the Policy as "direct physical loss of or damage to the property insured."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Under clause 1 of the Policy, coverage extends to "property in the course of construction, installation, erection, ...at the location of the said construction", "property of every kind and description" and "property of others used or to be used in a part of, or incidental to the construction operations". According to ALJV, this expansive definition of the property insured encompasses the concrete slabs as well as all of the formwork, shoring and reshoring.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xml:space="preserve">  ALJV submits further that the over deflections and cracking constitute "physical loss" or damage within the meaning of the perils insured. It relies in particular on the definition of "damage" as "harm or injury impairing the value or usefulness of something" found in the </w:t>
      </w:r>
      <w:r>
        <w:rPr>
          <w:rFonts w:ascii="arial" w:eastAsia="arial" w:hAnsi="arial" w:cs="arial"/>
          <w:i/>
          <w:color w:val="000000"/>
          <w:sz w:val="20"/>
          <w:lang w:val="en-US" w:eastAsia="en-US" w:bidi="ar-SA"/>
        </w:rPr>
        <w:t>Canadian Oxford Dictionary,</w:t>
      </w:r>
      <w:r>
        <w:rPr>
          <w:rFonts w:ascii="arial" w:eastAsia="arial" w:hAnsi="arial" w:cs="arial"/>
          <w:color w:val="000000"/>
          <w:sz w:val="20"/>
          <w:lang w:val="en-US" w:eastAsia="en-US" w:bidi="ar-SA"/>
        </w:rPr>
        <w:t xml:space="preserve"> 2nd ed., </w:t>
      </w:r>
      <w:r>
        <w:rPr>
          <w:rFonts w:ascii="arial" w:eastAsia="arial" w:hAnsi="arial" w:cs="arial"/>
          <w:i/>
          <w:color w:val="000000"/>
          <w:sz w:val="20"/>
          <w:lang w:val="en-US" w:eastAsia="en-US" w:bidi="ar-SA"/>
        </w:rPr>
        <w:t>sub verbo</w:t>
      </w:r>
      <w:r>
        <w:rPr>
          <w:rFonts w:ascii="arial" w:eastAsia="arial" w:hAnsi="arial" w:cs="arial"/>
          <w:color w:val="000000"/>
          <w:sz w:val="20"/>
          <w:lang w:val="en-US" w:eastAsia="en-US" w:bidi="ar-SA"/>
        </w:rPr>
        <w:t xml:space="preserve">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ALJV says that the evidence establishes that the over deflections and cracking were caused by damage to the supporting rebar as a result of the slabs being over loaded during construction. As a result, the slabs were rendered unfit for their intended purpose, a fact confirmed by Mr. Van den Broek, the VIHA representative, and by numerous other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ALJV also submits that if fortuity is an inherent requirement of the Policy, the damage to the slabs was fortuitous in the sense that the over deflection and cracking of the slabs was clearly unintended and unexpected.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Progressive Homes,</w:t>
      </w:r>
      <w:r>
        <w:rPr>
          <w:rFonts w:ascii="arial" w:eastAsia="arial" w:hAnsi="arial" w:cs="arial"/>
          <w:color w:val="000000"/>
          <w:sz w:val="20"/>
          <w:lang w:val="en-US" w:eastAsia="en-US" w:bidi="ar-SA"/>
        </w:rPr>
        <w:t xml:space="preserve"> the Supreme Court rejected the argument advanced by the insurer that loss resulting from faulty workmanship can never be an accident or be fortuitous. Rather, the Court found that loss flowing from negligent conduct may be characterized as accidental depending upon the specific facts. While the Court was considering a commercial general liability policy that had an express requirement that the loss be accidental, it noted that the concept of fortuity is built into the definition of "accident" (at para. 47):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Fortuity is built into the definition of "accident" itself as the insured is required to show that the damage was "neither expected nor intended from the standpoint of the Insured". This definition is consistent with this Court's core understanding of "accident": "an unlooked-for mishap or an untoward event which is not expected or designed" (</w:t>
      </w:r>
      <w:r>
        <w:rPr>
          <w:rFonts w:ascii="arial" w:eastAsia="arial" w:hAnsi="arial" w:cs="arial"/>
          <w:i/>
          <w:color w:val="000000"/>
          <w:sz w:val="20"/>
          <w:lang w:val="en-US" w:eastAsia="en-US" w:bidi="ar-SA"/>
        </w:rPr>
        <w:t>Gibbens</w:t>
      </w:r>
      <w:r>
        <w:rPr>
          <w:rFonts w:ascii="arial" w:eastAsia="arial" w:hAnsi="arial" w:cs="arial"/>
          <w:color w:val="000000"/>
          <w:sz w:val="20"/>
          <w:lang w:val="en-US" w:eastAsia="en-US" w:bidi="ar-SA"/>
        </w:rPr>
        <w:t xml:space="preserve">, at para. 22; </w:t>
      </w:r>
      <w:r>
        <w:rPr>
          <w:rFonts w:ascii="arial" w:eastAsia="arial" w:hAnsi="arial" w:cs="arial"/>
          <w:i/>
          <w:color w:val="000000"/>
          <w:sz w:val="20"/>
          <w:lang w:val="en-US" w:eastAsia="en-US" w:bidi="ar-SA"/>
        </w:rPr>
        <w:t>Martin v. American International Assurance Life Co.</w:t>
      </w:r>
      <w:r>
        <w:rPr>
          <w:rFonts w:ascii="arial" w:eastAsia="arial" w:hAnsi="arial" w:cs="arial"/>
          <w:color w:val="000000"/>
          <w:sz w:val="20"/>
          <w:lang w:val="en-US" w:eastAsia="en-US" w:bidi="ar-SA"/>
        </w:rPr>
        <w:t xml:space="preserve">, </w:t>
      </w:r>
      <w:hyperlink r:id="rId908" w:history="1">
        <w:r>
          <w:rPr>
            <w:rFonts w:ascii="arial" w:eastAsia="arial" w:hAnsi="arial" w:cs="arial"/>
            <w:i/>
            <w:color w:val="0077CC"/>
            <w:sz w:val="20"/>
            <w:u w:val="single"/>
            <w:shd w:val="clear" w:color="auto" w:fill="FFFFFF"/>
            <w:lang w:val="en-US" w:eastAsia="en-US" w:bidi="ar-SA"/>
          </w:rPr>
          <w:t>2003 SCC 16</w:t>
        </w:r>
      </w:hyperlink>
      <w:r>
        <w:rPr>
          <w:rFonts w:ascii="arial" w:eastAsia="arial" w:hAnsi="arial" w:cs="arial"/>
          <w:color w:val="000000"/>
          <w:sz w:val="20"/>
          <w:lang w:val="en-US" w:eastAsia="en-US" w:bidi="ar-SA"/>
        </w:rPr>
        <w:t xml:space="preserve">, </w:t>
      </w:r>
      <w:hyperlink r:id="rId908" w:history="1">
        <w:r>
          <w:rPr>
            <w:rFonts w:ascii="arial" w:eastAsia="arial" w:hAnsi="arial" w:cs="arial"/>
            <w:i/>
            <w:color w:val="0077CC"/>
            <w:sz w:val="20"/>
            <w:u w:val="single"/>
            <w:shd w:val="clear" w:color="auto" w:fill="FFFFFF"/>
            <w:lang w:val="en-US" w:eastAsia="en-US" w:bidi="ar-SA"/>
          </w:rPr>
          <w:t>[2003] 1 S.C.R. 158</w:t>
        </w:r>
      </w:hyperlink>
      <w:r>
        <w:rPr>
          <w:rFonts w:ascii="arial" w:eastAsia="arial" w:hAnsi="arial" w:cs="arial"/>
          <w:color w:val="000000"/>
          <w:sz w:val="20"/>
          <w:lang w:val="en-US" w:eastAsia="en-US" w:bidi="ar-SA"/>
        </w:rPr>
        <w:t xml:space="preserve">, at para. 20; </w:t>
      </w:r>
      <w:r>
        <w:rPr>
          <w:rFonts w:ascii="arial" w:eastAsia="arial" w:hAnsi="arial" w:cs="arial"/>
          <w:i/>
          <w:color w:val="000000"/>
          <w:sz w:val="20"/>
          <w:lang w:val="en-US" w:eastAsia="en-US" w:bidi="ar-SA"/>
        </w:rPr>
        <w:t>Canadian Indemnity</w:t>
      </w:r>
      <w:r>
        <w:rPr>
          <w:rFonts w:ascii="arial" w:eastAsia="arial" w:hAnsi="arial" w:cs="arial"/>
          <w:color w:val="000000"/>
          <w:sz w:val="20"/>
          <w:lang w:val="en-US" w:eastAsia="en-US" w:bidi="ar-SA"/>
        </w:rPr>
        <w:t xml:space="preserve">, at pp. 315-16; originating in </w:t>
      </w:r>
      <w:r>
        <w:rPr>
          <w:rFonts w:ascii="arial" w:eastAsia="arial" w:hAnsi="arial" w:cs="arial"/>
          <w:i/>
          <w:color w:val="000000"/>
          <w:sz w:val="20"/>
          <w:lang w:val="en-US" w:eastAsia="en-US" w:bidi="ar-SA"/>
        </w:rPr>
        <w:t>Fenton v. J. Thorley &amp; Co., Ltd.</w:t>
      </w:r>
      <w:r>
        <w:rPr>
          <w:rFonts w:ascii="arial" w:eastAsia="arial" w:hAnsi="arial" w:cs="arial"/>
          <w:color w:val="000000"/>
          <w:sz w:val="20"/>
          <w:lang w:val="en-US" w:eastAsia="en-US" w:bidi="ar-SA"/>
        </w:rPr>
        <w:t>, [1903] A.C. 443, at p. 448). When an event is unlooked for, unexpected or not intended by the insured, it is fortuitous. This is a requirement of coverage; therefore, it cannot be said that this offends any basic assumption of insurance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xml:space="preserve">  ALJV also relies on </w:t>
      </w:r>
      <w:r>
        <w:rPr>
          <w:rFonts w:ascii="arial" w:eastAsia="arial" w:hAnsi="arial" w:cs="arial"/>
          <w:i/>
          <w:color w:val="000000"/>
          <w:sz w:val="20"/>
          <w:lang w:val="en-US" w:eastAsia="en-US" w:bidi="ar-SA"/>
        </w:rPr>
        <w:t>Canadian Indemnity Co. v. Walkem Machinery &amp; Equipment Ltd.,</w:t>
      </w:r>
      <w:r>
        <w:rPr>
          <w:rFonts w:ascii="arial" w:eastAsia="arial" w:hAnsi="arial" w:cs="arial"/>
          <w:color w:val="000000"/>
          <w:sz w:val="20"/>
          <w:lang w:val="en-US" w:eastAsia="en-US" w:bidi="ar-SA"/>
        </w:rPr>
        <w:t xml:space="preserve"> </w:t>
      </w:r>
      <w:hyperlink r:id="rId909" w:history="1">
        <w:r>
          <w:rPr>
            <w:rFonts w:ascii="arial" w:eastAsia="arial" w:hAnsi="arial" w:cs="arial"/>
            <w:i/>
            <w:color w:val="0077CC"/>
            <w:sz w:val="20"/>
            <w:u w:val="single"/>
            <w:shd w:val="clear" w:color="auto" w:fill="FFFFFF"/>
            <w:lang w:val="en-US" w:eastAsia="en-US" w:bidi="ar-SA"/>
          </w:rPr>
          <w:t>[1976] 1 S.C.R. 309</w:t>
        </w:r>
      </w:hyperlink>
      <w:r>
        <w:rPr>
          <w:rFonts w:ascii="arial" w:eastAsia="arial" w:hAnsi="arial" w:cs="arial"/>
          <w:color w:val="000000"/>
          <w:sz w:val="20"/>
          <w:lang w:val="en-US" w:eastAsia="en-US" w:bidi="ar-SA"/>
        </w:rPr>
        <w:t>, where damages caused by the improper repair of a crane, in circumstances in which the repairer knew of the dangerous condition but failed to provide a warning, were caused by an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xml:space="preserve">  Pigeon J. endorsed the trial judge's reliance on the dissenting reasons of Freedman J.A. of the Mantioba Court of Appeal in </w:t>
      </w:r>
      <w:r>
        <w:rPr>
          <w:rFonts w:ascii="arial" w:eastAsia="arial" w:hAnsi="arial" w:cs="arial"/>
          <w:i/>
          <w:color w:val="000000"/>
          <w:sz w:val="20"/>
          <w:lang w:val="en-US" w:eastAsia="en-US" w:bidi="ar-SA"/>
        </w:rPr>
        <w:t>Marshall Wells of Canada Ltd. v. Winnipeg Supply and Fuel Co.; R. Litz &amp; Sons Co. Ltd. v. Canadian General Insurance Co.</w:t>
      </w:r>
      <w:r>
        <w:rPr>
          <w:rFonts w:ascii="arial" w:eastAsia="arial" w:hAnsi="arial" w:cs="arial"/>
          <w:color w:val="000000"/>
          <w:sz w:val="20"/>
          <w:lang w:val="en-US" w:eastAsia="en-US" w:bidi="ar-SA"/>
        </w:rPr>
        <w:t xml:space="preserve"> (1969), 49 W.W.R. 664, citing the following at 314 - 315: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 respect, I am of the view that what occurred here was an accident. One must avoid the danger of constructing that term as if it were equivalent to "inevitable accident." That a mishap might have been avoided by the exercise of greater care and diligence does not automatically take it out of the range of accident. Expressed another way,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and "accident" as here used are not mutually exclusive terms. They may co-exist.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B.C. Master Blasters Inc. v. Aviva</w:t>
      </w:r>
      <w:r>
        <w:rPr>
          <w:rFonts w:ascii="arial" w:eastAsia="arial" w:hAnsi="arial" w:cs="arial"/>
          <w:color w:val="000000"/>
          <w:sz w:val="20"/>
          <w:lang w:val="en-US" w:eastAsia="en-US" w:bidi="ar-SA"/>
        </w:rPr>
        <w:t xml:space="preserve">, </w:t>
      </w:r>
      <w:hyperlink r:id="rId910" w:history="1">
        <w:r>
          <w:rPr>
            <w:rFonts w:ascii="arial" w:eastAsia="arial" w:hAnsi="arial" w:cs="arial"/>
            <w:i/>
            <w:color w:val="0077CC"/>
            <w:sz w:val="20"/>
            <w:u w:val="single"/>
            <w:shd w:val="clear" w:color="auto" w:fill="FFFFFF"/>
            <w:lang w:val="en-US" w:eastAsia="en-US" w:bidi="ar-SA"/>
          </w:rPr>
          <w:t>2006 BCSC 1488</w:t>
        </w:r>
      </w:hyperlink>
      <w:r>
        <w:rPr>
          <w:rFonts w:ascii="arial" w:eastAsia="arial" w:hAnsi="arial" w:cs="arial"/>
          <w:color w:val="000000"/>
          <w:sz w:val="20"/>
          <w:lang w:val="en-US" w:eastAsia="en-US" w:bidi="ar-SA"/>
        </w:rPr>
        <w:t>, one of the issues before the court was whether damage caused by conduct that was risky and reckless could nonetheless be found to be accidental within the meaning of a commercial general liability ("CGL") policy. Groberman J. reviewed a number of authorities and said, at para. 25: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take from these cases the proposition that property damage will generally be found to be "accidental" where the person causing the damage does not intend to cause it. Of course, a person is normally presumed to intend the natural and probable consequences of his or her acts, and this presumption may, in the absence of rebutting evidence, serve to show that the property damage is not accidental.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Applying these principles, ALJV submits that the over deflection and cracking of the slabs falls within the meaning of the terms "physical loss and damage" within the perils insured clause, and that the damage is fortuitous in that it was clearly unintended.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In response, the Insurers argue that the over deflections and cracking of the slabs fall outside of the insuring provision of the Policy in that they constitute defects in the slab, as distinct from damage, and in any event their occurrence was not fortuitous.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xml:space="preserve">  On the issue of whether the condition of the slabs amounts to damage, the Insurers cite the decision of the England and Wales Court of Appeal in </w:t>
      </w:r>
      <w:r>
        <w:rPr>
          <w:rFonts w:ascii="arial" w:eastAsia="arial" w:hAnsi="arial" w:cs="arial"/>
          <w:i/>
          <w:color w:val="000000"/>
          <w:sz w:val="20"/>
          <w:lang w:val="en-US" w:eastAsia="en-US" w:bidi="ar-SA"/>
        </w:rPr>
        <w:t>Pilkington United Kingdom Limited v. CGU Insurance PLC,</w:t>
      </w:r>
      <w:r>
        <w:rPr>
          <w:rFonts w:ascii="arial" w:eastAsia="arial" w:hAnsi="arial" w:cs="arial"/>
          <w:color w:val="000000"/>
          <w:sz w:val="20"/>
          <w:lang w:val="en-US" w:eastAsia="en-US" w:bidi="ar-SA"/>
        </w:rPr>
        <w:t xml:space="preserve"> [2004] EWCA Civ 23 (BAILII), where the issue was whether the insured could recover under a CGL policy the costs to investigate plus the costs of remedial measures in connection with defects in glass panels installed in the Eurostar terminal at Waterloo Station in London.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Following installation of the panels, a small number (about 13 out of 3000) cracked. On the evidence, there was no damage to the terminal itself and no one was injured as a result. Rather than having the panels replaced, however, Eurostar installed a number of safety features to ensure that no glass would fall in areas of the terminal frequented by the public or staff in the event of further cracking.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The policy in issue insured against all sums that the insured was required to pay arising out of "loss of or physical damage to physical property". The insurer argued that the defects in the glass panels did not constitute damage and that coverage under the policy was therefore not triggered. The court agreed.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At para. 35, Potter L.J.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my view, while the English authorities are not in themselves determinative of the issue in this case, they make clear that, in order to establish cover in respect of the loss claimed, the insured must demonstrate some physical damage caused by the commodity for which purpose a defect or deterioration in the commodity is not itself sufficient </w:t>
      </w:r>
      <w:r>
        <w:rPr>
          <w:rFonts w:ascii="arial" w:eastAsia="arial" w:hAnsi="arial" w:cs="arial"/>
          <w:i/>
          <w:color w:val="000000"/>
          <w:sz w:val="20"/>
          <w:lang w:val="en-US" w:eastAsia="en-US" w:bidi="ar-SA"/>
        </w:rPr>
        <w:t>and</w:t>
      </w:r>
      <w:r>
        <w:rPr>
          <w:rFonts w:ascii="arial" w:eastAsia="arial" w:hAnsi="arial" w:cs="arial"/>
          <w:color w:val="000000"/>
          <w:sz w:val="20"/>
          <w:lang w:val="en-US" w:eastAsia="en-US" w:bidi="ar-SA"/>
        </w:rPr>
        <w:t xml:space="preserve"> that the loss claimed must be a loss resulting from physical loss or damage to physical property of another (or some personal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At para. 50, Potter L.J. reiterated that, in English law, "damage' usually refers to a changed physical state. He went on to state the following at para. 51: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already observed, generally speaking, damage requires some altered state, the relevant alteration being harmful in the commercial context. This plainly covers a situation where there is a poisoning or contaminating effect upo the property of a third party as a result of the introduction or intermixture of the product supplied: ...However, it will not extend to a position where the commodity supplied is installed in or juxtaposed with the property of the third party in circumstances where it does no physical harm and the harmful effect of any later defect or deterioration is contained within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Finally, Potter L.J. said at para. 53: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therefore uphold the construction accorded to the policy by the judge. In my view it gives effect to the ordinary meaning of the words and reflects the apparent intention of the parties. In the context of insurance law it makes commercial sense of an agreement which is designed to protect the insured against liability for physical damage to physical property and not to afford an indemnity by way of guarantee for the quality and fitness of the commercial commodity supplied.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The court's decision appears to be based largely on the fact that there was no resulting damage to the terminal itself from the installation of the faulty panels.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The Insurers note that in many Canadian cases, the issue of whether "physical loss or damage" has occurred has not been disputed and the focus of the court's analysis has been on whether any of the typical exclusions apply. However, the Insurers point to two American cases that they say stand for the proposition that coverage under a builder's risk policy does not extend to mistakes in construction.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Trinity Industries, Inc. v. Insurance Company of North America,</w:t>
      </w:r>
      <w:r>
        <w:rPr>
          <w:rFonts w:ascii="arial" w:eastAsia="arial" w:hAnsi="arial" w:cs="arial"/>
          <w:color w:val="000000"/>
          <w:sz w:val="20"/>
          <w:lang w:val="en-US" w:eastAsia="en-US" w:bidi="ar-SA"/>
        </w:rPr>
        <w:t xml:space="preserve"> 916 F. 2d 267 (5th Cir., 1990), a shipbuilder advanced a claim for indemnity under a builder's risk policy to recover an amount paid pursuant to an arbitration award for faulty construction. In rejecting the claim, the court distinguished between damages or costs incurred as a result of an accident caused by faulty workmanship and the costs of repairing the faulty workmanship itself. It said, at 270-271: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While the distinction is perhaps difficult to see as an abstract concept, it appears relatively clear as a practical matter. Many construction accidents can be traced, at least in part, to some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behalf of the insured. Defective workmanship can lead to the collapse of a cement dome or a brick wall. If an all risks policy did not cover accidents resulting from such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then perhaps it would become a no risk policy, as one plaintiff suggested.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That it should cover accidents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insured does not justify reading such a policy to cover the costs of replacing or repairing crooked window frames or crooked door frames, even though the crookedness of the frame was undoubtedly the result of the insured's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[Footnotes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Trinity Industries</w:t>
      </w:r>
      <w:r>
        <w:rPr>
          <w:rFonts w:ascii="arial" w:eastAsia="arial" w:hAnsi="arial" w:cs="arial"/>
          <w:color w:val="000000"/>
          <w:sz w:val="20"/>
          <w:lang w:val="en-US" w:eastAsia="en-US" w:bidi="ar-SA"/>
        </w:rPr>
        <w:t xml:space="preserve"> was applied in </w:t>
      </w:r>
      <w:r>
        <w:rPr>
          <w:rFonts w:ascii="arial" w:eastAsia="arial" w:hAnsi="arial" w:cs="arial"/>
          <w:i/>
          <w:color w:val="000000"/>
          <w:sz w:val="20"/>
          <w:lang w:val="en-US" w:eastAsia="en-US" w:bidi="ar-SA"/>
        </w:rPr>
        <w:t>North American Shipbuilding Inc. v. Southern Marine &amp; Aviation Underwriting , Inc.</w:t>
      </w:r>
      <w:r>
        <w:rPr>
          <w:rFonts w:ascii="arial" w:eastAsia="arial" w:hAnsi="arial" w:cs="arial"/>
          <w:color w:val="000000"/>
          <w:sz w:val="20"/>
          <w:lang w:val="en-US" w:eastAsia="en-US" w:bidi="ar-SA"/>
        </w:rPr>
        <w:t xml:space="preserve"> (1996), 930 S.W. 2d 829 where the court confirmed the denial of coverage for the costs of replacing defective welds in the construction of a ship caused by improperly mixed welding gas. Again, the court distinguished between any loss resulting from the defective work and the defect itself.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It is the Insurer's position that the slabs were not damaged in the sense that their essential state was altered. They continue to function as slabs and their safety has been confirmed by the load tests. According to the Insurers, this is a case, similar to those discussed above, in which ALJV is seeking to recover costs incurred to remedy defective products as distinct from any resulting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The Insurers submit further that, in any event, the loss or damage suffered is not fortuitous. They make the point that concrete slabs are intended to deflect. Indeed that is the whole purpose of incorporating camber into the structural design. The fact that a slab might over or under deflect can hardly be said to be an unexpected event given that the degree of likely deflection is difficult to predict with any accuracy.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xml:space="preserve">  The Insurers cite </w:t>
      </w:r>
      <w:r>
        <w:rPr>
          <w:rFonts w:ascii="arial" w:eastAsia="arial" w:hAnsi="arial" w:cs="arial"/>
          <w:i/>
          <w:color w:val="000000"/>
          <w:sz w:val="20"/>
          <w:lang w:val="en-US" w:eastAsia="en-US" w:bidi="ar-SA"/>
        </w:rPr>
        <w:t>Ottawa-Carleton Standard Condominium Corporation 687 v. ING Novex Insurance Company of</w:t>
      </w:r>
      <w:r>
        <w:rPr>
          <w:rFonts w:ascii="arial" w:eastAsia="arial" w:hAnsi="arial" w:cs="arial"/>
          <w:color w:val="000000"/>
          <w:sz w:val="20"/>
          <w:lang w:val="en-US" w:eastAsia="en-US" w:bidi="ar-SA"/>
        </w:rPr>
        <w:t xml:space="preserve"> Canada, </w:t>
      </w:r>
      <w:hyperlink r:id="rId911" w:history="1">
        <w:r>
          <w:rPr>
            <w:rFonts w:ascii="arial" w:eastAsia="arial" w:hAnsi="arial" w:cs="arial"/>
            <w:i/>
            <w:color w:val="0077CC"/>
            <w:sz w:val="20"/>
            <w:u w:val="single"/>
            <w:shd w:val="clear" w:color="auto" w:fill="FFFFFF"/>
            <w:lang w:val="en-US" w:eastAsia="en-US" w:bidi="ar-SA"/>
          </w:rPr>
          <w:t>2009 ONCA 904</w:t>
        </w:r>
      </w:hyperlink>
      <w:r>
        <w:rPr>
          <w:rFonts w:ascii="arial" w:eastAsia="arial" w:hAnsi="arial" w:cs="arial"/>
          <w:color w:val="000000"/>
          <w:sz w:val="20"/>
          <w:lang w:val="en-US" w:eastAsia="en-US" w:bidi="ar-SA"/>
        </w:rPr>
        <w:t>, where the court denied a claim for indemnity under an all-risk policy for flood damages due to improperly installed pipes in conjunction with a water hammer event. The court held that coverage was not available both because the loss was not fortuitous and because the policy expressly excluded losses suffered as a result of faulty workmanship.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On the issue of fortuity, MacFarland J.A. said at para. 21: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There is nothing fortuitous about what occurred on April 7, 2006. The system failed to do what it was designed to do-it failed to keep contained water under pressure and it failed to do so because it was improperly designed and/or installed. Properly designed and installed, the system would have contained the water during the water hammer incident on April 7, 2006. On that date, there was no "unusual event not ordinarily to be expected in the normal course of things," to borrow the language of McLachlin J. in </w:t>
      </w:r>
      <w:r>
        <w:rPr>
          <w:rFonts w:ascii="arial" w:eastAsia="arial" w:hAnsi="arial" w:cs="arial"/>
          <w:i/>
          <w:color w:val="000000"/>
          <w:sz w:val="20"/>
          <w:lang w:val="en-US" w:eastAsia="en-US" w:bidi="ar-SA"/>
        </w:rPr>
        <w:t>C.C.R. Fishing</w:t>
      </w:r>
      <w:r>
        <w:rPr>
          <w:rFonts w:ascii="arial" w:eastAsia="arial" w:hAnsi="arial" w:cs="arial"/>
          <w:color w:val="000000"/>
          <w:sz w:val="20"/>
          <w:lang w:val="en-US" w:eastAsia="en-US" w:bidi="ar-SA"/>
        </w:rPr>
        <w:t>. In short, the water hammer was not a fortuitous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The Insurers submit that, similarly, there was no unusual event in the case at bar causing the slabs to over deflect and crack. Again, they say that deflections were expected and, indeed, were designed, to occur. They say that the poor design or construction of the slabs does not make the result fortuitous. They say as well that ALJV effectively courted a risk by failing to delay further pours once the over deflection issue materialized.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I am satisfied that the over deflection and cracking of the concrete slabs falls within the Perils Insured clause of the Policy in that it constitutes damage that was fortuitous.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xml:space="preserve">  On the issue of damage, the evidence is uncontroverted that the slabs experienced significant and varying degrees of over deflection and cracking throughout the facility that rendered the facility unfit for its intended purpose. This impact on the facility as a whole distinguishes this case from the various cases relied on by the Insurers, such as </w:t>
      </w:r>
      <w:r>
        <w:rPr>
          <w:rFonts w:ascii="arial" w:eastAsia="arial" w:hAnsi="arial" w:cs="arial"/>
          <w:i/>
          <w:color w:val="000000"/>
          <w:sz w:val="20"/>
          <w:lang w:val="en-US" w:eastAsia="en-US" w:bidi="ar-SA"/>
        </w:rPr>
        <w:t>Pilkington,</w:t>
      </w:r>
      <w:r>
        <w:rPr>
          <w:rFonts w:ascii="arial" w:eastAsia="arial" w:hAnsi="arial" w:cs="arial"/>
          <w:color w:val="000000"/>
          <w:sz w:val="20"/>
          <w:lang w:val="en-US" w:eastAsia="en-US" w:bidi="ar-SA"/>
        </w:rPr>
        <w:t xml:space="preserve"> in which coverage was denied for the costs of remedying defective workmanship.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I would not accede to the Insurers' argument that the over deflections and cracks are merely defects in the slabs and do not constitute damage. While some degree of deflection and cracking is expected in concrete slabs, the extent of what occurred in this case and its permanent nature support the conclusion that the slabs were left in an altered physical state, which some courts have again held to be the touchstone for a finding of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This conclusion finds further support in the uncontradicted evidence that the supporting rebar in the slabs had been stretched beyond its flexural yield point resulting in permanent deformity.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As to the Insurer's point that the over deflection was the result of faulty design, the issue of causation does not enter into the analysis at this stage where the key question is whether the state of the slabs falls within the Perils Insured clause. Whether the over deflection was a design issue, or an issue of faulty workmanship, falls to be determined under the analysis of the exclusion clauses.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In terms of fortuity, I agree with ALJV that the extent of the over deflection and cracking was both unexpected and unintended. Put another way, the slabs were not designed to deflect to such a degree as to render them unfit for their intended purpose. Further, the extent of the problem was not discovered until very late in the Project and the actual cause not determined until after construction was complete. In the circumstances, it cannot be said that ALJV courted a risk, particularly given the evidence that CCL used formwork and shoring/reshoring procedures that were standard in the industry and had been utilized for many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I therefore find that the loss claimed by ALJV falls within the scope of coverage under the Policy, subject of course to the various exclusion clauses.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Is the Loss Claimed Excluded Pursuant to Clause 5(b) of the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In my view, this is the central question to be determined in this case, insofar as the coverage issue is concerned.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For ease of reference, I will reproduce clause 5(b):</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Policy does not insure: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3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all costs rendered necessary by defects of material workmanship, design, plan, or specification, and should damage occur to any portion of the Insured Property containing any of the said defects the cost of replacement or rectification which is hereby excluded is that cost which would have been incurred if replacement or rectification of the Insured Property had been put in hand immediately prior to the said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For the purpose of this policy and not merely this exclusion it is understood and agreed that any portion of the Insured Property shall not be regarded as damaged solely by virtue of the existence of any defect of material workmanship, design, plan or specification.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It is common ground that once a loss is determined to fall within the scope of the perils insured, the onus shifts to the insurer to establish that an exclusion applies.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In considering the application of clause 5(b), the following sub-issues arise:</w:t>
      </w:r>
      <w:r>
        <w:rPr>
          <w:rFonts w:ascii="arial" w:eastAsia="arial" w:hAnsi="arial" w:cs="arial"/>
          <w:sz w:val="20"/>
          <w:lang w:val="en-US" w:eastAsia="en-US" w:bidi="ar-SA"/>
        </w:rPr>
        <w:cr/>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are the costs claimed by ALJV in connection with the over deflection and cracking of the slabs the result of "defects of material workmanship, design, plan or specification"?; and</w:t>
      </w:r>
    </w:p>
    <w:p>
      <w:pPr>
        <w:numPr>
          <w:numId w:val="3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so, are they excluded as being costs "which would have been incurred if replacement of rectification of the Insured Property had been put in hand immediately prior to the said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As noted above, the wording of clause 5(b) is taken from a standard exclusion provision developed by the London Engineering Group ("LEG"). This particular clause is commonly known as LEG 2/96 which LEG titles Model "Consequences" Defects Wording.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LEG 2/96 is one of three model "defects" exclusion clauses developed by LEG for the insurance industry, the other two being LEG 1/96 and LEG 3/96 (there is also available LEG 3/06 which reflects a minor recent amendment to LEG 3/96). It is common ground between the parties that LEG 1/96 contains the broadest exclusion, and therefore the narrowest coverage, and that LEG 3/96 contains the narrowest exclusion and broadest coverage. LEG 2/96 falls in the middle.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For comparative purposes, it is useful to set out the wording of LEG 1/96 and LEG 3/96: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LEG 1/96</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Model "outright" Defects Exclusion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Insurer(s) shall not be liable for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Loss or damage due to defects of material workmanship design plan or specification.</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LEG 3/96</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Model "Improvement" Defects Wording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Insurer(s) shall not be liable for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All costs rendered necessary by defects of material workmanship design plan specification and should damage occur to any portion of the Insured Property containing any of the said defects the cost of replacement or rectification which is hereby excluded is that cost incurred to improve the original material workmanship design plan or specification.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For the purpose of this policy and not merely this exclusion it is understood and agreed that any portion of the Insured Property shall not be regarded as damaged solely by virtue of the existence of any defect of material workmanship design plan or specification.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LEG 2/96 has not been considered by a Canadian court. However, the Insurers cite various secondary sources emanating from the United Kingdom that have commented on the genesis and intent of these "defects" exclusions.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xml:space="preserve">  For example, in the report of Research Study Group 208B, </w:t>
      </w:r>
      <w:r>
        <w:rPr>
          <w:rFonts w:ascii="arial" w:eastAsia="arial" w:hAnsi="arial" w:cs="arial"/>
          <w:i/>
          <w:color w:val="000000"/>
          <w:sz w:val="20"/>
          <w:lang w:val="en-US" w:eastAsia="en-US" w:bidi="ar-SA"/>
        </w:rPr>
        <w:t>Construction Insurance</w:t>
      </w:r>
      <w:r>
        <w:rPr>
          <w:rFonts w:ascii="arial" w:eastAsia="arial" w:hAnsi="arial" w:cs="arial"/>
          <w:color w:val="000000"/>
          <w:sz w:val="20"/>
          <w:lang w:val="en-US" w:eastAsia="en-US" w:bidi="ar-SA"/>
        </w:rPr>
        <w:t xml:space="preserve"> (The Insurance Institute of London, 1999) the authors note at 158 that historically, insurers sought to exclude from coverage any costs associated with defective design or workmanship on the theory that the costs of remedying such defects should rest with the insured contractor who agreed to do the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Contractors apparently expressed concerns about the extent of this exclusion, for example on the ground that a relatively minor defect could result in a catastrophic occurrence. The authors note that, in response to these concerns: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Insurers accepted the principles expounded and generally agreed that, although they had no wish to indemnify an insured for the costs of incompetence or remedying defects, there was a good argument for indemnifying for fire, explosion or collapse caused by defects in the works. As a result, a 'consequences of design, materials, workmanship' cover was devised; this excluded the defective works but covered damage to other non-defective works caused by the defect. For example, where a building is erected on defective foundations and total collapse of the building results, the defective foundations ('the defective works') are excluded from indemnity but the cost of rebuilding the rest of the building is covered.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The authors go on to say, at 165: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insured contractor is under an obligation to complete the works to the required standard and also to rectify defects which may arise, during the carrying out of the contract or afterwards. Insurers do not wish to guarantee the adequacy of performance of the insured works; the cost of rectifying inadequate performance should be borne by the insured as a commercial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According to the Insurers, these excerpts accurately reflect the intent of the "defects" exclusions, including LEG 2/96, which is to insure contractors against damage that results from their defective work but not for the costs of remedying that defective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The Insurers say further that the wording of LEG2/96 is intended to avoid the debate that often arises in the more typical "resulting damage" clauses that appear in Canadian insurance policies. These clauses typically provide that the cost of making good faulty design, material or workmanship is excluded but that, as an exception to the exclusion, resultant damage to the property shall be insured.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xml:space="preserve">  The Insurers cite numerous authorities in which the focus of the courts' analysis under these types of clauses has been on determining the costs of making good the defective work versus the resultant damage. See for example, </w:t>
      </w:r>
      <w:r>
        <w:rPr>
          <w:rFonts w:ascii="arial" w:eastAsia="arial" w:hAnsi="arial" w:cs="arial"/>
          <w:i/>
          <w:color w:val="000000"/>
          <w:sz w:val="20"/>
          <w:lang w:val="en-US" w:eastAsia="en-US" w:bidi="ar-SA"/>
        </w:rPr>
        <w:t>Bird Construction Co. Ltd. et al. v. United States Fire Insurance Co. et al.</w:t>
      </w:r>
      <w:r>
        <w:rPr>
          <w:rFonts w:ascii="arial" w:eastAsia="arial" w:hAnsi="arial" w:cs="arial"/>
          <w:color w:val="000000"/>
          <w:sz w:val="20"/>
          <w:lang w:val="en-US" w:eastAsia="en-US" w:bidi="ar-SA"/>
        </w:rPr>
        <w:t xml:space="preserve">, </w:t>
      </w:r>
      <w:hyperlink r:id="rId912" w:history="1">
        <w:r>
          <w:rPr>
            <w:rFonts w:ascii="arial" w:eastAsia="arial" w:hAnsi="arial" w:cs="arial"/>
            <w:i/>
            <w:color w:val="0077CC"/>
            <w:sz w:val="20"/>
            <w:u w:val="single"/>
            <w:shd w:val="clear" w:color="auto" w:fill="FFFFFF"/>
            <w:lang w:val="en-US" w:eastAsia="en-US" w:bidi="ar-SA"/>
          </w:rPr>
          <w:t>[1985] S.J. No. 902</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Ploutos Enterprises Ltd. v. Stuart Olson Constructors Inc.,</w:t>
      </w:r>
      <w:r>
        <w:rPr>
          <w:rFonts w:ascii="arial" w:eastAsia="arial" w:hAnsi="arial" w:cs="arial"/>
          <w:color w:val="000000"/>
          <w:sz w:val="20"/>
          <w:lang w:val="en-US" w:eastAsia="en-US" w:bidi="ar-SA"/>
        </w:rPr>
        <w:t xml:space="preserve"> </w:t>
      </w:r>
      <w:hyperlink r:id="rId913" w:history="1">
        <w:r>
          <w:rPr>
            <w:rFonts w:ascii="arial" w:eastAsia="arial" w:hAnsi="arial" w:cs="arial"/>
            <w:i/>
            <w:color w:val="0077CC"/>
            <w:sz w:val="20"/>
            <w:u w:val="single"/>
            <w:shd w:val="clear" w:color="auto" w:fill="FFFFFF"/>
            <w:lang w:val="en-US" w:eastAsia="en-US" w:bidi="ar-SA"/>
          </w:rPr>
          <w:t>2008 BCSC 271</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Foundation Co. of Canada Ltd. v. American Home Assurance Co.</w:t>
      </w:r>
      <w:r>
        <w:rPr>
          <w:rFonts w:ascii="arial" w:eastAsia="arial" w:hAnsi="arial" w:cs="arial"/>
          <w:color w:val="000000"/>
          <w:sz w:val="20"/>
          <w:lang w:val="en-US" w:eastAsia="en-US" w:bidi="ar-SA"/>
        </w:rPr>
        <w:t xml:space="preserve">, </w:t>
      </w:r>
      <w:hyperlink r:id="rId914" w:history="1">
        <w:r>
          <w:rPr>
            <w:rFonts w:ascii="arial" w:eastAsia="arial" w:hAnsi="arial" w:cs="arial"/>
            <w:i/>
            <w:color w:val="0077CC"/>
            <w:sz w:val="20"/>
            <w:u w:val="single"/>
            <w:shd w:val="clear" w:color="auto" w:fill="FFFFFF"/>
            <w:lang w:val="en-US" w:eastAsia="en-US" w:bidi="ar-SA"/>
          </w:rPr>
          <w:t>25 O.R. (3d) 36</w:t>
        </w:r>
      </w:hyperlink>
      <w:r>
        <w:rPr>
          <w:rFonts w:ascii="arial" w:eastAsia="arial" w:hAnsi="arial" w:cs="arial"/>
          <w:color w:val="000000"/>
          <w:sz w:val="20"/>
          <w:lang w:val="en-US" w:eastAsia="en-US" w:bidi="ar-SA"/>
        </w:rPr>
        <w:t xml:space="preserve">, </w:t>
      </w:r>
      <w:hyperlink r:id="rId915" w:history="1">
        <w:r>
          <w:rPr>
            <w:rFonts w:ascii="arial" w:eastAsia="arial" w:hAnsi="arial" w:cs="arial"/>
            <w:i/>
            <w:color w:val="0077CC"/>
            <w:sz w:val="20"/>
            <w:u w:val="single"/>
            <w:shd w:val="clear" w:color="auto" w:fill="FFFFFF"/>
            <w:lang w:val="en-US" w:eastAsia="en-US" w:bidi="ar-SA"/>
          </w:rPr>
          <w:t>[1995] O.J. No. 2164</w:t>
        </w:r>
      </w:hyperlink>
      <w:r>
        <w:rPr>
          <w:rFonts w:ascii="arial" w:eastAsia="arial" w:hAnsi="arial" w:cs="arial"/>
          <w:color w:val="000000"/>
          <w:sz w:val="20"/>
          <w:lang w:val="en-US" w:eastAsia="en-US" w:bidi="ar-SA"/>
        </w:rPr>
        <w:t xml:space="preserve"> (Gen. Div.).</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The Insurers say that the LEG2/96 wording avoids the "metaphysical debates" that often arise in those cases about where defective property ends and other property, containing resultant damage, begins. It does so by crystallizing the quantum of damage that is excluded at the moment just before any consequential damage resulting from defective work occurs. The Insurers say further that the intent is made clear by distinguishing the costs of remedying any defects, which are excluded, from any actual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Simply stated, the Insurers say that clause 5(b) of the Policy insures against damage that results from defects, but does not insure against the defects themselves. In further support of this interpretation, the Insurers rely on a number of provisions in the Design Build Agreement that require ALJV to remedy any defects in the work done pursuant to that Agreement. For example, section 18.2 requires ALJV to "promptly and diligently correct all Defects in the Design or Construction identified by [ISL] or [VIHA]" within the 12 month warranty period established by the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The Insurers submit that the Design Build Agreement makes ALJV resposible for any defective work, which mirrors the Insurers' intent not to cover such a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The Insurers also point to the wording of clause 5(b) of the Policy that excludes from coverage "that cost which would have been incurred if replacement or rectification of the Insured Property had been put in hand immediately prior to the said damage". Again, the Insurers say that this language draws a clear distinction between costs of remedying any defects, which are excluded, and the costs relating to any resulting damage, which are covered.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Applying this interpretation of clause 5(b), the Insurers submit that the cracking and over deflection of the concrete slabs are the result of a defect in design, either the design of the concrete slabs or the design of the formwork and reshoring. Alternatively, they say it is the result of defective workmanship. Either way, the Insurers submit that the exclusion applies.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The Insurers submit further that, having established that the exclusion applies, it operates to preclude ALJV's entire claim. They say that the clear intent of clause 5(b) is to exclude any costs related to or "rendered necessary by" the contractor's defective work but to extend coverage for any consequential or resulting damage caused by that defective work. Given that all of the costs claimed by ALJV relate to the defective work, the Insurers submit that the entirety of ALJV's claim must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xml:space="preserve">  ALJV submits that the exclusion found in clause 5(b) of the Policy must be narrowly interpreted and that in the event that the clause is found to be ambiguous, the doctrine of </w:t>
      </w:r>
      <w:r>
        <w:rPr>
          <w:rFonts w:ascii="arial" w:eastAsia="arial" w:hAnsi="arial" w:cs="arial"/>
          <w:i/>
          <w:color w:val="000000"/>
          <w:sz w:val="20"/>
          <w:lang w:val="en-US" w:eastAsia="en-US" w:bidi="ar-SA"/>
        </w:rPr>
        <w:t>contra proferentem</w:t>
      </w:r>
      <w:r>
        <w:rPr>
          <w:rFonts w:ascii="arial" w:eastAsia="arial" w:hAnsi="arial" w:cs="arial"/>
          <w:color w:val="000000"/>
          <w:sz w:val="20"/>
          <w:lang w:val="en-US" w:eastAsia="en-US" w:bidi="ar-SA"/>
        </w:rPr>
        <w:t xml:space="preserve"> applies against the Insurers (</w:t>
      </w:r>
      <w:r>
        <w:rPr>
          <w:rFonts w:ascii="arial" w:eastAsia="arial" w:hAnsi="arial" w:cs="arial"/>
          <w:i/>
          <w:color w:val="000000"/>
          <w:sz w:val="20"/>
          <w:lang w:val="en-US" w:eastAsia="en-US" w:bidi="ar-SA"/>
        </w:rPr>
        <w:t>Progressive</w:t>
      </w:r>
      <w:r>
        <w:rPr>
          <w:rFonts w:ascii="arial" w:eastAsia="arial" w:hAnsi="arial" w:cs="arial"/>
          <w:color w:val="000000"/>
          <w:sz w:val="20"/>
          <w:lang w:val="en-US" w:eastAsia="en-US" w:bidi="ar-SA"/>
        </w:rPr>
        <w:t xml:space="preserve"> at paras. 22-24). ALJV submits further that the exclusion should not be interpreted in such a way as to substantially deprive the insured of the coverage for which it contracted (</w:t>
      </w:r>
      <w:r>
        <w:rPr>
          <w:rFonts w:ascii="arial" w:eastAsia="arial" w:hAnsi="arial" w:cs="arial"/>
          <w:i/>
          <w:color w:val="000000"/>
          <w:sz w:val="20"/>
          <w:lang w:val="en-US" w:eastAsia="en-US" w:bidi="ar-SA"/>
        </w:rPr>
        <w:t>Zurich Insurance Co. v. 686234 Ontario Ltd.</w:t>
      </w:r>
      <w:r>
        <w:rPr>
          <w:rFonts w:ascii="arial" w:eastAsia="arial" w:hAnsi="arial" w:cs="arial"/>
          <w:color w:val="000000"/>
          <w:sz w:val="20"/>
          <w:lang w:val="en-US" w:eastAsia="en-US" w:bidi="ar-SA"/>
        </w:rPr>
        <w:t xml:space="preserve">, </w:t>
      </w:r>
      <w:hyperlink r:id="rId916" w:history="1">
        <w:r>
          <w:rPr>
            <w:rFonts w:ascii="arial" w:eastAsia="arial" w:hAnsi="arial" w:cs="arial"/>
            <w:i/>
            <w:color w:val="0077CC"/>
            <w:sz w:val="20"/>
            <w:u w:val="single"/>
            <w:shd w:val="clear" w:color="auto" w:fill="FFFFFF"/>
            <w:lang w:val="en-US" w:eastAsia="en-US" w:bidi="ar-SA"/>
          </w:rPr>
          <w:t>62 O.R. (3d) 447</w:t>
        </w:r>
      </w:hyperlink>
      <w:r>
        <w:rPr>
          <w:rFonts w:ascii="arial" w:eastAsia="arial" w:hAnsi="arial" w:cs="arial"/>
          <w:color w:val="000000"/>
          <w:sz w:val="20"/>
          <w:lang w:val="en-US" w:eastAsia="en-US" w:bidi="ar-SA"/>
        </w:rPr>
        <w:t xml:space="preserve">, </w:t>
      </w:r>
      <w:hyperlink r:id="rId917" w:history="1">
        <w:r>
          <w:rPr>
            <w:rFonts w:ascii="arial" w:eastAsia="arial" w:hAnsi="arial" w:cs="arial"/>
            <w:i/>
            <w:color w:val="0077CC"/>
            <w:sz w:val="20"/>
            <w:u w:val="single"/>
            <w:shd w:val="clear" w:color="auto" w:fill="FFFFFF"/>
            <w:lang w:val="en-US" w:eastAsia="en-US" w:bidi="ar-SA"/>
          </w:rPr>
          <w:t>[2002] O.J. No. 4496</w:t>
        </w:r>
      </w:hyperlink>
      <w:r>
        <w:rPr>
          <w:rFonts w:ascii="arial" w:eastAsia="arial" w:hAnsi="arial" w:cs="arial"/>
          <w:color w:val="000000"/>
          <w:sz w:val="20"/>
          <w:lang w:val="en-US" w:eastAsia="en-US" w:bidi="ar-SA"/>
        </w:rPr>
        <w:t xml:space="preserve"> (C.A.) at paras. 27-28, leave to appeal to S.C.C. ref'd, </w:t>
      </w:r>
      <w:hyperlink r:id="rId918" w:history="1">
        <w:r>
          <w:rPr>
            <w:rFonts w:ascii="arial" w:eastAsia="arial" w:hAnsi="arial" w:cs="arial"/>
            <w:i/>
            <w:color w:val="0077CC"/>
            <w:sz w:val="20"/>
            <w:u w:val="single"/>
            <w:shd w:val="clear" w:color="auto" w:fill="FFFFFF"/>
            <w:lang w:val="en-US" w:eastAsia="en-US" w:bidi="ar-SA"/>
          </w:rPr>
          <w:t>[2003] S.C.C.A. No. 33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ALJV succinctly summarizes its interpretation of the exclusion at para. 297 of its written submission: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 reading of the exclusion clause results in the following: first there must be a finding of damage under the Policy; then there must be a finding of a defect of one of the noted types which caused the damage; a determination must then be made of the total costs to rectify the damage caused by the defect; from this recoverable cost, the Policy then excludes only those costs of repair that would have ameliorated the defect immediately prior to the damage occurring.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ALJV submits that the Insurers have failed to establish that the over deflections and cracking were caused by defective design or workmanship.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xml:space="preserve">  It submits that the expert opinions of Mr. Smith and Mr. O'Keeffe confirm that BPA's design of the slabs was adequate and met the Project specifications. Even Dr. Ghali did not opine that the slab design was </w:t>
      </w:r>
      <w:r>
        <w:rPr>
          <w:rFonts w:ascii="arial" w:eastAsia="arial" w:hAnsi="arial" w:cs="arial"/>
          <w:i/>
          <w:color w:val="000000"/>
          <w:sz w:val="20"/>
          <w:lang w:val="en-US" w:eastAsia="en-US" w:bidi="ar-SA"/>
        </w:rPr>
        <w:t>per se</w:t>
      </w:r>
      <w:r>
        <w:rPr>
          <w:rFonts w:ascii="arial" w:eastAsia="arial" w:hAnsi="arial" w:cs="arial"/>
          <w:color w:val="000000"/>
          <w:sz w:val="20"/>
          <w:lang w:val="en-US" w:eastAsia="en-US" w:bidi="ar-SA"/>
        </w:rPr>
        <w:t xml:space="preserve"> defective. Rather, all of the experts acknowledged that though the design was complex given the thinness of the slabs, the design could be accommodated with proper formwork and reshoring procedures.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However, the fact that though the formwork and reshoring procedures did not in fact accommodate the slab design, which resulted in the slabs being over loaded, does not, according to ALJV, render the formwork and reshoring defective.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Canadian National Railway Co. v. Royal and Sun Alliance Insurance Co. of Canada,</w:t>
      </w:r>
      <w:r>
        <w:rPr>
          <w:rFonts w:ascii="arial" w:eastAsia="arial" w:hAnsi="arial" w:cs="arial"/>
          <w:color w:val="000000"/>
          <w:sz w:val="20"/>
          <w:lang w:val="en-US" w:eastAsia="en-US" w:bidi="ar-SA"/>
        </w:rPr>
        <w:t xml:space="preserve"> </w:t>
      </w:r>
      <w:hyperlink r:id="rId919" w:history="1">
        <w:r>
          <w:rPr>
            <w:rFonts w:ascii="arial" w:eastAsia="arial" w:hAnsi="arial" w:cs="arial"/>
            <w:i/>
            <w:color w:val="0077CC"/>
            <w:sz w:val="20"/>
            <w:u w:val="single"/>
            <w:shd w:val="clear" w:color="auto" w:fill="FFFFFF"/>
            <w:lang w:val="en-US" w:eastAsia="en-US" w:bidi="ar-SA"/>
          </w:rPr>
          <w:t>2008 SCC 66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CNR</w:t>
      </w:r>
      <w:r>
        <w:rPr>
          <w:rFonts w:ascii="arial" w:eastAsia="arial" w:hAnsi="arial" w:cs="arial"/>
          <w:color w:val="000000"/>
          <w:sz w:val="20"/>
          <w:lang w:val="en-US" w:eastAsia="en-US" w:bidi="ar-SA"/>
        </w:rPr>
        <w:t>], the Court considered a faulty design exclusion in an all-risks insurance policy for a construction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There, the insured contractor was constructing a tunnel under a river using the largest customized tunnel boring machine (TBM) of its kind in the world. Notwithstanding that the TBM was designed and constructed to exacting standards, it suffered a failure after completion of only 14% of the tunnel. This resulted in a 229 day delay in completion which in turn led to a substantial increase in costs. The contractor sought indemnity for those costs under its all-risks insurance policy but the insurer denied coverage on the basis of the "faulty or improper design" exclusion.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The trial judge found in favour of the contractor but that decision was overturned by the Ontario Court of Appeal. A further appeal to the Supreme Court was successful and the trial decision was restored.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At the trial, the cause of the failure was determined to be dirt that had penetrated the seals intended to protect the main drive mechanism. The designers of the TBM had been aware of this risk and had attempted to address it through the design.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Writing for the majority in the Supreme Court, Binnie J. summarized his findings at para. 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view, the "all risks" policy afforded the CNR greater protection than that which the majority in the Court of Appeal was prepared to allow. At the time of contracting, all parties realized that this was to be the largest earth-balance TBM ever built. Leading experts were enlisted to provide what was described as a "state of the art" machine (Exhibit 6, A.R., at p. 744). The "all risks" policy was written to cover physical damage to an innovative piece of equipment almost the length of a football field operating on a scale with which the state of the art had no previous experience. The policy did not exclude all loss attributable to "the design", but only loss attributable to a "faulty or improper design". The design exhausted the state of the art but left a residual risk. Failure is not the same thing as fault or impropriety. In my view, the insurers did not meet the onus of bringing the loss within the exclusion. I would allow the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Binnie J. went on to review a number of authorities dealing with faulty design exclusion clauses and concluded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[53] ...The insurers' interpretation would produce, I believe, an "unrealistic result" (</w:t>
      </w:r>
      <w:r>
        <w:rPr>
          <w:rFonts w:ascii="arial" w:eastAsia="arial" w:hAnsi="arial" w:cs="arial"/>
          <w:i/>
          <w:color w:val="000000"/>
          <w:sz w:val="20"/>
          <w:lang w:val="en-US" w:eastAsia="en-US" w:bidi="ar-SA"/>
        </w:rPr>
        <w:t>Consolidated-Bathurst</w:t>
      </w:r>
      <w:r>
        <w:rPr>
          <w:rFonts w:ascii="arial" w:eastAsia="arial" w:hAnsi="arial" w:cs="arial"/>
          <w:color w:val="000000"/>
          <w:sz w:val="20"/>
          <w:lang w:val="en-US" w:eastAsia="en-US" w:bidi="ar-SA"/>
        </w:rPr>
        <w:t>, at p. 901). In my view, the words "faulty or improper" require the insurers to go beyond simply showing a failure in circumstances of foreseeable risk. The words "faulty or improper", and in particular the word "improper", require the insurers to establish that the design fell below a "realistic" standard. Such a standard can require no more than that the design comply with the state of the art. A standard of perfection in relation to all foreseeable risks, in my view, was not required by the words used by the parties. It was for the insurers to demonstrate that the exclusion applies.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[56] I do not believe that where, as here, the risk is broadly defined ("metal deflects under stress"), and the design addresses that risk with state of the art diligence and expertise (as here), the insurers are entitled to the exclusion just because, with the benefit of hindsight, it turns out that "engineering knowledge and practice lacked a proper appreciation" (to quote </w:t>
      </w:r>
      <w:r>
        <w:rPr>
          <w:rFonts w:ascii="arial" w:eastAsia="arial" w:hAnsi="arial" w:cs="arial"/>
          <w:i/>
          <w:color w:val="000000"/>
          <w:sz w:val="20"/>
          <w:lang w:val="en-US" w:eastAsia="en-US" w:bidi="ar-SA"/>
        </w:rPr>
        <w:t>Queensland</w:t>
      </w:r>
      <w:r>
        <w:rPr>
          <w:rFonts w:ascii="arial" w:eastAsia="arial" w:hAnsi="arial" w:cs="arial"/>
          <w:color w:val="000000"/>
          <w:sz w:val="20"/>
          <w:lang w:val="en-US" w:eastAsia="en-US" w:bidi="ar-SA"/>
        </w:rPr>
        <w:t xml:space="preserve"> again) of the design problem. A narrower interpretation of the exclusion, it seems to me, best accords with the intentions of the parties based on the plain meaning of the words used, namely "faulty or improper". If the insurers wished to negotiate an exclusion of costs associated with simple "design failure" or "design failure in conditions of foreseeable risk", it was open to them to have tried to do so but that is not the wording of the policy and </w:t>
      </w:r>
      <w:r>
        <w:rPr>
          <w:rFonts w:ascii="arial" w:eastAsia="arial" w:hAnsi="arial" w:cs="arial"/>
          <w:i/>
          <w:color w:val="000000"/>
          <w:sz w:val="20"/>
          <w:lang w:val="en-US" w:eastAsia="en-US" w:bidi="ar-SA"/>
        </w:rPr>
        <w:t>this</w:t>
      </w:r>
      <w:r>
        <w:rPr>
          <w:rFonts w:ascii="arial" w:eastAsia="arial" w:hAnsi="arial" w:cs="arial"/>
          <w:color w:val="000000"/>
          <w:sz w:val="20"/>
          <w:lang w:val="en-US" w:eastAsia="en-US" w:bidi="ar-SA"/>
        </w:rPr>
        <w:t xml:space="preserve"> exclusion clause should not, in my opinion, be given that effect.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[57] In the result, the argument turned on the expert evidence regarding the state of the art. The trial judge preferred the evidence of the CNR expert, Dr. Hampson, that it "is not realistic to suggest that all potential problems can and always should be identified nor that the issues spotlighted by hindsight should always have been picked-out" (Hampson's Third Report, at p. 5). More must be shown to classify a design as "faulty or improper".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Applying this analysis to the facts here, ALJV submits that the Insurers have not established that the formwork and reshoring design or procedures were not state of the art. ALJV notes that the Formwork Drawings done by Newell contain detailed instructions for the formwork and reshoring and there is no evidence that CCL failed to comply with those instructions. Further, the the CCL subcontract contains references to the applicable CSA concrete design and construction codes which again were complied with.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ALJV notes that the codes do not establish specific standards for shoring and reshoring of multi-storey concrete structures. However, in 2005 the American Concrete Institute published a guide entitled "Guide for Shoring/Reshoring of Concrete Multistory Buildings" which sets out the "simplified method", the method utilized by CCL on the Project. The Guide does not reference a process of loosening and retightening the shores.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ALJV submits that the procedures used, which are the same as what CCL has used on other projects for many years, cannot be said to be defective.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Alternatively, even if the over deflections and cracking are the result of defective design or workmanship, ALJV submits that it is clear from the wording of clause 5(b), that the excluded costs are those that would have been incurred to remedy the defect, specifically the costs that would have been incurred to properly release and retighten the reshores or to build in additional camber into the formwork. ALJV submits that the only evidence as to what these costs would be was that they would be minimal.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As set out in paragraph 104 above, I have found that the over deflections and cracking were not caused by the design of the thin concrete slabs but by the failure of the formwork and reshoring procedures to account for that unusual design.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I have also found that the concrete slabs were not merely defective but were in fact damaged. On this point, I agree with ALJV that property found to be damaged for the purposes of the perils insured clause cannot subsequently be characterized as merely defective for the purposes of the exclusion.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The Insurers however submit that the exclusion still applies in that it is clear that the "design" of the formwork and shoring/reshoring was defective.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In support of their position that the formwork and shoring/reshoring fall within the definition of "design," the Insurers refer to clause 3.3 of the CCL sub-contract titled "Temporary Supports, Structures and Facilities":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3.3.1 The </w:t>
      </w:r>
      <w:r>
        <w:rPr>
          <w:rFonts w:ascii="arial" w:eastAsia="arial" w:hAnsi="arial" w:cs="arial"/>
          <w:i/>
          <w:color w:val="000000"/>
          <w:sz w:val="20"/>
          <w:lang w:val="en-US" w:eastAsia="en-US" w:bidi="ar-SA"/>
        </w:rPr>
        <w:t>Trade Contractor</w:t>
      </w:r>
      <w:r>
        <w:rPr>
          <w:rFonts w:ascii="arial" w:eastAsia="arial" w:hAnsi="arial" w:cs="arial"/>
          <w:color w:val="000000"/>
          <w:sz w:val="20"/>
          <w:lang w:val="en-US" w:eastAsia="en-US" w:bidi="ar-SA"/>
        </w:rPr>
        <w:t xml:space="preserve"> shall have the sole responsibility for the design, erection, operation, maintenance, and removal of temporary supports, structures, and facilities and the design and execution of construction methods required in their use.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3.3.2 The </w:t>
      </w:r>
      <w:r>
        <w:rPr>
          <w:rFonts w:ascii="arial" w:eastAsia="arial" w:hAnsi="arial" w:cs="arial"/>
          <w:i/>
          <w:color w:val="000000"/>
          <w:sz w:val="20"/>
          <w:lang w:val="en-US" w:eastAsia="en-US" w:bidi="ar-SA"/>
        </w:rPr>
        <w:t>Trade Contractor</w:t>
      </w:r>
      <w:r>
        <w:rPr>
          <w:rFonts w:ascii="arial" w:eastAsia="arial" w:hAnsi="arial" w:cs="arial"/>
          <w:color w:val="000000"/>
          <w:sz w:val="20"/>
          <w:lang w:val="en-US" w:eastAsia="en-US" w:bidi="ar-SA"/>
        </w:rPr>
        <w:t xml:space="preserve"> shall engage and pay for registered professional engineering personnel skilled in the appropriate disciplines to perform those functions referred to in paragraph 3.3.1 where required by law or by the </w:t>
      </w:r>
      <w:r>
        <w:rPr>
          <w:rFonts w:ascii="arial" w:eastAsia="arial" w:hAnsi="arial" w:cs="arial"/>
          <w:i/>
          <w:color w:val="000000"/>
          <w:sz w:val="20"/>
          <w:lang w:val="en-US" w:eastAsia="en-US" w:bidi="ar-SA"/>
        </w:rPr>
        <w:t>Contract Documents</w:t>
      </w:r>
      <w:r>
        <w:rPr>
          <w:rFonts w:ascii="arial" w:eastAsia="arial" w:hAnsi="arial" w:cs="arial"/>
          <w:color w:val="000000"/>
          <w:sz w:val="20"/>
          <w:lang w:val="en-US" w:eastAsia="en-US" w:bidi="ar-SA"/>
        </w:rPr>
        <w:t xml:space="preserve"> and in all cases where such temporary supports, structures, and facilities and their method of construction are of such a nature that professional engineering skill is required to produce safe and satisfactory results.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3.3.3 Notwithstanding the provisions of GC 3.1 - CONTROL OF THE WORK, paragraph 3.3.1, and paragraph 3.3.2 or provisions to the contrary elsewhere in the </w:t>
      </w:r>
      <w:r>
        <w:rPr>
          <w:rFonts w:ascii="arial" w:eastAsia="arial" w:hAnsi="arial" w:cs="arial"/>
          <w:i/>
          <w:color w:val="000000"/>
          <w:sz w:val="20"/>
          <w:lang w:val="en-US" w:eastAsia="en-US" w:bidi="ar-SA"/>
        </w:rPr>
        <w:t>Contract Documents</w:t>
      </w:r>
      <w:r>
        <w:rPr>
          <w:rFonts w:ascii="arial" w:eastAsia="arial" w:hAnsi="arial" w:cs="arial"/>
          <w:color w:val="000000"/>
          <w:sz w:val="20"/>
          <w:lang w:val="en-US" w:eastAsia="en-US" w:bidi="ar-SA"/>
        </w:rPr>
        <w:t xml:space="preserve"> where such </w:t>
      </w:r>
      <w:r>
        <w:rPr>
          <w:rFonts w:ascii="arial" w:eastAsia="arial" w:hAnsi="arial" w:cs="arial"/>
          <w:i/>
          <w:color w:val="000000"/>
          <w:sz w:val="20"/>
          <w:lang w:val="en-US" w:eastAsia="en-US" w:bidi="ar-SA"/>
        </w:rPr>
        <w:t>Contract Documents</w:t>
      </w:r>
      <w:r>
        <w:rPr>
          <w:rFonts w:ascii="arial" w:eastAsia="arial" w:hAnsi="arial" w:cs="arial"/>
          <w:color w:val="000000"/>
          <w:sz w:val="20"/>
          <w:lang w:val="en-US" w:eastAsia="en-US" w:bidi="ar-SA"/>
        </w:rPr>
        <w:t xml:space="preserve"> include designs for temporary supports, structures, and facilities or specify a method of construction in whole or in part, such facilities and methods shall be considered to be part of the design of the </w:t>
      </w:r>
      <w:r>
        <w:rPr>
          <w:rFonts w:ascii="arial" w:eastAsia="arial" w:hAnsi="arial" w:cs="arial"/>
          <w:i/>
          <w:color w:val="000000"/>
          <w:sz w:val="20"/>
          <w:lang w:val="en-US" w:eastAsia="en-US" w:bidi="ar-SA"/>
        </w:rPr>
        <w:t>Work</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Trade Contractor</w:t>
      </w:r>
      <w:r>
        <w:rPr>
          <w:rFonts w:ascii="arial" w:eastAsia="arial" w:hAnsi="arial" w:cs="arial"/>
          <w:color w:val="000000"/>
          <w:sz w:val="20"/>
          <w:lang w:val="en-US" w:eastAsia="en-US" w:bidi="ar-SA"/>
        </w:rPr>
        <w:t xml:space="preserve"> shall not be held responsible for that part of the design or specified method of construction. The </w:t>
      </w:r>
      <w:r>
        <w:rPr>
          <w:rFonts w:ascii="arial" w:eastAsia="arial" w:hAnsi="arial" w:cs="arial"/>
          <w:i/>
          <w:color w:val="000000"/>
          <w:sz w:val="20"/>
          <w:lang w:val="en-US" w:eastAsia="en-US" w:bidi="ar-SA"/>
        </w:rPr>
        <w:t>Trade Contractor</w:t>
      </w:r>
      <w:r>
        <w:rPr>
          <w:rFonts w:ascii="arial" w:eastAsia="arial" w:hAnsi="arial" w:cs="arial"/>
          <w:color w:val="000000"/>
          <w:sz w:val="20"/>
          <w:lang w:val="en-US" w:eastAsia="en-US" w:bidi="ar-SA"/>
        </w:rPr>
        <w:t xml:space="preserve"> shall, however, be responsible for the execution of such design or specified method of construction in the same manner as for the execution of the </w:t>
      </w:r>
      <w:r>
        <w:rPr>
          <w:rFonts w:ascii="arial" w:eastAsia="arial" w:hAnsi="arial" w:cs="arial"/>
          <w:i/>
          <w:color w:val="000000"/>
          <w:sz w:val="20"/>
          <w:lang w:val="en-US" w:eastAsia="en-US" w:bidi="ar-SA"/>
        </w:rPr>
        <w:t>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Contrary to the submission of the Insurers, I do not read these provisions as making the formwork and shoring/reshoring a matter of design for all purposes. Rather, the clear intent of the provisions is to distinguish the situation where the trade contractor (in this case CCL) assumes sole responsibility for the design and erection of the formwork and shoring/reshoring, from that where the design and methodology are dictated to the trade contractor, for example by the structural designer. It is only in the latter case that the formwork and shoring/reshoring will be characterized as part of the overall design of the work or facility.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That is not the case here where the formwork and shoring/reshoring were designed by Newell who was retained directly by CCL.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That said, the exclusion in clause 5(b) is not on its face limited to defective design of the work or facility as a whole. Rather, it includes any "defects of material workmanship, design, plan, or specification" which, in my view, would include defective design of component pieces of the work, including the formwork and shoring/reshoring.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A question then arises as to whether the improper formwork and shoring/reshoring procedure used amounts to defective design or workmanship within the meaning of clause 5(b). The distinction between design and workmanship has been described in these terms: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courts have long distinguished between the workmanship involved in the construction of an object and the design of that object. The former term is generally restricted to the physical construction of the object, while the latter as discussed above, encompasses the mental concept and its translation into plans and specifications.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See </w:t>
      </w:r>
      <w:r>
        <w:rPr>
          <w:rFonts w:ascii="arial" w:eastAsia="arial" w:hAnsi="arial" w:cs="arial"/>
          <w:i/>
          <w:color w:val="000000"/>
          <w:sz w:val="20"/>
          <w:lang w:val="en-US" w:eastAsia="en-US" w:bidi="ar-SA"/>
        </w:rPr>
        <w:t>Maclab Enterprises Ltd. v. Commonwealth Insurance Co.,</w:t>
      </w:r>
      <w:r>
        <w:rPr>
          <w:rFonts w:ascii="arial" w:eastAsia="arial" w:hAnsi="arial" w:cs="arial"/>
          <w:color w:val="000000"/>
          <w:sz w:val="20"/>
          <w:lang w:val="en-US" w:eastAsia="en-US" w:bidi="ar-SA"/>
        </w:rPr>
        <w:t xml:space="preserve"> </w:t>
      </w:r>
      <w:hyperlink r:id="rId920" w:history="1">
        <w:r>
          <w:rPr>
            <w:rFonts w:ascii="arial" w:eastAsia="arial" w:hAnsi="arial" w:cs="arial"/>
            <w:i/>
            <w:color w:val="0077CC"/>
            <w:sz w:val="20"/>
            <w:u w:val="single"/>
            <w:shd w:val="clear" w:color="auto" w:fill="FFFFFF"/>
            <w:lang w:val="en-US" w:eastAsia="en-US" w:bidi="ar-SA"/>
          </w:rPr>
          <w:t>[1983] A.J. No. 777</w:t>
        </w:r>
      </w:hyperlink>
      <w:r>
        <w:rPr>
          <w:rFonts w:ascii="arial" w:eastAsia="arial" w:hAnsi="arial" w:cs="arial"/>
          <w:color w:val="000000"/>
          <w:sz w:val="20"/>
          <w:lang w:val="en-US" w:eastAsia="en-US" w:bidi="ar-SA"/>
        </w:rPr>
        <w:t>, 1983 CanLII 1107 (Alta. Q.B.) at para. 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Bird Construction</w:t>
      </w:r>
      <w:r>
        <w:rPr>
          <w:rFonts w:ascii="arial" w:eastAsia="arial" w:hAnsi="arial" w:cs="arial"/>
          <w:color w:val="000000"/>
          <w:sz w:val="20"/>
          <w:lang w:val="en-US" w:eastAsia="en-US" w:bidi="ar-SA"/>
        </w:rPr>
        <w:t xml:space="preserve"> the Saskatchewan Court of Appeal was required to consider whether the collapse of a steel roof truss during construction fell within an exclusion for "fault, defect, error or omission in design, plan or specification" or for "faulty or defective workmanship".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xml:space="preserve">  Vancise J.A. agreed with the decision of Robertson J.A. in </w:t>
      </w:r>
      <w:r>
        <w:rPr>
          <w:rFonts w:ascii="arial" w:eastAsia="arial" w:hAnsi="arial" w:cs="arial"/>
          <w:i/>
          <w:color w:val="000000"/>
          <w:sz w:val="20"/>
          <w:lang w:val="en-US" w:eastAsia="en-US" w:bidi="ar-SA"/>
        </w:rPr>
        <w:t>Pentagon Construction (1969) Co. Ltd. v. United States Fidelity and Guaranty Co.,</w:t>
      </w:r>
      <w:r>
        <w:rPr>
          <w:rFonts w:ascii="arial" w:eastAsia="arial" w:hAnsi="arial" w:cs="arial"/>
          <w:color w:val="000000"/>
          <w:sz w:val="20"/>
          <w:lang w:val="en-US" w:eastAsia="en-US" w:bidi="ar-SA"/>
        </w:rPr>
        <w:t xml:space="preserve"> </w:t>
      </w:r>
      <w:hyperlink r:id="rId921" w:history="1">
        <w:r>
          <w:rPr>
            <w:rFonts w:ascii="arial" w:eastAsia="arial" w:hAnsi="arial" w:cs="arial"/>
            <w:i/>
            <w:color w:val="0077CC"/>
            <w:sz w:val="20"/>
            <w:u w:val="single"/>
            <w:shd w:val="clear" w:color="auto" w:fill="FFFFFF"/>
            <w:lang w:val="en-US" w:eastAsia="en-US" w:bidi="ar-SA"/>
          </w:rPr>
          <w:t>[1977] 4 W.W.R. 351</w:t>
        </w:r>
      </w:hyperlink>
      <w:r>
        <w:rPr>
          <w:rFonts w:ascii="arial" w:eastAsia="arial" w:hAnsi="arial" w:cs="arial"/>
          <w:color w:val="000000"/>
          <w:sz w:val="20"/>
          <w:lang w:val="en-US" w:eastAsia="en-US" w:bidi="ar-SA"/>
        </w:rPr>
        <w:t xml:space="preserve"> that "design" refers to the concept of the finished project as a whole: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agree with Robertson J.A. that design is the concept of the project when finally completed. A plan is a description of that design set out graphically. Specifications detail the kind and type of material to be used to construct a project, and in this case would include the loading capacity of the trusses. The plans and specifications do not contain a description or instructions for the erection or installation of the trusses and, in my opinion, it is unnecessary. I therefore conclude that erection procedures are not part of design, plan or specifications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Vancise J.A. however went on to find that the erection of the trusses were part of the overall work and that if the erection procedures were faulty, the collapse of the truss would fall within the exclusion for "faulty or defective workmanship." He found that to be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xml:space="preserve">  At the end of the day, as in </w:t>
      </w:r>
      <w:r>
        <w:rPr>
          <w:rFonts w:ascii="arial" w:eastAsia="arial" w:hAnsi="arial" w:cs="arial"/>
          <w:i/>
          <w:color w:val="000000"/>
          <w:sz w:val="20"/>
          <w:lang w:val="en-US" w:eastAsia="en-US" w:bidi="ar-SA"/>
        </w:rPr>
        <w:t>Bird Construction,</w:t>
      </w:r>
      <w:r>
        <w:rPr>
          <w:rFonts w:ascii="arial" w:eastAsia="arial" w:hAnsi="arial" w:cs="arial"/>
          <w:color w:val="000000"/>
          <w:sz w:val="20"/>
          <w:lang w:val="en-US" w:eastAsia="en-US" w:bidi="ar-SA"/>
        </w:rPr>
        <w:t xml:space="preserve"> not much turns on this distinction here. Whether it was the design of the formwork and shoring/reshoring or the manner in which the work was done, the evidence again establishes that the work failed to account for the thin design of the slabs and that was the cause of the cracking and over deflections. If either the design or the workmanship was defective, the exclusion applies.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xml:space="preserve">  On balance, based on the evidence of Mr. Gregory Smith, I would characterize the cracking and over deflection as a workmanship issue. As he again noted in his report, the thin slabs, while complex, were permissible, provided that the thinness was taken into account in the formwork and shoring/reshoring procedures. That did not occur. In other words, the fault occurred in the physical construction of the slabs, to borrow the language of </w:t>
      </w:r>
      <w:r>
        <w:rPr>
          <w:rFonts w:ascii="arial" w:eastAsia="arial" w:hAnsi="arial" w:cs="arial"/>
          <w:i/>
          <w:color w:val="000000"/>
          <w:sz w:val="20"/>
          <w:lang w:val="en-US" w:eastAsia="en-US" w:bidi="ar-SA"/>
        </w:rPr>
        <w:t>Maclab Enterprises.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However, the fact that the formwork and shoring/reshoring procedures did not properly account for the design of the slabs does not mean that the procedures were necessarily defective.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xml:space="preserve">  As found by the court in </w:t>
      </w:r>
      <w:r>
        <w:rPr>
          <w:rFonts w:ascii="arial" w:eastAsia="arial" w:hAnsi="arial" w:cs="arial"/>
          <w:i/>
          <w:color w:val="000000"/>
          <w:sz w:val="20"/>
          <w:lang w:val="en-US" w:eastAsia="en-US" w:bidi="ar-SA"/>
        </w:rPr>
        <w:t>CNR</w:t>
      </w:r>
      <w:r>
        <w:rPr>
          <w:rFonts w:ascii="arial" w:eastAsia="arial" w:hAnsi="arial" w:cs="arial"/>
          <w:color w:val="000000"/>
          <w:sz w:val="20"/>
          <w:lang w:val="en-US" w:eastAsia="en-US" w:bidi="ar-SA"/>
        </w:rPr>
        <w:t xml:space="preserve">, a design is not "faulty or improper" simply because it fails to meet a standard of perfection in relation to all foreseeable risks (para. 51). While </w:t>
      </w:r>
      <w:r>
        <w:rPr>
          <w:rFonts w:ascii="arial" w:eastAsia="arial" w:hAnsi="arial" w:cs="arial"/>
          <w:i/>
          <w:color w:val="000000"/>
          <w:sz w:val="20"/>
          <w:lang w:val="en-US" w:eastAsia="en-US" w:bidi="ar-SA"/>
        </w:rPr>
        <w:t>CNR</w:t>
      </w:r>
      <w:r>
        <w:rPr>
          <w:rFonts w:ascii="arial" w:eastAsia="arial" w:hAnsi="arial" w:cs="arial"/>
          <w:color w:val="000000"/>
          <w:sz w:val="20"/>
          <w:lang w:val="en-US" w:eastAsia="en-US" w:bidi="ar-SA"/>
        </w:rPr>
        <w:t xml:space="preserve"> dealt with a design exclusion, in my view the principle applies with equal force to a workmanship exclusion.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As Binnie J. noted, the concept of "faulty or improper" implies a comparative standard against which the impugned design falls short. However, he rejected the submission of the insurers that where a design fails in circumstances of foreseeable risk, it is by definition faulty or improper (see para. 186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It is useful to contrast Binnie J.'s majority decision with the dissent authored by Rothstein J. who disagreed with the notion that a design must be measured against the state of the art in order to determine if it is "faulty or improper". According to Rothstein J., the only proper comparison is whether the design is adequate for its intended purpose, having regard to all foreseeable risks.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xml:space="preserve">  Binnie' J.'s formulation carried the day, albeit by a slim 4-3 majority, and it is that analysis that applies to determine whether the formwork and shoring/reshoring procedures utilized here were defective. I note that the exclusion in issue in this case incorporates the concept of "defect" as distinct from "faulty or improper" which are used in the exclusion in </w:t>
      </w:r>
      <w:r>
        <w:rPr>
          <w:rFonts w:ascii="arial" w:eastAsia="arial" w:hAnsi="arial" w:cs="arial"/>
          <w:i/>
          <w:color w:val="000000"/>
          <w:sz w:val="20"/>
          <w:lang w:val="en-US" w:eastAsia="en-US" w:bidi="ar-SA"/>
        </w:rPr>
        <w:t>CNR.</w:t>
      </w:r>
      <w:r>
        <w:rPr>
          <w:rFonts w:ascii="arial" w:eastAsia="arial" w:hAnsi="arial" w:cs="arial"/>
          <w:color w:val="000000"/>
          <w:sz w:val="20"/>
          <w:lang w:val="en-US" w:eastAsia="en-US" w:bidi="ar-SA"/>
        </w:rPr>
        <w:t xml:space="preserve"> In my view, however, nothing turns on that distinction as the concept of "defect" similarly implies a comparative standard against which the design, or in this case the workmanship or procedures, fell short.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ALJV submits that the formwork and shoring/reshoring were not defective in that they were state of the art. It points to the fact that CCL, an experienced concrete contractor, has used the simplified method for years on numerous projects and that it is the method described in the Guide published by the American Concrete Institute.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xml:space="preserve">  The Insurers deny that the formwork and shoring/reshoring procedures were state of the art. In taking this position, they essentially adopt the approach of Rothstein J. in dissent in </w:t>
      </w:r>
      <w:r>
        <w:rPr>
          <w:rFonts w:ascii="arial" w:eastAsia="arial" w:hAnsi="arial" w:cs="arial"/>
          <w:i/>
          <w:color w:val="000000"/>
          <w:sz w:val="20"/>
          <w:lang w:val="en-US" w:eastAsia="en-US" w:bidi="ar-SA"/>
        </w:rPr>
        <w:t>CNR</w:t>
      </w:r>
      <w:r>
        <w:rPr>
          <w:rFonts w:ascii="arial" w:eastAsia="arial" w:hAnsi="arial" w:cs="arial"/>
          <w:color w:val="000000"/>
          <w:sz w:val="20"/>
          <w:lang w:val="en-US" w:eastAsia="en-US" w:bidi="ar-SA"/>
        </w:rPr>
        <w:t xml:space="preserve"> that for the procedures to be defective, they must be inadequate to fulfill their intended purpose. That approach was not accepted by the majority.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xml:space="preserve">  However, the difference between this case and </w:t>
      </w:r>
      <w:r>
        <w:rPr>
          <w:rFonts w:ascii="arial" w:eastAsia="arial" w:hAnsi="arial" w:cs="arial"/>
          <w:i/>
          <w:color w:val="000000"/>
          <w:sz w:val="20"/>
          <w:lang w:val="en-US" w:eastAsia="en-US" w:bidi="ar-SA"/>
        </w:rPr>
        <w:t>CNR</w:t>
      </w:r>
      <w:r>
        <w:rPr>
          <w:rFonts w:ascii="arial" w:eastAsia="arial" w:hAnsi="arial" w:cs="arial"/>
          <w:color w:val="000000"/>
          <w:sz w:val="20"/>
          <w:lang w:val="en-US" w:eastAsia="en-US" w:bidi="ar-SA"/>
        </w:rPr>
        <w:t xml:space="preserve"> is that the evidence in </w:t>
      </w:r>
      <w:r>
        <w:rPr>
          <w:rFonts w:ascii="arial" w:eastAsia="arial" w:hAnsi="arial" w:cs="arial"/>
          <w:i/>
          <w:color w:val="000000"/>
          <w:sz w:val="20"/>
          <w:lang w:val="en-US" w:eastAsia="en-US" w:bidi="ar-SA"/>
        </w:rPr>
        <w:t>CNR</w:t>
      </w:r>
      <w:r>
        <w:rPr>
          <w:rFonts w:ascii="arial" w:eastAsia="arial" w:hAnsi="arial" w:cs="arial"/>
          <w:color w:val="000000"/>
          <w:sz w:val="20"/>
          <w:lang w:val="en-US" w:eastAsia="en-US" w:bidi="ar-SA"/>
        </w:rPr>
        <w:t xml:space="preserve"> established that the designers of the TBM had considered and accounted for all foreseeable risks, including the risk that ultimately materialized of dirt penetrating the seals into the drive mechanism. As Binnie J. noted (at para. 56), the design addressed the identified risks with "state of the art diligence and expertise". That the TBM suffered a failure by reason of an identified or foreseeable risk may well have constituted a "design failure," but it did not render the design "faulty or improper".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The difficulty faced by ALJV in this case is that, on the evidence of its own expert Mr. Smith, its subcontractor CCL failed to identify and address the foreseeable risks associated with the unusually thin design of the concrete slabs, but simply utilized the same procedures that it had used on other projects, despite the different design challenges clearly presented in this Project. Again, Mr. Smith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my opinion that the root cause of the over deflection is that the slabs were overloaded during construction. Inadequate analysis was done with respect to the slab deflections and stresses caused by the construction loading. The fact that the design of the slab was complex was not recognized by the formwork/reshoring procedures that were developed for the project. Instead, the simplified method (which is typically used in reshoring procedures) was used... .The slab thickness is less than would be required by CSA A23.3, clause 13-2, and is a factor that should be considered for construction load deflections. The simplified method should not have been used in determining the shoring procedures. The reshoring procedures did not allow the construction loads to be equally distributed to the supporting levels and should have been revised.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xml:space="preserve">  While, as noted, I prefer the evidence of Mr. Smith over that of Dr. Ghali, it is telling that both experts state that the issue arising out of the thin design of the slabs should have been apparent from the structural design drawings. Thus, this is not a case, like in </w:t>
      </w:r>
      <w:r>
        <w:rPr>
          <w:rFonts w:ascii="arial" w:eastAsia="arial" w:hAnsi="arial" w:cs="arial"/>
          <w:i/>
          <w:color w:val="000000"/>
          <w:sz w:val="20"/>
          <w:lang w:val="en-US" w:eastAsia="en-US" w:bidi="ar-SA"/>
        </w:rPr>
        <w:t>CNR</w:t>
      </w:r>
      <w:r>
        <w:rPr>
          <w:rFonts w:ascii="arial" w:eastAsia="arial" w:hAnsi="arial" w:cs="arial"/>
          <w:color w:val="000000"/>
          <w:sz w:val="20"/>
          <w:lang w:val="en-US" w:eastAsia="en-US" w:bidi="ar-SA"/>
        </w:rPr>
        <w:t>, where it is only with the benefit of hindsight that the defect became apparent. Both experts were clear that the slabs as designed were thinner than what the applicable CSA standard would permit unless steps were taken in the construction process to address and account for the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The failure to take steps or to address in any way the complex design leads to a finding that the formwork and shoring/reshoring procedures constitute a defect in workmanship within the meaning of clause 5(b) of the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Having found that the exclusion applies, the next issue is whether it operates to exclude all or a portion of ALJV's claim. Again, the Insurers submit that the entire claim is caught whereas ALJV says that the exclusion only precludes those costs that would have been incurred to remedy or avoid the resulting damage, those being the costs of implementing proper formwork and shoring/reshoring procedures.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I agree with the interpretation advanced by ALJV.</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On its face, clause 5(b) appears to have two distinct components in terms of the excluded costs:</w:t>
      </w:r>
      <w:r>
        <w:rPr>
          <w:rFonts w:ascii="arial" w:eastAsia="arial" w:hAnsi="arial" w:cs="arial"/>
          <w:sz w:val="20"/>
          <w:lang w:val="en-US" w:eastAsia="en-US" w:bidi="ar-SA"/>
        </w:rPr>
        <w:cr/>
      </w:r>
    </w:p>
    <w:p>
      <w:pPr>
        <w:numPr>
          <w:numId w:val="3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"all costs rendered necessary by defects of material workmanship, design, plan, or specification"; and</w:t>
      </w:r>
    </w:p>
    <w:p>
      <w:pPr>
        <w:numPr>
          <w:numId w:val="3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"should damage occur to any portion of the Insured Property containing any of the said defects the cost of replacement or rectification which is hereby excluded is that cost which would have been incurred if replacement or rectification of the Insured Property had been put in hand immediately prior to the said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However, the two components of clause 5(b) do not operate in isolation but must be read together in order to give meaning to the clause as a whole. This flows in part from the fact that the two components are linked by the conjunctive term "and", which establishes the entire clause as a single exclusion with the opening phrase modified by the latter phrase, rather than two distinct exclusions, or an exclusion with an exception.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To read the first phrase as a distinct exclusion would result in any and all costs related to the defect being excluded from coverage and would completely nullify or render meaningless the second phrase. It would, in effect, convert the clause to a much broader exclusion like that found in LEG 1/96. As ALJV submits, had the Insurers wanted the broader exclusion, the LEG 1/96 wording was available to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On this point, the Supreme Court has held that where insurers have language available to them that will remove an ambiguity from the meaning of an exclusion clause or will clearly specify the scope of an exclusion, they should incorporate such language. Otherwise the normal principles of interpretation will apply, including the principle that coverage provisions will be interpreted broadly and exclusion clauses narrowly (</w:t>
      </w:r>
      <w:r>
        <w:rPr>
          <w:rFonts w:ascii="arial" w:eastAsia="arial" w:hAnsi="arial" w:cs="arial"/>
          <w:i/>
          <w:color w:val="000000"/>
          <w:sz w:val="20"/>
          <w:lang w:val="en-US" w:eastAsia="en-US" w:bidi="ar-SA"/>
        </w:rPr>
        <w:t>Derksen v. 539938 Ontario Ltd.,</w:t>
      </w:r>
      <w:r>
        <w:rPr>
          <w:rFonts w:ascii="arial" w:eastAsia="arial" w:hAnsi="arial" w:cs="arial"/>
          <w:color w:val="000000"/>
          <w:sz w:val="20"/>
          <w:lang w:val="en-US" w:eastAsia="en-US" w:bidi="ar-SA"/>
        </w:rPr>
        <w:t xml:space="preserve"> </w:t>
      </w:r>
      <w:hyperlink r:id="rId922" w:history="1">
        <w:r>
          <w:rPr>
            <w:rFonts w:ascii="arial" w:eastAsia="arial" w:hAnsi="arial" w:cs="arial"/>
            <w:i/>
            <w:color w:val="0077CC"/>
            <w:sz w:val="20"/>
            <w:u w:val="single"/>
            <w:shd w:val="clear" w:color="auto" w:fill="FFFFFF"/>
            <w:lang w:val="en-US" w:eastAsia="en-US" w:bidi="ar-SA"/>
          </w:rPr>
          <w:t>2001 SCC 72</w:t>
        </w:r>
      </w:hyperlink>
      <w:r>
        <w:rPr>
          <w:rFonts w:ascii="arial" w:eastAsia="arial" w:hAnsi="arial" w:cs="arial"/>
          <w:color w:val="000000"/>
          <w:sz w:val="20"/>
          <w:lang w:val="en-US" w:eastAsia="en-US" w:bidi="ar-SA"/>
        </w:rPr>
        <w:t xml:space="preserve"> at paras. 47-48).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Read in its entirety, I find that the intent of clause 5(b) is to exclude those costs rendered necessary by one of the named defects, but is limited to costs "which would have been incurred if replacement or rectification of the Insured Property had been put in hand immediately prior to the said damage." In other words, the excluded costs are only those costs that would have remedied or rectified the defect immediately before any consequential or resulting damage occurred, but the exclusion does not extend to exclude the cost of rectifying or replacing the damaged property itself; the excluded costs crystallize immediately prior to the damage occurring and are thus limited to those costs that would have prevented the damage from happening.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This is consistent with the description of the LEG 2/96 wording provided by the authors of a paper issued by the International Association of Engineering Insurers (IMIA) entitled "Design Exclusion Wordings (DE 1995/LEG 1996) and Physical Lesson Damage" (IMIA - WGP 44(05)) where they said, when comparing LEG 2/96 to another type of design exclusion clause: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LEG2 adopts a fairly similar approach [to DE 4] save that it does not specifically exclude damage to the defective property itself. The approach is to exclude the cost that would have been incurred to rectify the defect if that effort had been put in hand immediately prior to the damage. The advantage of this approach is that it avoids a need to distinguish between the "defective property" and "other property" - a consideration which ... can become problematic.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The "damage" in issue here is the cracking and over deflection of the concrete slabs. The "defect in material workmanship" is the improper formwork and shoring/reshoring procedures adopted that resulted in the damage to the slabs. Applying clause 5(b), the excluded costs are those that would have remedied or rectified the defect before the cracking and over deflections occurred i.e the costs of implementing proper formwork and shoring/reshoring procedures or incorporating additional camber into the formwork.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There was no evidence on which to quantify these costs except to say that they would have been minimal.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 Is Any Portion of the Claim Excluded by Clause 5(i) of the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Clause 5(i) of the Policy excludes from coverage: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settling or shrinkage of walls, floors, foundations or ceilings, but this exclusion shall not apply to damage resulting from settling or shrinkage of walls, floors foundations, or ceilings.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The Insurers rely on the exclusion set out in clause 5(i) but did not focus on this point during their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Both Mr. O'Keeffe and Mr. Gregory Smith gave expert opinion evidence that the cracking and over deflection of the concrete slabs was not due to settling or shrinkage of walls, floors, foundations or ceilings.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As stated by Mr. Smith:</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Settling and shrinkage are related to the vertical elements moving down and thereby lowering the floors supported on these vertical elements. Deflection, or over deflections, is a result of the slab bending between vertical supports such that the centre of the span is lower than the supports. This is confirmed by the survey data showing that the slab elevations at the supports remained constant during all phases of the construction and only the slab elevations between the supports (deflections) changed.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There was no evidence to counter the opinions of Mr. O'Keeffe and Mr. Smith or to establish that the cracking and over deflections were caused by settling or shrinkage.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I find that clause 5(i) does not apply to exclude ALJV's claim.</w:t>
      </w:r>
      <w:r>
        <w:rPr>
          <w:rFonts w:ascii="arial" w:eastAsia="arial" w:hAnsi="arial" w:cs="arial"/>
          <w:sz w:val="20"/>
          <w:lang w:val="en-US" w:eastAsia="en-US" w:bidi="ar-SA"/>
        </w:rPr>
        <w:cr/>
      </w:r>
    </w:p>
    <w:p>
      <w:pPr>
        <w:numPr>
          <w:numId w:val="3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Quantum of ALJV's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xml:space="preserve">  The quantum of ALJV's claim is to be considered in light of clause 3 of the Policy, which again provides that the Policy insures against "ALL RISKS of </w:t>
      </w:r>
      <w:r>
        <w:rPr>
          <w:rFonts w:ascii="arial" w:eastAsia="arial" w:hAnsi="arial" w:cs="arial"/>
          <w:color w:val="000000"/>
          <w:sz w:val="20"/>
          <w:u w:val="single"/>
          <w:lang w:val="en-US" w:eastAsia="en-US" w:bidi="ar-SA"/>
        </w:rPr>
        <w:t>direct physical loss of or damage to the property insured"</w:t>
      </w:r>
      <w:r>
        <w:rPr>
          <w:rFonts w:ascii="arial" w:eastAsia="arial" w:hAnsi="arial" w:cs="arial"/>
          <w:color w:val="000000"/>
          <w:sz w:val="20"/>
          <w:lang w:val="en-US" w:eastAsia="en-US" w:bidi="ar-SA"/>
        </w:rPr>
        <w:t xml:space="preserve">, as well as clause 7, the Limit of Liability clause, which states, "In the event that any of the property insured be lost or damaged by the perils insured against, the Insurer will indemnify the Insured against the </w:t>
      </w:r>
      <w:r>
        <w:rPr>
          <w:rFonts w:ascii="arial" w:eastAsia="arial" w:hAnsi="arial" w:cs="arial"/>
          <w:color w:val="000000"/>
          <w:sz w:val="20"/>
          <w:u w:val="single"/>
          <w:lang w:val="en-US" w:eastAsia="en-US" w:bidi="ar-SA"/>
        </w:rPr>
        <w:t>direct loss so caused"</w:t>
      </w:r>
      <w:r>
        <w:rPr>
          <w:rFonts w:ascii="arial" w:eastAsia="arial" w:hAnsi="arial" w:cs="arial"/>
          <w:color w:val="000000"/>
          <w:sz w:val="20"/>
          <w:lang w:val="en-US" w:eastAsia="en-US" w:bidi="ar-SA"/>
        </w:rPr>
        <w:t xml:space="preserve">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As noted, ALJV's claim is divided into nine categories described in paragraph 64 above. Of those nine categories, the Insurers agree that the costs set out in categories 1-6 were reasonably incurred by ALJV and they agree further that the costs in categories 1-4 and 6 are recoverable under the Policy, assuming coverage is established.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However, with respect to category 5, the increased subcontractor costs arising from the cracking and slab deflections, the Insurers submit that those costs fall outside of the coverage in that they do not relate directly to the repairs of the concrete slabs and, as such, are not a "direct loss" within the meaning of clauses 3 and 7. Alternatively, the Insurers submit that, if covered, these costs are subject to clause 10 of the Policy which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Expediting and Extra Expense: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Policy shall also pay for the reasonable extra cost of expediting the repair or replacement of Property Insured damaged by a Peril Insured, including overtime and the extra cost of express or other rapid means of transportation.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Insurers' Liability under this clause shall be limited to $1,000,000.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The additional subcontractor costs are described by ALJV in its written submissions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Category five are the costs incurred for the impact costs to those subcontractors directly affected by the slab over deflections. These subcontractors incurred additional costs to perform their work immediately following the slab repairs, which included impact costs, overcrowding and loss of productivity in having to work out of sequence and under less desirable working conditions than originally promised, and additional overtime.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xml:space="preserve">  In support of its position that the additional subcontractor costs are direct losses, ALJV cites </w:t>
      </w:r>
      <w:r>
        <w:rPr>
          <w:rFonts w:ascii="arial" w:eastAsia="arial" w:hAnsi="arial" w:cs="arial"/>
          <w:i/>
          <w:color w:val="000000"/>
          <w:sz w:val="20"/>
          <w:lang w:val="en-US" w:eastAsia="en-US" w:bidi="ar-SA"/>
        </w:rPr>
        <w:t>Ford Motor Company of Canada Ltd. v. Prudential Assurance Co. Ltd. et al.</w:t>
      </w:r>
      <w:r>
        <w:rPr>
          <w:rFonts w:ascii="arial" w:eastAsia="arial" w:hAnsi="arial" w:cs="arial"/>
          <w:color w:val="000000"/>
          <w:sz w:val="20"/>
          <w:lang w:val="en-US" w:eastAsia="en-US" w:bidi="ar-SA"/>
        </w:rPr>
        <w:t xml:space="preserve"> </w:t>
      </w:r>
      <w:hyperlink r:id="rId923" w:history="1">
        <w:r>
          <w:rPr>
            <w:rFonts w:ascii="arial" w:eastAsia="arial" w:hAnsi="arial" w:cs="arial"/>
            <w:i/>
            <w:color w:val="0077CC"/>
            <w:sz w:val="20"/>
            <w:u w:val="single"/>
            <w:shd w:val="clear" w:color="auto" w:fill="FFFFFF"/>
            <w:lang w:val="en-US" w:eastAsia="en-US" w:bidi="ar-SA"/>
          </w:rPr>
          <w:t>(1958), 14 D.L.R. (2d) 7</w:t>
        </w:r>
      </w:hyperlink>
      <w:r>
        <w:rPr>
          <w:rFonts w:ascii="arial" w:eastAsia="arial" w:hAnsi="arial" w:cs="arial"/>
          <w:color w:val="000000"/>
          <w:sz w:val="20"/>
          <w:lang w:val="en-US" w:eastAsia="en-US" w:bidi="ar-SA"/>
        </w:rPr>
        <w:t xml:space="preserve">, </w:t>
      </w:r>
      <w:hyperlink r:id="rId923" w:history="1">
        <w:r>
          <w:rPr>
            <w:rFonts w:ascii="arial" w:eastAsia="arial" w:hAnsi="arial" w:cs="arial"/>
            <w:i/>
            <w:color w:val="0077CC"/>
            <w:sz w:val="20"/>
            <w:u w:val="single"/>
            <w:shd w:val="clear" w:color="auto" w:fill="FFFFFF"/>
            <w:lang w:val="en-US" w:eastAsia="en-US" w:bidi="ar-SA"/>
          </w:rPr>
          <w:t>[1958] O.J. No. 657</w:t>
        </w:r>
      </w:hyperlink>
      <w:r>
        <w:rPr>
          <w:rFonts w:ascii="arial" w:eastAsia="arial" w:hAnsi="arial" w:cs="arial"/>
          <w:color w:val="000000"/>
          <w:sz w:val="20"/>
          <w:lang w:val="en-US" w:eastAsia="en-US" w:bidi="ar-SA"/>
        </w:rPr>
        <w:t xml:space="preserve"> (C.A.), aff'd </w:t>
      </w:r>
      <w:hyperlink r:id="rId924" w:history="1">
        <w:r>
          <w:rPr>
            <w:rFonts w:ascii="arial" w:eastAsia="arial" w:hAnsi="arial" w:cs="arial"/>
            <w:i/>
            <w:color w:val="0077CC"/>
            <w:sz w:val="20"/>
            <w:u w:val="single"/>
            <w:shd w:val="clear" w:color="auto" w:fill="FFFFFF"/>
            <w:lang w:val="en-US" w:eastAsia="en-US" w:bidi="ar-SA"/>
          </w:rPr>
          <w:t>[1959] S.C.R. 539</w:t>
        </w:r>
      </w:hyperlink>
      <w:r>
        <w:rPr>
          <w:rFonts w:ascii="arial" w:eastAsia="arial" w:hAnsi="arial" w:cs="arial"/>
          <w:color w:val="000000"/>
          <w:sz w:val="20"/>
          <w:lang w:val="en-US" w:eastAsia="en-US" w:bidi="ar-SA"/>
        </w:rPr>
        <w:t xml:space="preserve">, referred to by Tysoe J. in </w:t>
      </w:r>
      <w:r>
        <w:rPr>
          <w:rFonts w:ascii="arial" w:eastAsia="arial" w:hAnsi="arial" w:cs="arial"/>
          <w:i/>
          <w:color w:val="000000"/>
          <w:sz w:val="20"/>
          <w:lang w:val="en-US" w:eastAsia="en-US" w:bidi="ar-SA"/>
        </w:rPr>
        <w:t>Vanguard Realty Ltd. v. Royal &amp; Sun Alliance Insurance Company. of Canada,</w:t>
      </w:r>
      <w:r>
        <w:rPr>
          <w:rFonts w:ascii="arial" w:eastAsia="arial" w:hAnsi="arial" w:cs="arial"/>
          <w:color w:val="000000"/>
          <w:sz w:val="20"/>
          <w:lang w:val="en-US" w:eastAsia="en-US" w:bidi="ar-SA"/>
        </w:rPr>
        <w:t xml:space="preserve"> </w:t>
      </w:r>
      <w:hyperlink r:id="rId925" w:history="1">
        <w:r>
          <w:rPr>
            <w:rFonts w:ascii="arial" w:eastAsia="arial" w:hAnsi="arial" w:cs="arial"/>
            <w:i/>
            <w:color w:val="0077CC"/>
            <w:sz w:val="20"/>
            <w:u w:val="single"/>
            <w:shd w:val="clear" w:color="auto" w:fill="FFFFFF"/>
            <w:lang w:val="en-US" w:eastAsia="en-US" w:bidi="ar-SA"/>
          </w:rPr>
          <w:t>2002 BCSC 1426</w:t>
        </w:r>
      </w:hyperlink>
      <w:r>
        <w:rPr>
          <w:rFonts w:ascii="arial" w:eastAsia="arial" w:hAnsi="arial" w:cs="arial"/>
          <w:color w:val="000000"/>
          <w:sz w:val="20"/>
          <w:lang w:val="en-US" w:eastAsia="en-US" w:bidi="ar-SA"/>
        </w:rPr>
        <w:t xml:space="preserve"> at para. 29. The court in </w:t>
      </w:r>
      <w:r>
        <w:rPr>
          <w:rFonts w:ascii="arial" w:eastAsia="arial" w:hAnsi="arial" w:cs="arial"/>
          <w:i/>
          <w:color w:val="000000"/>
          <w:sz w:val="20"/>
          <w:lang w:val="en-US" w:eastAsia="en-US" w:bidi="ar-SA"/>
        </w:rPr>
        <w:t>Ford Motor</w:t>
      </w:r>
      <w:r>
        <w:rPr>
          <w:rFonts w:ascii="arial" w:eastAsia="arial" w:hAnsi="arial" w:cs="arial"/>
          <w:color w:val="000000"/>
          <w:sz w:val="20"/>
          <w:lang w:val="en-US" w:eastAsia="en-US" w:bidi="ar-SA"/>
        </w:rPr>
        <w:t xml:space="preserve"> said the following about the meaning of the words "direct" and "directly":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words "direct" and "directly" in that clause are intended, no doubt, to limit the scope of the coverage and thus the liability of the insurers. In my opinion, the words are redundant and have no effect except to emphasize that the cause of the loss or damage covered by the contracts must be a "proximate" cause. They serve only to show that the doctrine of proximate cause is to be applied to the constructions of the contracts.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xml:space="preserve">  ALJV also relies on </w:t>
      </w:r>
      <w:r>
        <w:rPr>
          <w:rFonts w:ascii="arial" w:eastAsia="arial" w:hAnsi="arial" w:cs="arial"/>
          <w:i/>
          <w:color w:val="000000"/>
          <w:sz w:val="20"/>
          <w:lang w:val="en-US" w:eastAsia="en-US" w:bidi="ar-SA"/>
        </w:rPr>
        <w:t>Filkow v. Gore Mutual Insurance Co.</w:t>
      </w:r>
      <w:r>
        <w:rPr>
          <w:rFonts w:ascii="arial" w:eastAsia="arial" w:hAnsi="arial" w:cs="arial"/>
          <w:color w:val="000000"/>
          <w:sz w:val="20"/>
          <w:lang w:val="en-US" w:eastAsia="en-US" w:bidi="ar-SA"/>
        </w:rPr>
        <w:t xml:space="preserve"> </w:t>
      </w:r>
      <w:hyperlink r:id="rId926" w:history="1">
        <w:r>
          <w:rPr>
            <w:rFonts w:ascii="arial" w:eastAsia="arial" w:hAnsi="arial" w:cs="arial"/>
            <w:i/>
            <w:color w:val="0077CC"/>
            <w:sz w:val="20"/>
            <w:u w:val="single"/>
            <w:shd w:val="clear" w:color="auto" w:fill="FFFFFF"/>
            <w:lang w:val="en-US" w:eastAsia="en-US" w:bidi="ar-SA"/>
          </w:rPr>
          <w:t>(1965), 55 D.L.R. (2d) 258</w:t>
        </w:r>
      </w:hyperlink>
      <w:r>
        <w:rPr>
          <w:rFonts w:ascii="arial" w:eastAsia="arial" w:hAnsi="arial" w:cs="arial"/>
          <w:color w:val="000000"/>
          <w:sz w:val="20"/>
          <w:lang w:val="en-US" w:eastAsia="en-US" w:bidi="ar-SA"/>
        </w:rPr>
        <w:t xml:space="preserve">, </w:t>
      </w:r>
      <w:hyperlink r:id="rId926" w:history="1">
        <w:r>
          <w:rPr>
            <w:rFonts w:ascii="arial" w:eastAsia="arial" w:hAnsi="arial" w:cs="arial"/>
            <w:i/>
            <w:color w:val="0077CC"/>
            <w:sz w:val="20"/>
            <w:u w:val="single"/>
            <w:shd w:val="clear" w:color="auto" w:fill="FFFFFF"/>
            <w:lang w:val="en-US" w:eastAsia="en-US" w:bidi="ar-SA"/>
          </w:rPr>
          <w:t>[1965] M.J. No. 71</w:t>
        </w:r>
      </w:hyperlink>
      <w:r>
        <w:rPr>
          <w:rFonts w:ascii="arial" w:eastAsia="arial" w:hAnsi="arial" w:cs="arial"/>
          <w:color w:val="000000"/>
          <w:sz w:val="20"/>
          <w:lang w:val="en-US" w:eastAsia="en-US" w:bidi="ar-SA"/>
        </w:rPr>
        <w:t xml:space="preserve"> (C.A.), in which the plaintiffs' dairy cattle were insured against "direct loss or damage" by fire. A fire destroyed the plaintiffs' barn but none of the cattle were lost in the fire. However, a number of the cattle subsequently contracted diseases and much of the herd were rendered unfit to produce milk and were therefore destroyed. The plaintiff sought to recover his net loss of the herd from the insurer.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The trial judge found in favour of the plaintiff and the Court of Appeal agreed. The evidence had established that the proximate cause of the problems suffered by the cattle was the fire and in the Court's view that was sufficient to bring the loss within the scope of coverage. Schultz J.A. said at 260 about the use of the word "direct" in the insuring clause: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of the opinion that the word as therein used has no significance. In all classes of insurance - marine, fire, accident, casualty - the rule is that the proximate cause alone can be considered. "Direct loss" does not restrict insurance to damage done on the premises. The word "direct", in qualifying "result", does not imply that there can be no step between the cause and the consequence. The cause of the loss has to be determined by common sense principles and by ascertaining what in substance is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238</w:t>
      </w:r>
      <w:r>
        <w:rPr>
          <w:rFonts w:ascii="arial" w:eastAsia="arial" w:hAnsi="arial" w:cs="arial"/>
          <w:color w:val="000000"/>
          <w:sz w:val="20"/>
          <w:lang w:val="en-US" w:eastAsia="en-US" w:bidi="ar-SA"/>
        </w:rPr>
        <w:t xml:space="preserve">  In my view, this issue falls to be decided by reference to the specific wording of clauses 3 and 7. Both clauses make it clear that the losses covered by the Policy are the </w:t>
      </w:r>
      <w:r>
        <w:rPr>
          <w:rFonts w:ascii="arial" w:eastAsia="arial" w:hAnsi="arial" w:cs="arial"/>
          <w:color w:val="000000"/>
          <w:sz w:val="20"/>
          <w:u w:val="single"/>
          <w:lang w:val="en-US" w:eastAsia="en-US" w:bidi="ar-SA"/>
        </w:rPr>
        <w:t>direct losses to the property insured</w:t>
      </w:r>
      <w:r>
        <w:rPr>
          <w:rFonts w:ascii="arial" w:eastAsia="arial" w:hAnsi="arial" w:cs="arial"/>
          <w:color w:val="000000"/>
          <w:sz w:val="20"/>
          <w:lang w:val="en-US" w:eastAsia="en-US" w:bidi="ar-SA"/>
        </w:rPr>
        <w:t>. The property insured in this case are the damaged slabs and the direct losses are those costs associated with the assessment and remediation of the slabs.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239</w:t>
      </w:r>
      <w:r>
        <w:rPr>
          <w:rFonts w:ascii="arial" w:eastAsia="arial" w:hAnsi="arial" w:cs="arial"/>
          <w:color w:val="000000"/>
          <w:sz w:val="20"/>
          <w:lang w:val="en-US" w:eastAsia="en-US" w:bidi="ar-SA"/>
        </w:rPr>
        <w:t>  I agree with the Insurers that the additional subcontractor costs are costs of a different nature and arise out of ALJV's contractual obligations owed to the subcontractors and as such fall outside the scope of coverage.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240</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Filkow</w:t>
      </w:r>
      <w:r>
        <w:rPr>
          <w:rFonts w:ascii="arial" w:eastAsia="arial" w:hAnsi="arial" w:cs="arial"/>
          <w:color w:val="000000"/>
          <w:sz w:val="20"/>
          <w:lang w:val="en-US" w:eastAsia="en-US" w:bidi="ar-SA"/>
        </w:rPr>
        <w:t xml:space="preserve"> case provides a useful analogy. The issue again in that case was whether the plaintiff could recover for the loss of his herd even though the cattle escaped the fire that destroyed his barn. The court was nonetheless able to find that the fire was the proximate cause of the damage or loss </w:t>
      </w:r>
      <w:r>
        <w:rPr>
          <w:rFonts w:ascii="arial" w:eastAsia="arial" w:hAnsi="arial" w:cs="arial"/>
          <w:color w:val="000000"/>
          <w:sz w:val="20"/>
          <w:u w:val="single"/>
          <w:lang w:val="en-US" w:eastAsia="en-US" w:bidi="ar-SA"/>
        </w:rPr>
        <w:t>to the insured property</w:t>
      </w:r>
      <w:r>
        <w:rPr>
          <w:rFonts w:ascii="arial" w:eastAsia="arial" w:hAnsi="arial" w:cs="arial"/>
          <w:color w:val="000000"/>
          <w:sz w:val="20"/>
          <w:lang w:val="en-US" w:eastAsia="en-US" w:bidi="ar-SA"/>
        </w:rPr>
        <w:t xml:space="preserve"> which was the cattle. In contrast, ALJV's claim under category 5 is not for direct losses to the insured property but rather for consequential losses in the form of payments to third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241</w:t>
      </w:r>
      <w:r>
        <w:rPr>
          <w:rFonts w:ascii="arial" w:eastAsia="arial" w:hAnsi="arial" w:cs="arial"/>
          <w:color w:val="000000"/>
          <w:sz w:val="20"/>
          <w:lang w:val="en-US" w:eastAsia="en-US" w:bidi="ar-SA"/>
        </w:rPr>
        <w:t>  Accordingly, I find that ALJV's claim for recovery of the category 5 costs cannot succeed. In light of this finding, it is not necessary to determine whether any of these costs are subject to the $1 million limit on expediting or extra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242</w:t>
      </w:r>
      <w:r>
        <w:rPr>
          <w:rFonts w:ascii="arial" w:eastAsia="arial" w:hAnsi="arial" w:cs="arial"/>
          <w:color w:val="000000"/>
          <w:sz w:val="20"/>
          <w:lang w:val="en-US" w:eastAsia="en-US" w:bidi="ar-SA"/>
        </w:rPr>
        <w:t>  The total claimed by ALJV under categories 1-6 is $11,200,346. Subtracting the $4,050,949 category 5 costs from this total results in the amount of $7,149,397, which ALJV is entitled to recover.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243</w:t>
      </w:r>
      <w:r>
        <w:rPr>
          <w:rFonts w:ascii="arial" w:eastAsia="arial" w:hAnsi="arial" w:cs="arial"/>
          <w:color w:val="000000"/>
          <w:sz w:val="20"/>
          <w:lang w:val="en-US" w:eastAsia="en-US" w:bidi="ar-SA"/>
        </w:rPr>
        <w:t>  The Insurers also take issue with ALJV's claims under categories 7 (site indirect costs), 8 (management fee) and 9 (profit margin).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244</w:t>
      </w:r>
      <w:r>
        <w:rPr>
          <w:rFonts w:ascii="arial" w:eastAsia="arial" w:hAnsi="arial" w:cs="arial"/>
          <w:color w:val="000000"/>
          <w:sz w:val="20"/>
          <w:lang w:val="en-US" w:eastAsia="en-US" w:bidi="ar-SA"/>
        </w:rPr>
        <w:t>  With respect to the site indirect costs, ALJV claims $1,590,449 which represents 14.2% of the direct costs incurred to repair the slabs. According to ALJV, this amount includes all of its additional "general condition" costs necessarily incurred in connection with the slab repairs, including the cost of ALJV management and staff, surveyors and technical staff, travel and accommodation costs, site trailer rental and office equipment, safety consumables and fencing, small tools, and utilities/electricity/water.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245</w:t>
      </w:r>
      <w:r>
        <w:rPr>
          <w:rFonts w:ascii="arial" w:eastAsia="arial" w:hAnsi="arial" w:cs="arial"/>
          <w:color w:val="000000"/>
          <w:sz w:val="20"/>
          <w:lang w:val="en-US" w:eastAsia="en-US" w:bidi="ar-SA"/>
        </w:rPr>
        <w:t>  Mr. White, ALJV's procurement manager for the Project, who is a quantity surveyor, testified that ALJV's initial bid included a percentage amount for general condition costs and that those costs were increased as a result of the slab repair. The 14.2% figure used is the same general condition costs percentage that was used for the initial bid. Mr. White noted that when final calculations on the project were done, ALJV's actual general condition costs were 16.4% of the total Project costs but ALJV has limited its claim for additional general condition costs to the original 14.2%.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246</w:t>
      </w:r>
      <w:r>
        <w:rPr>
          <w:rFonts w:ascii="arial" w:eastAsia="arial" w:hAnsi="arial" w:cs="arial"/>
          <w:color w:val="000000"/>
          <w:sz w:val="20"/>
          <w:lang w:val="en-US" w:eastAsia="en-US" w:bidi="ar-SA"/>
        </w:rPr>
        <w:t>  The Insurers accept that some amount of overhead cost is properly included in ALJV's claim but they say that the almost $1.5 million claimed is excessive and not supported on the evidence. Further, the Insurers submit that the amount claimed includes some "double dipping" in that it includes ALJV's direct labour costs for the repair work which is also accounted for in category 1, the costs directly incurred for the slab repairs.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247</w:t>
      </w:r>
      <w:r>
        <w:rPr>
          <w:rFonts w:ascii="arial" w:eastAsia="arial" w:hAnsi="arial" w:cs="arial"/>
          <w:color w:val="000000"/>
          <w:sz w:val="20"/>
          <w:lang w:val="en-US" w:eastAsia="en-US" w:bidi="ar-SA"/>
        </w:rPr>
        <w:t>  The "double dipping" point was put to Mr. White in cross examination and he could not say for certain whether in fact the labour costs were or were not included twice in ALJV's calculations. He made the point however, that the 14.2% overhead figure is a nominal figure in that it represents the expected overhead costs consistent with what was charged on the balance of the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248</w:t>
      </w:r>
      <w:r>
        <w:rPr>
          <w:rFonts w:ascii="arial" w:eastAsia="arial" w:hAnsi="arial" w:cs="arial"/>
          <w:color w:val="000000"/>
          <w:sz w:val="20"/>
          <w:lang w:val="en-US" w:eastAsia="en-US" w:bidi="ar-SA"/>
        </w:rPr>
        <w:t>  I accept that an amount for general condition or overhead costs is recoverable by ALJV and I accept further that the most accurate means of quantifying those costs is to apply the same percentage charge that formed the basis for ALJV's initial bid.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249</w:t>
      </w:r>
      <w:r>
        <w:rPr>
          <w:rFonts w:ascii="arial" w:eastAsia="arial" w:hAnsi="arial" w:cs="arial"/>
          <w:color w:val="000000"/>
          <w:sz w:val="20"/>
          <w:lang w:val="en-US" w:eastAsia="en-US" w:bidi="ar-SA"/>
        </w:rPr>
        <w:t>  However, the additional direct costs against which the 14.2% is charged must be reduced to eliminate the category 5 additional subcontractor costs that I have found not to be direct costs covered by the Policy. The total recoverable under this head is therefore $1,015,214 ($7,149,397 x 14.2%).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250</w:t>
      </w:r>
      <w:r>
        <w:rPr>
          <w:rFonts w:ascii="arial" w:eastAsia="arial" w:hAnsi="arial" w:cs="arial"/>
          <w:color w:val="000000"/>
          <w:sz w:val="20"/>
          <w:lang w:val="en-US" w:eastAsia="en-US" w:bidi="ar-SA"/>
        </w:rPr>
        <w:t>  With respect to category 8, ALJV describes these costs as head office overhead or management fees charged by the joint venture partners to provide off-site support for the Project. According to ALJV, these represent actual costs to the Project as ALJV paid over $10,000,000 in management fees to the joint venture partners over the course of the Project. It was Mr. White's evidence that the management fees were increased due to the slab repairs as those repairs necessitated increased involvement of senior executives.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251</w:t>
      </w:r>
      <w:r>
        <w:rPr>
          <w:rFonts w:ascii="arial" w:eastAsia="arial" w:hAnsi="arial" w:cs="arial"/>
          <w:color w:val="000000"/>
          <w:sz w:val="20"/>
          <w:lang w:val="en-US" w:eastAsia="en-US" w:bidi="ar-SA"/>
        </w:rPr>
        <w:t>  I agree with the Insurers that the amount claimed is excessive given the minimal and, at best, vague evidence about any increased involvement of senior executives. Certainly, in my view, that evidence fell short of establishing that an additional fee of approximately $550,000 is warranted. In any event, these claims for management fees are not direct costs or losses within the meaning of the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252</w:t>
      </w:r>
      <w:r>
        <w:rPr>
          <w:rFonts w:ascii="arial" w:eastAsia="arial" w:hAnsi="arial" w:cs="arial"/>
          <w:color w:val="000000"/>
          <w:sz w:val="20"/>
          <w:lang w:val="en-US" w:eastAsia="en-US" w:bidi="ar-SA"/>
        </w:rPr>
        <w:t>  I therefore decline to award the costs claimed under category 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253</w:t>
      </w:r>
      <w:r>
        <w:rPr>
          <w:rFonts w:ascii="arial" w:eastAsia="arial" w:hAnsi="arial" w:cs="arial"/>
          <w:color w:val="000000"/>
          <w:sz w:val="20"/>
          <w:lang w:val="en-US" w:eastAsia="en-US" w:bidi="ar-SA"/>
        </w:rPr>
        <w:t>  The final amount claimed under category 9 is for ALJV's profit margin on the additional repair costs, which it calculates to be about $1.6 million, or 12.6%. That is the percentage figure used to calculate ALJV's expected profit margin in its initial bid.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254</w:t>
      </w:r>
      <w:r>
        <w:rPr>
          <w:rFonts w:ascii="arial" w:eastAsia="arial" w:hAnsi="arial" w:cs="arial"/>
          <w:color w:val="000000"/>
          <w:sz w:val="20"/>
          <w:lang w:val="en-US" w:eastAsia="en-US" w:bidi="ar-SA"/>
        </w:rPr>
        <w:t>  ALJV points to clause 9(d) of the Policy as entitling it to recover its profit margin: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Margin of Profit: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Any contractor shall be entitled to receive his regular Margin of Profit on repairs or replacement, done by him, of any work which has been damaged or destroyed. This Margin of Profit shall not apply to materials and supplies which have not entered into construction at the time of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255</w:t>
      </w:r>
      <w:r>
        <w:rPr>
          <w:rFonts w:ascii="arial" w:eastAsia="arial" w:hAnsi="arial" w:cs="arial"/>
          <w:color w:val="000000"/>
          <w:sz w:val="20"/>
          <w:lang w:val="en-US" w:eastAsia="en-US" w:bidi="ar-SA"/>
        </w:rPr>
        <w:t>  In addition to being built into the Project bid, ALJV says that 12.6% is based on its experience on other similar projects.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256</w:t>
      </w:r>
      <w:r>
        <w:rPr>
          <w:rFonts w:ascii="arial" w:eastAsia="arial" w:hAnsi="arial" w:cs="arial"/>
          <w:color w:val="000000"/>
          <w:sz w:val="20"/>
          <w:lang w:val="en-US" w:eastAsia="en-US" w:bidi="ar-SA"/>
        </w:rPr>
        <w:t>  The Insurers submit that even if ALJV recovers the entire amount claimed in this action, its profit on the Project will come nowhere close to 12.6%. In fact, the profit realized will be 4.9% which the Insurers submit is a more appropriate figure to use. They note as well that on the Income Statement prepared in connection with the project, ALJV records a net loss of over $2.7 million.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257</w:t>
      </w:r>
      <w:r>
        <w:rPr>
          <w:rFonts w:ascii="arial" w:eastAsia="arial" w:hAnsi="arial" w:cs="arial"/>
          <w:color w:val="000000"/>
          <w:sz w:val="20"/>
          <w:lang w:val="en-US" w:eastAsia="en-US" w:bidi="ar-SA"/>
        </w:rPr>
        <w:t>  To my mind, the evidence does not go so far as to establish that 12.6% represents ALJV's "regular margin of profit". I think a more accurate figure is the profit ALJV actually realized on this specific Project and I accept the Insurers' figure of 4.9%. I also agree with the Insurers that the category 5 additional subcontractor costs should be excluded for the purpose of this calculation.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258</w:t>
      </w:r>
      <w:r>
        <w:rPr>
          <w:rFonts w:ascii="arial" w:eastAsia="arial" w:hAnsi="arial" w:cs="arial"/>
          <w:color w:val="000000"/>
          <w:sz w:val="20"/>
          <w:lang w:val="en-US" w:eastAsia="en-US" w:bidi="ar-SA"/>
        </w:rPr>
        <w:t>  ALJV is therefore entitled to recover its profit margin of $350,320 ($7,149,397 x 4.9%).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259</w:t>
      </w:r>
      <w:r>
        <w:rPr>
          <w:rFonts w:ascii="arial" w:eastAsia="arial" w:hAnsi="arial" w:cs="arial"/>
          <w:color w:val="000000"/>
          <w:sz w:val="20"/>
          <w:lang w:val="en-US" w:eastAsia="en-US" w:bidi="ar-SA"/>
        </w:rPr>
        <w:t>  In summary, ALJV is entitled to recover the following: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7319"/>
        <w:gridCol w:w="209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716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 Costs relating to the slab repair (Categories 1-4,6)</w:t>
            </w:r>
          </w:p>
        </w:tc>
        <w:tc>
          <w:tcPr>
            <w:tcW w:w="204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$7,149,397</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716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 Indirect Costs</w:t>
            </w:r>
          </w:p>
        </w:tc>
        <w:tc>
          <w:tcPr>
            <w:tcW w:w="204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$1,015,214</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716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 Profit Margin</w:t>
            </w:r>
          </w:p>
        </w:tc>
        <w:tc>
          <w:tcPr>
            <w:tcW w:w="204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$350,320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716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Total</w:t>
            </w:r>
          </w:p>
        </w:tc>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$8,514,931</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260</w:t>
      </w:r>
      <w:r>
        <w:rPr>
          <w:rFonts w:ascii="arial" w:eastAsia="arial" w:hAnsi="arial" w:cs="arial"/>
          <w:color w:val="000000"/>
          <w:sz w:val="20"/>
          <w:lang w:val="en-US" w:eastAsia="en-US" w:bidi="ar-SA"/>
        </w:rPr>
        <w:t>  If the parties cannot agree, they are at liberty to speak to the issue of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R.A. SKOLROOD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95" style="position:absolute;z-index:25188454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27"/>
          <w:headerReference w:type="default" r:id="rId928"/>
          <w:footerReference w:type="even" r:id="rId929"/>
          <w:footerReference w:type="default" r:id="rId930"/>
          <w:headerReference w:type="first" r:id="rId931"/>
          <w:footerReference w:type="first" r:id="rId93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33" w:history="1">
        <w:r>
          <w:rPr>
            <w:rFonts w:ascii="arial" w:eastAsia="arial" w:hAnsi="arial" w:cs="arial"/>
            <w:b/>
            <w:bCs/>
            <w:i/>
            <w:color w:val="0077CC"/>
            <w:kern w:val="32"/>
            <w:sz w:val="28"/>
            <w:szCs w:val="32"/>
            <w:u w:val="single"/>
            <w:shd w:val="clear" w:color="auto" w:fill="FFFFFF"/>
            <w:lang w:val="en-US" w:eastAsia="en-US" w:bidi="ar-SA"/>
          </w:rPr>
          <w:t>Advantage Helicopters Inc. v. Heliponents, Inc., [2014] B.C.J. No. 695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P.M. Willcock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23, November 26-30, 2012; February 18-22,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25-28, March 1, 4-8, 11-15, 19-22, September 4-6,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17,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S097339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[2014] B.C.J. No. 695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2014 BCSC 674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2014 CarswellBC 1068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242 A.C.W.S. (3d) 988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65 B.C.L.R. (5th) 155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Advantage Helicopters Inc. and Rilpa Enterprises Ltd., Plaintiffs, and Heliponents, Inc. and John Doe No. 1,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(242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96" style="position:absolute;z-index:2516940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30" w:name="Keywords_33"/>
      <w:bookmarkEnd w:id="230"/>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Causation — Causal connection — Action in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as a result of a helicopter failure allowed — Plaintiffs' helicopter crashed as a result of total loss of tail motor drive — Plaintiffs alleged that defendant was negligent in overhauling transmission by misplacing cork at the front end of the pinion causing oil starvation leading to failure of pinion — Plaintiffs established accident occurred as result of misplacement of cork in pinion when helicopter was serviced by defendant — Plaintiffs' theory was most consistent with failure sequence described by the pilot and was supported by physical evidence.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31" w:name="Case Summary_31"/>
            <w:bookmarkEnd w:id="23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 a result of a helicopter failure. A helicopter leased by the plaintiff had crashed after it experienced a sudden and total loss of tail rotor drive. The accident occurred in October 2007. The main transmission assembly of the helicopter had been overhauled by the defendant in May 2007. The plaintiffs alleged the accident occurred as a result of the negligent overhaul of the transmission which resulted in starvation of oil supply to bearings in the quill assembly of the transmission, failure of the duplex bearing set, seizure of that portion of the transmission, and the fracture of the tail rotor driveshaft. The plaintiffs' expert evidence concluded that the cork was misplaced at the front end of the pinion at the time of the defendant's overhaul, preventing oil from travelling down the centre of the pinion, obstructing the principal source of oil to the duplex bearing, causing oil starvation, the overheating and failure of the duplex bearing and, eventually, the failure of the pinion itself. The defendant argued the evidence was inconsistent with the plaintiffs' theory of causation and, as a result of inadequate investigation of the accident, it was impossible to establish the cause of the loss of tail rotor control and the crash.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32" w:name="Holdings of Court_27"/>
            <w:bookmarkEnd w:id="232"/>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plaintiffs had established that the accident occurred as result of the misplacement of the cork in the shaft of the pinion of the tail rotor drive quill when the helicopter was serviced by the defendant. It was acknowledged that this placement could only have occurred as a result of a breach of the standard of care owed by the defendant to the plaintiffs. The plaintiffs' theory of causation was most consistent with the failure sequence described by the pilot. That theory was also supported by physical evidence, particularly the position of the cork, the damage to the duplex bearing, the indication that the bearing became welded to the pinion, and the nature of the damage to the pinion. The theory was not inconsistent with any significant physical evidence and it occurred in a fashion that bore some significant similarity to a previous incident arising from the same cause. The previous incident involving another helicopter with similar features indicated that placement of a cork in the position as found in the present case could lead to overheating of the bearing and the failure, bearing the hallmarks seen in this accident. It was unlikely that the cork moved forward in the pinion while oil was being forced under pressure against its forward face as suggested by the defendant. There was evidence of the accumulation of sufficient heat on the surfaces of the duplex bearing to cause erosion of and damage to the balls and to cause the duplex bearing to cease functioning as a bearing. There was evidence of heat damage to the cork and to the races and balls in the duplex bearing as well as to the steel pinion itself. Mechanical forces alone or primarily mechanical forces exerted by the rotation of a broken section of the drive shaft unlikely caused the significant distortion to the steel of the pinion if the pinion had not been weakened and deformed by heat before the fracture of the tail rotor drive shaft.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33" w:name="Counsel_34"/>
      <w:bookmarkEnd w:id="23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97" style="position:absolute;z-index:2517452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Christopher Harvey, Q.C., Brian C. Poston.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R.J. Randall Hordo, Q.C., Daniel Fetterly.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34" w:name="Judgment_34"/>
      <w:bookmarkEnd w:id="234"/>
      <w:r>
        <w:pict>
          <v:line id="_x0000_s1198" style="position:absolute;z-index:25179648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r>
        <w:rPr>
          <w:rFonts w:ascii="arial" w:eastAsia="arial" w:hAnsi="arial" w:cs="arial"/>
          <w:color w:val="000000"/>
          <w:sz w:val="20"/>
          <w:lang w:val="en-US" w:eastAsia="en-US" w:bidi="ar-SA"/>
        </w:rPr>
        <w: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Brief Description of Component Parts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Evidence With Respect to the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Evidence Collected at the Scene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Inspection at Salmon Arm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Later Post-Accident Examination of Parts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Events Following the Crash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Overhaul Completed by Heliponents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Plaintiffs' Evidence Re: Maintenance Procedures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PLAINTIFFS' EXPERT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George Heath</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David Rupert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Damage to the Duplex Bearing and Pinion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Damage to the Coupling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Installation of the Cork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Failure Sequence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Overhaul Procedure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Time in Service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Adequacy of Investigation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DEFENDANTS' EXPERT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Joseph Sislo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J.W. Morris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Damage to the Duplex Bearing and Pinion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Damage to the Coupling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Installation of the Cork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Failure Sequence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Time in Service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Adequacy of Investigation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RESPONSIVE OPINION OF DR. ELVIS CEPU</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Damage to the Duplex Bearing and Pinion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Damage to the Coupling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Installation of the Cork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Failure Sequence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Time in Service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ANALYSIS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Spoliation of Evidence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Quality of the Overhaul.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Lay Witnesses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Expert Evidence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Pre-Accident Location of the Cork in the Pinion.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Failure Sequence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Damage to the Duplex Bearing and Pinion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Criticism of the Plaintiffs' Theory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Summary</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35" w:name="P.M. WILLCOCK J."/>
            <w:bookmarkEnd w:id="235"/>
            <w:r>
              <w:rPr>
                <w:rFonts w:ascii="arial" w:eastAsia="arial" w:hAnsi="arial" w:cs="arial"/>
                <w:b/>
                <w:color w:val="000000"/>
                <w:sz w:val="30"/>
                <w:lang w:val="en-US" w:eastAsia="en-US" w:bidi="ar-SA"/>
              </w:rPr>
              <w:t>P.M. WILLCOCK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October 6, 2007, a 1964 Bell 204B helicopter owned by Rilpa Enterprises ("Rilpa") and leased by Advantage Helicopters Inc. ("Advantage"), experienced a sudden and total loss of tail rotor drive and crashed while being used to conduct heli-logging operations near Kaslo, British Columbia. The main transmission assembly of the helicopter had been overhauled by the defendant, Heliponents, Inc. ("Heliponents") at its Mesa, Arizona facility in May 2007. The plaintiffs allege the accident occurred as a result of the negligent overhaul of the transmission, which resulted in starvation of oil supply to bearings in the quill assembly of the transmission, failure of the duplex bearing set, seizure of that portion of the transmission, and the fracture of the tail rotor driveshaft.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 says the evidence is inconsistent with the plaintiffs' theory of causation and, as a result of inadequate investigation of the accident, it is impossible to establish the cause of the loss of tail rotor control and the crash.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pilot of the helicopter was injured, but fortunately survived the crash. A claim arising out of his personal injury has been settled elsewhere. The parties have agreed to the quantum of damages, and only liability is in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Brief Description of Component Parts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Appended to these reasons for judgment as Appendix "A" are figures 1 to 4 from the December 6, 2011, report of Dr. J.W. Morris, an expert witness called to testify at the trial. Figure 1 illustrates the location of the tail rotor drive quill in a Bell 204B helicopter. The drive quill is attached to the helicopter's main transmission. The transmission is at the base of the mast and at the forward end of the tail rotor drive shaft. The function of the tail rotor drive quill is to transmit drive power from the base of the transmission, via the drive shaft, to the tail rotor. The function of the tail rotor is to limit and prevent rotation of the helicopter, which is a consequence of the force generated by the rotation of the main rotor. Figure 2 depicts the parts of the tail rotor assembly from the transmission to the tail rotor. The tail rotor drive quill assembly is at the forward end of the tail rotor assembly. Figure 3 is a schematic drawing of the tail rotor drive quill. At the forward end of the drive quill there is a beveled gear which rotates a hollow steel pinion, running through the centre of the assembly, as it is driven by the gears in the transmission. The rotation of the pinion is transmitted through a splined coupling at the aft or rear end of the tail rotor drive quill and drives the rotation of the sections of the drive shaft aft of the quill assembly. From the compartment in which the quill assembly is located (referred to by one of the expert witnesses, Dr. Morris as the fan bay, which I will refer to as the transmission bay) the drive shaft passes through an aperture in a fire wall, then, contained in a titanium tunnel, through the engine bay, and then to the rear of the helicopter.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pinion is secured in the quill assembly by three bearings. At the forward end of the pinion there is a roller bearing. Aft of the roller bearing, at the middle of the pinion, there is a conjoined set of ball bearings, one aft and one forward, referred to as the duplex bearing set. The balls in each of the bearings in the duplex set should spin freely between the concave surface track or "race" of the outer half of the bearing (the outer race) and the concave surface of the inner half of the bearing (the inner race) while contained in a cage. The inner races of the duplex bearing should spin with the pinion, onto which they are affixed by pressure.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When the assembly is functioning normally the duplex bearing is lubricated by oil from two sources. Some oil flows to the duplex bearing through the roller bearing. Some oil flows through the hollow center of the pinion and into the duplex bearing via a small hole in the pinion, through which oil is moved by centrifugal force. Oil is sprayed into the centre of the pinion by a jet in the transmission. At the aft end of the hollow core of the pinion there should be a cork which seals the system and prevents leakage of oil through the end of the drive quill assembly. Figure 4 is a detailed depiction of the parts of the tail rotor drive quill. For reasons set out below, figure 4 does not depict the cork or its appropriate location in the 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plaintiffs say the cork was misplaced at the front end of the pinion at the time of the Heliponents overhaul, preventing oil from travelling down the centre of the pinion, obstructing the principal source of oil to the duplex bearing, causing oil starvation, the overheating and failure of the duplex bearing and, eventually, the failure of the pinion itself.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Also appended to these reasons for judgment as Appendix "B" are figures 20 and 21 from the February 24, 2010 investigation report of David Rupert, an expert retained by the plaintiffs. Those figures illustrate the effect of incorrect cork placement on the flow of oil through the tail rotor drive quill.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Evidence With Respect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At the time of the accident, the helicopter was being flown by Ron Batty, an experienced pilot who had flown Bell medium line helicopters similar to that involved in the accident for approximately 3,000 hours. He says the aircraft was in very good condition and apparently well-maintained. He had started flying the helicopter at the Kaslo job site in September 2007 and had flown it without incident for approximately 200 hours since then. On October 6, 2007, he started working at around 7:30 a.m., flying the helicopter from the base of the work site up to a cut location on the hill, where he would pick up a log with the helicopter, fly back down to the log landing area, drop the log and then repeat the cycle or "turn." He was using a 200-foot line equipped with a grapple hook and was lifting logs approximately 40 feet in length. The average lift per cycle was about 3,000 pounds.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At the end of the fourth turn of the morning, as the helicopter was using its maximum power, hovering at a point where it was about to unload a log above the landing zone, Mr. Batty smelled an unfamiliar burning smell, like a burning pot on a stove. He had not noted any warning lights illuminated in the cockpit. The smell grew stronger quickly. He released the log and began to steer toward the service landing site when he began to lose tail rotor control or "authority." The airframe started to rotate aggressively. Mr. Batty entered auto-rotation by putting the collective, or pitch, of the blades down and rolling the throttle off so that no engine power was being applied to the main rotor of the helicopter. This was intended to stop the spin of the helicopter and to permit the helicopter to fall, causing upcoming air to drive the rotor. The fall was initiated from a height of about 200 feet, too little distance to successfully bring a helicopter down under auto-rotation. From the point at which the log was dropped, the helicopter was capable of travelling only a very short distance over land. Mr. Batty had little choice but to find the closest acceptable landing location, a flat spot near the loading site at the side of a logging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Helicopter pilots are trained to increase the collective shortly before impact so as to increase air resistance and create some lift, or cushion. Mr. Batty cannot recall doing so; he has no specific recollection of the last seconds of his fall or the landing. With what must have been great skill, he brought the helicopter down in a flat landing zone and managed to keep the rotor blades clear of obstacles until at or about the point of impact, at which time the blades appear to have struck an object on the right side of the aircraft, fortunately exerting backward force on the engine and main rotor, pressing it downward behind the cabin, crushing the cowling above the engine bay. The landing was hard and the helicopter was substantially damaged, but Mr. Batty survived and was able to walk into court to testify and provide us with the only account of the malfunction and the crash.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Batty acknowledged that he did not have a clear memory of the whole sequence of events after the airframe began rotating aggressively, but his evidence with respect to events prior to that point is clear and apparently unaffected by subsequent events, including his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Some of Mr. Batty's evidence was recorded immediately. The first record of the accident refers to a burning smell that became quickly more noticeable followed, within seconds, by the helicopter beginning to spin. It was not suggested to Mr. Batty in cross-examination that his recollection of this sequence was mistaken. He was questioned with respect to whether there was any loss of power before he lost tail rotor authority. He acknowledged that he had no recollection of looking at his gauges at the moment he lost tail rotor authority, but given that he was hovering, he assumed that there was no loss of power to the main rotor before the helicopter began to spin.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Batty accepted the proposition that the maximum gross weight limit for the Bell 204 is 9500 pounds. The helicopter itself weighed 5000 pounds. He usually flew with 1000 pounds of fuel and refueled when the fuel load dropped below 200 pounds. The longline and the grapple hook used in this case weighed 180 pounds. A pilot weight of 180 pounds had to be considered. The helicopter, longline, hook and pilot had a total weight of 5300 pounds. After making allowance for fuel, the maximum external load on the first flight or cycle was 3200 pounds. When the weight of fuel onboard fell to 300 pounds, the maximum external load was 3900 pounds. Mr. Batty says he began the cycle assuming he could lift 2500 pounds and that on his last cycle his limit was about 4000 pounds. In order to stay within those limits he would reject a 4000 pound log on the first cycle.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Batty was shown his flight logs. These indicate that he occasionally lifted logs weighing 4200 pounds. Mr. Partridge, the president of Advantage, a qualified aircraft maintenance engineer, acknowledged that a load of 4200 pounds would cause the helicopter to exceed its maximum gross lift capacity.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Evidence Collected at the Scene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Partridge testified for Advantage on examination for discovery and at trial. He was at the scene at the time the helicopter crashed. He took Mr. Batty to the hospital, about 40 minutes away. He contacted Ken Mizera, Rilpa's Chief Executive Officer, and returned to the accident scene with him on the following day, October 7, 2007. Mr. Mizera has been a qualified aircraft maintenance engineer for 35 years. He testified as a representative of Rilpa on examination for discovery and at trial. He is familiar with the characteristics of Bell 204 helicopters and with procedures for their maintenance, having bought them and refurbished them in the past.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Mizera performed what he described as a cursory examination of the helicopter at the scene. When he opened the engine cowls to examine the transmission bay, a segment of the tail rotor drive shaft and the coupling were lying on the deck. The tail rotor drive quill portion of the transmission was burnt and discolored. The remaining tail rotor drive shaft was in pieces in the adjacent engine bay. He concluded the quill had been extensively overheated, had become malleable and twisted off. He thought that damage to the quill was pre-accident damage, because the quill had clearly overheated while functioning; the damage to the drive shaft and tunnel to the rear of the quill assembly, on the other hand, was considered to be post-accident damage (in the sense that it was a consequence of the failure of the quill). Mr. Mizera probably expressed that opinion to Mr. Partridge at the scene and, later, to Mr. Ward, an aviation insurance adjuster in Salmon 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Mizera and Mr. Partridge both thought the accident had occurred because of a problem with the tail rotor drive quill. For this reason, they took relatively few parts of the helicopter for further examination and, from an early date, their inquiry was focussed on what was thought to be the obvious cause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Partridge took numerous photographs at the accident scene, some of which have been examined by experts and have become exhibits.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Inspection at Salmon 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helicopter was loaded on a flatbed truck and arrangements were made to take it to the Advantage hanger in Salmon Arm on the following day, October 8, 2007. It was Mr. Partridge's evidence that all of the pieces of the broken tail rotor drive shaft, with the possible exception of a small piece of the drive shaft that can be seen in the photographs of the transmission bay of the helicopter taken at the scene of the accident, were taken to the Advantage hanger and are shown in photographs that depict the equipment on the hangar floor.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quill assembly was disassembled and examined in Salmon Arm by Mr. Mizera, Mr. Partridge, and Mr. Ward, who met them there. Mr. Mizera thought it was glaringly obvious what had caused the accident. When the quill assembly is manufactured or overhauled, a cork plug must be inserted in the hollow shaft of the pinion. The location of that plug is important; it must be seated at the aft end of the quill assembly so as to permit oil sprayed from the jet in the transmission to travel through the hollow centre of the pinion, and as far as the small hole at the aft end of the pinion through which oil should flow into the duplex bearing. After the accident, the cork plug was found to be at the forward end of the pinion gear, about three inches forward of the position that it should have occupied; this would have prevented the circulation of oil through the pinion to the duplex bearing. Noting the plug at that location, Messrs. Mizera and Partridge, both of whom are familiar with helicopter engines and transmissions, concluded that the duplex bearing had been starved of oil, leading great heat to accumulate at the aft end of the quill, causing the pinion to deform and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All parts taken from the accident scene, other than a few parts retained for examination by experts, including most of those examined at the Advantage hanger, were later shipped to the Rilpa facility in Calgary. The main rotor blades were disposed of. The main rotor hub and all of the drivetrain went to Rilpa. Some of these parts cannot now be located or accounted for. Mr. Mizera was examined at trial with respect to the late and piecemeal location and production of parts for examination by the defendant. He confirmed that at his May 2011 examination for discovery he had been asked to locate additional parts from the helicopter, in particular, pieces of the tail rotor drive shaft and the drive shaft tunnel depicted in photographs taken at the accident scene. In November 2011, Mr. Mizera found a missing part depicted in photographs taken at the Advantage hanger - a yellow main rotor drive shaft adapter - but he could not find the parts of the main input drive shaft and the tail rotor drive shaft depicted in the photographs marked as Exhibit 6 at trial. There was poor control of the parts. Following the October 2007 inspection Mr. Mizera was uncertain whether parts would be taken from Salmon Arm by the insurance adjuster or kept by Advantage and there is an incomplete record of the receipt and disposal of those parts that were ultimately sent to Rilpa.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Partridge testified that on May 26, 2011, following several demands and the production of two lists of documents, Advantage produced, for the first time, many of the photographs taken at the accident scene. In late 2011 additional photographs were produced. These appear to have been photographs recorded on a USB stick provided to counsel shortly before the November 1, 2011, examination for discovery.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Later Post-Accident Examination of Parts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 few critical parts, the failure of which were thought to have caused the accident, were forwarded to R.J. Waldron &amp; Co., where they were examined by David Rupert, an expert who was called to testify at trial, and George Heath. Those parts included the tail rotor drive quill assembly and a section of the forward tail rotor drive shaft. Numerous other parts of the tail rotor drive mechanism were photographed but not retained.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Experts for all the parties have subsequently examined the retained parts in detail, have conducted destructive testing, and have expressed opinions on the damage depicted in photographs without having the opportunity to examine all parts of the helicopter and, in particular, without having the opportunity to examine all portions of the drive train of the tail rotor.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Events Following the Crash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After the accident, Mr. Mizera telephoned Martin Doss, a principal of Heliponents, to advise him of the crash. He advised Mr. Doss it was his opinion that the transmission had failed due to incorrect placement of the cork in the tail rotor drive quill assembly. He sent an e-mail to Heliponents on October 26, 2007, with pictures of the accident scene, depicting how the transmission looked when it was removed from the helicopter. At about the same time, the parts of the quill assembly were being sent to Vancouver. Mr. Mizera is uncertain whether he thought they were being sent to RJ Waldron &amp; Co. or for examination by the Transportation Safety Board of Canada. In any event, they were being removed from Rilpa's possession and Mr. Mizera did not invite Heliponents to examine the parts before they were sent to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On January 9, 2008, Heliponents sent an e-mail to Bell Helicopter, notifying Bell that Heliponent's copy of the </w:t>
      </w:r>
      <w:r>
        <w:rPr>
          <w:rFonts w:ascii="arial" w:eastAsia="arial" w:hAnsi="arial" w:cs="arial"/>
          <w:i/>
          <w:color w:val="000000"/>
          <w:sz w:val="20"/>
          <w:lang w:val="en-US" w:eastAsia="en-US" w:bidi="ar-SA"/>
        </w:rPr>
        <w:t>Bell Maintenance and Overhaul Manual</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Manual</w:t>
      </w:r>
      <w:r>
        <w:rPr>
          <w:rFonts w:ascii="arial" w:eastAsia="arial" w:hAnsi="arial" w:cs="arial"/>
          <w:color w:val="000000"/>
          <w:sz w:val="20"/>
          <w:lang w:val="en-US" w:eastAsia="en-US" w:bidi="ar-SA"/>
        </w:rPr>
        <w:t>") did not provide directions for the appropriate installation of a cork in the quill assembly. On January 10, 2008, Bell Helicopter advised Heliponents that the assembly should have a cork installed, and provided its part number with instructions for its installation.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Rilpa eventually rebuilt the 204B helicopter. There is an agreement between counsel that the value of the claim for damages in relation to the helicopter is $1.175 million. Counsel advised the court that they would come to an agreement with respect to the calculation of pre-judgment interest on the claim. The plaintiffs asked for, and have received, leave to address that matter or any other issue in relation to the quantum of damages they believe ought to be included in a judgment, in the event the plaintiffs succeed.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Overhaul Completed by Heliponents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Heliponents' records establish that the overhaul of the Advantage transmission was performed by its employees Russell Mayhugh and Patrick Felice.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Mayhugh was examined for discovery in Mesa, Arizona, on April 13, 2011, and testified at trial. Martin Doss, Heliponents' president, was examined for discovery on April 14, 2011. Excerpts from testimony at examinations for discovery were read into the record. Mr. Felice is no longer employed by Heliponents and did not testify.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overhaul of the transmission is recorded on a number of documents produced by Heliponents, including:</w:t>
      </w:r>
      <w:r>
        <w:rPr>
          <w:rFonts w:ascii="arial" w:eastAsia="arial" w:hAnsi="arial" w:cs="arial"/>
          <w:sz w:val="20"/>
          <w:lang w:val="en-US" w:eastAsia="en-US" w:bidi="ar-SA"/>
        </w:rPr>
        <w:cr/>
      </w:r>
    </w:p>
    <w:p>
      <w:pPr>
        <w:numPr>
          <w:numId w:val="29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magnetic particle and fluorescent penetrant inspection sheet dated April 24 and April 25, 2007;</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labor instructions/inspections record dated May 16, 2007</w:t>
      </w:r>
    </w:p>
    <w:p>
      <w:pPr>
        <w:numPr>
          <w:numId w:val="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Bell 212 transmission assembly overhaul kit record;</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Bell 212 main transmission assembly overhaul worksheet;</w:t>
      </w:r>
    </w:p>
    <w:p>
      <w:pPr>
        <w:numPr>
          <w:numId w:val="5"/>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traveler form; and</w:t>
      </w:r>
    </w:p>
    <w:p>
      <w:pPr>
        <w:numPr>
          <w:numId w:val="6"/>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 authorized release certificate.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magnetic particle and fluorescent penetrant inspection sheet was completed by Mr. Mayhugh. It is a record of the non-destructive testing of components before the reassembly of the transmission. That work appears to have been performed on April 24 and 25,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labor instructions/inspections sheet is a document that lists 14 steps to be performed in the course of a transmission overhaul. It bears the initials of Mr. Mayhugh beside each step in the process and appears to have been signed by Mr. Felice on May 16, 2007. Although this document appears to describe a step-by-step process and requires initials and the stamp of an inspector at the conclusion of each step, it was Mr. Mayhugh's evidence that this document was initialed at the conclusion of the overhaul of the transmission, and was not completed after each step in sequence.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transmission assembly overhaul kit document is a list of items assembled by Heliponents for the purpose of performing a transmission assembly overhaul. The kit used in this case was prepared for the overhaul of a Bell 212 transmission. Mr. Mayhugh was unable to say why a 212 transmission assembly overhaul kit was used for the overhaul of the transmission of a Bell 204 helicopter. He could not say whether the kit typically includes instructions on how to assemble or install components, including corks. The list of the contents of the overhaul kit used in this case includes four corks, bearing parts numbers 7A, 18A, 22A and 15A.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form of worksheet completed in this case, similarly, was for the overhaul of the transmission of a Bell 212 helicopter, rather than a 204 helicopter. It bears the initials of Mr. Mayhugh and Mr. Felice beside each step in the process. Like the labor instructions/inspections record, this is a document that appears to be intended to be completed as the overhaul of the transmission progresses. Pages 6 and 7, which include a record of the first 14 steps to be taken during the buildup of the transmission, are missing from the document produced. The document bears a certification by Mr. Felice, as inspector, dated May 17 2007 that "The component described on this form has been inspected and assembled in accordance with Bell helicopter 212 component repair and overhaul manual".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 Mayhugh's evidence with respect to the timing of the completion of this document was inconsistent. At trial he testified that it was his practice to initial the worksheet as work progressed. He had testified at his examination for discovery that this sheet was probably completed when the transmission overhaul was finished. Ultimately, at trial, he agreed that he could not reliably say when the sections of this worksheet were completed and initialed.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traveler form is a document that should stay with the transmission during the course of the overhaul. The form appears to initially have been opened on November 27, 2006. It bears the initials of Mr. Mayhugh, and Mr. Felice. Mr. Mayhugh appears to have initialed the form on April 25, 2007 when the non-destructive inspection was completed, as documented by the magnetic particle and fluorescent penetrant inspection sheet. All other initials on the form, including initials meant to confirm the incoming inspection, preliminary maintenance inspection, disassembly inspection and final inspection appear to have been written on the form by Mr. Felice on May 17,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The authorized release certificate was completed by Patrick Felice on May 16, 2007. It confirms the overhaul had been completed in accordance with the directions in the April 7, 2006 revision of the </w:t>
      </w:r>
      <w:r>
        <w:rPr>
          <w:rFonts w:ascii="arial" w:eastAsia="arial" w:hAnsi="arial" w:cs="arial"/>
          <w:i/>
          <w:color w:val="000000"/>
          <w:sz w:val="20"/>
          <w:lang w:val="en-US" w:eastAsia="en-US" w:bidi="ar-SA"/>
        </w:rPr>
        <w:t>Manual</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Mr. Mayhugh was first employed at Heliponents in the component overhaul shop from March 1995 to March 1998. During that period he did not participate in the overhaul of the transmission of a Bell helicopter. After leaving Heliponents he worked with other employers as an airplane mechanic for a number of years until he was laid off. He returned to Heliponents as a mechanic on February 12, 2007. In the interim, from March 1998 to February 2007, he did not work on helicopters. Mr. Mayhugh's only training in the performance of transmission overhauls was on-the-job training. The work he did on the Advantage transmission may have been the first transmission overhaul he did at Heliponents. When he was examined for discovery, he was unable to say whether he had overhauled the transmission of any Bell 204 helicopter other than the Advantage transmission.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An assessment of Mr. Mayhugh's work and training prepared by his supervisor, Chad Barta on December 3, 2007 includes a note: "Employee needs to have manufacturer training in overhaul of components [and] Part 145 training." That is a reference to the American Federal Aviation Regulation containing the rules a certified repair station must follow.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Mr. Mayhugh confirmed, by looking at the documents, that he was the employee primarily responsible for the overhaul of the Advantage transmission, but he does not remember working on the job. Although Heliponents certified the work was done in accordance with the </w:t>
      </w:r>
      <w:r>
        <w:rPr>
          <w:rFonts w:ascii="arial" w:eastAsia="arial" w:hAnsi="arial" w:cs="arial"/>
          <w:i/>
          <w:color w:val="000000"/>
          <w:sz w:val="20"/>
          <w:lang w:val="en-US" w:eastAsia="en-US" w:bidi="ar-SA"/>
        </w:rPr>
        <w:t>Manual</w:t>
      </w:r>
      <w:r>
        <w:rPr>
          <w:rFonts w:ascii="arial" w:eastAsia="arial" w:hAnsi="arial" w:cs="arial"/>
          <w:color w:val="000000"/>
          <w:sz w:val="20"/>
          <w:lang w:val="en-US" w:eastAsia="en-US" w:bidi="ar-SA"/>
        </w:rPr>
        <w:t xml:space="preserve"> he acknowledged that the maintenance and overhaul instructions require work to be completed in accordance with the </w:t>
      </w:r>
      <w:r>
        <w:rPr>
          <w:rFonts w:ascii="arial" w:eastAsia="arial" w:hAnsi="arial" w:cs="arial"/>
          <w:i/>
          <w:color w:val="000000"/>
          <w:sz w:val="20"/>
          <w:lang w:val="en-US" w:eastAsia="en-US" w:bidi="ar-SA"/>
        </w:rPr>
        <w:t>Manual</w:t>
      </w:r>
      <w:r>
        <w:rPr>
          <w:rFonts w:ascii="arial" w:eastAsia="arial" w:hAnsi="arial" w:cs="arial"/>
          <w:color w:val="000000"/>
          <w:sz w:val="20"/>
          <w:lang w:val="en-US" w:eastAsia="en-US" w:bidi="ar-SA"/>
        </w:rPr>
        <w:t xml:space="preserve"> as supplemented or modified by alert service bulletins and other directions issued by Bell helicopter. He is not sure he knew of that requirement at the time he performed maintenance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Mr. Mayhugh is not able to say whether he followed the </w:t>
      </w:r>
      <w:r>
        <w:rPr>
          <w:rFonts w:ascii="arial" w:eastAsia="arial" w:hAnsi="arial" w:cs="arial"/>
          <w:i/>
          <w:color w:val="000000"/>
          <w:sz w:val="20"/>
          <w:lang w:val="en-US" w:eastAsia="en-US" w:bidi="ar-SA"/>
        </w:rPr>
        <w:t>Manual</w:t>
      </w:r>
      <w:r>
        <w:rPr>
          <w:rFonts w:ascii="arial" w:eastAsia="arial" w:hAnsi="arial" w:cs="arial"/>
          <w:color w:val="000000"/>
          <w:sz w:val="20"/>
          <w:lang w:val="en-US" w:eastAsia="en-US" w:bidi="ar-SA"/>
        </w:rPr>
        <w:t xml:space="preserve"> and supplements when he did this work. He agreed that it is possible he did not follow it item by item. There must have been some departure from the </w:t>
      </w:r>
      <w:r>
        <w:rPr>
          <w:rFonts w:ascii="arial" w:eastAsia="arial" w:hAnsi="arial" w:cs="arial"/>
          <w:i/>
          <w:color w:val="000000"/>
          <w:sz w:val="20"/>
          <w:lang w:val="en-US" w:eastAsia="en-US" w:bidi="ar-SA"/>
        </w:rPr>
        <w:t>Manual</w:t>
      </w:r>
      <w:r>
        <w:rPr>
          <w:rFonts w:ascii="arial" w:eastAsia="arial" w:hAnsi="arial" w:cs="arial"/>
          <w:color w:val="000000"/>
          <w:sz w:val="20"/>
          <w:lang w:val="en-US" w:eastAsia="en-US" w:bidi="ar-SA"/>
        </w:rPr>
        <w:t xml:space="preserve"> because the parts list at figure 4-41 of the April 7, 2006, does not include a cork. He agreed that at least in that respect it was inaccurate to certify that all the work in this case was done in accordance with the </w:t>
      </w:r>
      <w:r>
        <w:rPr>
          <w:rFonts w:ascii="arial" w:eastAsia="arial" w:hAnsi="arial" w:cs="arial"/>
          <w:i/>
          <w:color w:val="000000"/>
          <w:sz w:val="20"/>
          <w:lang w:val="en-US" w:eastAsia="en-US" w:bidi="ar-SA"/>
        </w:rPr>
        <w:t>Manual</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worksheet that he completed for the overhaul of this transmission was a worksheet for the overhaul the Bell 212 transmission, on which that number was crossed out and 204 was inserted in its place. Mr. Mayhugh does not know if Heliponents had an overhaul worksheet for a Bell 204 helicopter.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Mr. Mayhugh has no specific recollection of installing a cork in the pinion of the Advantage transmission. When he was asked if it was possible, given his experience in 2007 that he could have installed the cork in the wrong end of the pinion, he said, "I do not know." When he was asked if he could say one way or the other, he answered, "I can't say one way or the 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He cannot remember whether he used shellac or epoxy to cover and seal the cork. At trial he said that it continued to be his practice to insert a plug from the forward, beveled end of the pinion, despite the April 30, 2008, revision of the </w:t>
      </w:r>
      <w:r>
        <w:rPr>
          <w:rFonts w:ascii="arial" w:eastAsia="arial" w:hAnsi="arial" w:cs="arial"/>
          <w:i/>
          <w:color w:val="000000"/>
          <w:sz w:val="20"/>
          <w:lang w:val="en-US" w:eastAsia="en-US" w:bidi="ar-SA"/>
        </w:rPr>
        <w:t>Manual</w:t>
      </w:r>
      <w:r>
        <w:rPr>
          <w:rFonts w:ascii="arial" w:eastAsia="arial" w:hAnsi="arial" w:cs="arial"/>
          <w:color w:val="000000"/>
          <w:sz w:val="20"/>
          <w:lang w:val="en-US" w:eastAsia="en-US" w:bidi="ar-SA"/>
        </w:rPr>
        <w:t xml:space="preserve"> that expressly directs that the cork plug should be inserted in the rear, splined end of the pinion gear shaft. He testified that it was his practice, after inserting a cork, to clean the inside surface of the bore of the pinion using his finger and acetone, or another cleaning solution, but he agreed that he could not get his finger into the bore so far as the small hole through which oil is designed to travel to the duplex bearing.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He is now aware that the April 30, 2008 revision of the</w:t>
      </w:r>
      <w:r>
        <w:rPr>
          <w:rFonts w:ascii="arial" w:eastAsia="arial" w:hAnsi="arial" w:cs="arial"/>
          <w:i/>
          <w:color w:val="000000"/>
          <w:sz w:val="20"/>
          <w:lang w:val="en-US" w:eastAsia="en-US" w:bidi="ar-SA"/>
        </w:rPr>
        <w:t xml:space="preserve"> Manual</w:t>
      </w:r>
      <w:r>
        <w:rPr>
          <w:rFonts w:ascii="arial" w:eastAsia="arial" w:hAnsi="arial" w:cs="arial"/>
          <w:color w:val="000000"/>
          <w:sz w:val="20"/>
          <w:lang w:val="en-US" w:eastAsia="en-US" w:bidi="ar-SA"/>
        </w:rPr>
        <w:t xml:space="preserve"> expressly describes the installation of an epoxy or cork plug in the pinion. It contains a parts diagram at figure 4-41. The part bearing number 25 on that diagram is an epoxy or cork plug. The revision directs the mechanic's attention to the hole permitting oil passage into the duplex bearing. Mr. Mayhugh says he was aware of the requirement that the bearings be adequately lubricated to ensure proper functioning at the time he is recorded to have performed the overhaul, but, at his examination for discovery, he was not sure of the direction of the flow of oil through the transmission into the tail rotor drive quill assembly.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The revised </w:t>
      </w:r>
      <w:r>
        <w:rPr>
          <w:rFonts w:ascii="arial" w:eastAsia="arial" w:hAnsi="arial" w:cs="arial"/>
          <w:i/>
          <w:color w:val="000000"/>
          <w:sz w:val="20"/>
          <w:lang w:val="en-US" w:eastAsia="en-US" w:bidi="ar-SA"/>
        </w:rPr>
        <w:t>Manual</w:t>
      </w:r>
      <w:r>
        <w:rPr>
          <w:rFonts w:ascii="arial" w:eastAsia="arial" w:hAnsi="arial" w:cs="arial"/>
          <w:color w:val="000000"/>
          <w:sz w:val="20"/>
          <w:lang w:val="en-US" w:eastAsia="en-US" w:bidi="ar-SA"/>
        </w:rPr>
        <w:t xml:space="preserve"> directs that the forward surface of the epoxy or cork plug should be located 3.68 inches aft of the shoulder or lip on the inside of the forward end of the pinion. Mr. Mayhugh acknowledges that the cork in the pinion gear at the location where it was found after the Advantage accident is less than 3.68 inches from the shoulder. He acknowledges that the cork at the position in which was found after the accident was in the wrong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Mr. Doss acknowledged that on January 9, 2008, Chad Barta wrote to Bell Helicopter and indicated that the </w:t>
      </w:r>
      <w:r>
        <w:rPr>
          <w:rFonts w:ascii="arial" w:eastAsia="arial" w:hAnsi="arial" w:cs="arial"/>
          <w:i/>
          <w:color w:val="000000"/>
          <w:sz w:val="20"/>
          <w:lang w:val="en-US" w:eastAsia="en-US" w:bidi="ar-SA"/>
        </w:rPr>
        <w:t>Manual</w:t>
      </w:r>
      <w:r>
        <w:rPr>
          <w:rFonts w:ascii="arial" w:eastAsia="arial" w:hAnsi="arial" w:cs="arial"/>
          <w:color w:val="000000"/>
          <w:sz w:val="20"/>
          <w:lang w:val="en-US" w:eastAsia="en-US" w:bidi="ar-SA"/>
        </w:rPr>
        <w:t xml:space="preserve"> for the 204 helicopter did not refer to a cork and asked how the maintenance and repair facilities were to install that cork without guidance in the </w:t>
      </w:r>
      <w:r>
        <w:rPr>
          <w:rFonts w:ascii="arial" w:eastAsia="arial" w:hAnsi="arial" w:cs="arial"/>
          <w:i/>
          <w:color w:val="000000"/>
          <w:sz w:val="20"/>
          <w:lang w:val="en-US" w:eastAsia="en-US" w:bidi="ar-SA"/>
        </w:rPr>
        <w:t>Manual</w:t>
      </w:r>
      <w:r>
        <w:rPr>
          <w:rFonts w:ascii="arial" w:eastAsia="arial" w:hAnsi="arial" w:cs="arial"/>
          <w:color w:val="000000"/>
          <w:sz w:val="20"/>
          <w:lang w:val="en-US" w:eastAsia="en-US" w:bidi="ar-SA"/>
        </w:rPr>
        <w:t>. He acknowledged receipt of directions from Bell Helicopter in January 2008. He also acknowledged receipt of notice of the crash by way of a telephone call from Mr. Mizera and admits he did not speak with the employees responsible for overhauling the transmission, Mr. Mayhugh or Mr. Felice, when he received that notice. He did not ask either of them whether they had installed the cork in the pinion gear or, if so, how they had done the job. Heliponents did not conduct an internal investigation.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Mr. Mayhugh confirmed he was not advised when Heliponents received notice of the crash in this case. He was not part of a formal or informal investigation or meeting to discuss the crash.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Mr. Doss was not certain whether this was the first Bell 204 main rotor transmission that had been overhauled by Heliponents. The company did not do a great deal of work on 204 helicopters. He cannot say why a 212 worksheet was used on this job, rather than a 204 worksheet. He does not know if Heliponents had a 204 worksheet. He acknowledged that a 212 transmission assembly overhaul kit was used for this overhaul, rather than a 204B overhaul kit.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Plaintiffs' Evidence Re: Maintenance Procedures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Mr. Mizera was asked about inadequacies in the </w:t>
      </w:r>
      <w:r>
        <w:rPr>
          <w:rFonts w:ascii="arial" w:eastAsia="arial" w:hAnsi="arial" w:cs="arial"/>
          <w:i/>
          <w:color w:val="000000"/>
          <w:sz w:val="20"/>
          <w:lang w:val="en-US" w:eastAsia="en-US" w:bidi="ar-SA"/>
        </w:rPr>
        <w:t>Manual</w:t>
      </w:r>
      <w:r>
        <w:rPr>
          <w:rFonts w:ascii="arial" w:eastAsia="arial" w:hAnsi="arial" w:cs="arial"/>
          <w:color w:val="000000"/>
          <w:sz w:val="20"/>
          <w:lang w:val="en-US" w:eastAsia="en-US" w:bidi="ar-SA"/>
        </w:rPr>
        <w:t xml:space="preserve"> used by Heliponents. He confirmed that the </w:t>
      </w:r>
      <w:r>
        <w:rPr>
          <w:rFonts w:ascii="arial" w:eastAsia="arial" w:hAnsi="arial" w:cs="arial"/>
          <w:i/>
          <w:color w:val="000000"/>
          <w:sz w:val="20"/>
          <w:lang w:val="en-US" w:eastAsia="en-US" w:bidi="ar-SA"/>
        </w:rPr>
        <w:t>Manual</w:t>
      </w:r>
      <w:r>
        <w:rPr>
          <w:rFonts w:ascii="arial" w:eastAsia="arial" w:hAnsi="arial" w:cs="arial"/>
          <w:color w:val="000000"/>
          <w:sz w:val="20"/>
          <w:lang w:val="en-US" w:eastAsia="en-US" w:bidi="ar-SA"/>
        </w:rPr>
        <w:t xml:space="preserve"> does not describe the cork in the quill assembly. He knew from experience where to install that cork. He has received new gears with a cork installed at a location just aft of the hole in the pinion that permits oil to flow into the duplex bearing. He says the quill assembly requires a cork to work properly. He has always inserted the cork from the spline end, at the aft end of the pinion, rather than the beveled (front) end. He was aware that when the cork is inserted it should be soaked in shellac and pushed forward in the bore until it is appropriately placed. After installation, the installer should check to see the oil hole is clear. He uses a lock wire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When the overhaul of the transmission was completed, it was returned to Rilpa and to Advantage for installation in the helicopter. Mr. Partridge was asked about the transmission-to-engine alignment check that is normally done by the helicopter owner on receipt and installation of an overhauled transmission. He could not find the Advantage record documenting the completion of that alignment check. Mr. Partridge considered that to be unusual. He has no clear memory of the alignment check being done. It is his evidence, however, that if the transmission was out of alignment the input shaft would overheat. That could cause a failure of the input drive shaft.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Plaintiffs' Expert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George Heath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George Heath of R.J. Waldron &amp; Co., a company primarily engaged in aircraft accident investigation and failure analysis, prepared a preliminary investigation report on December 5, 2007, at the request of the plaintiffs. Mr. Heath did not testify; his opinion was only in evidence to the extent that it was adopted or commented upon by other experts. Mr. Heath documented a number of observations, all of which are borne out in the photographs that were admitted into evidence and the testimony of other witnesses (with the minor exceptions noted):</w:t>
      </w:r>
      <w:r>
        <w:rPr>
          <w:rFonts w:ascii="arial" w:eastAsia="arial" w:hAnsi="arial" w:cs="arial"/>
          <w:sz w:val="20"/>
          <w:lang w:val="en-US" w:eastAsia="en-US" w:bidi="ar-SA"/>
        </w:rPr>
        <w:cr/>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pinion assembly was bent and fractured adjacent to the aft duplex bearing;</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shaft was heavily rubbed at that point;</w:t>
      </w:r>
    </w:p>
    <w:p>
      <w:pPr>
        <w:numPr>
          <w:numId w:val="9"/>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roller bearing was undamaged and ample clean lubricant was present;</w:t>
      </w:r>
    </w:p>
    <w:p>
      <w:pPr>
        <w:numPr>
          <w:numId w:val="10"/>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duplex ball bearing assembly was seized and heat-discolored, and the inner race was worn and deformed;*</w:t>
      </w:r>
    </w:p>
    <w:p>
      <w:pPr>
        <w:numPr>
          <w:numId w:val="11"/>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large gland nut that loads the duplex bearing set was severely damaged by the flailing pinion shaft;*</w:t>
      </w:r>
    </w:p>
    <w:p>
      <w:pPr>
        <w:numPr>
          <w:numId w:val="12"/>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tail rotor drive shaft coupling had some spline damage from over-travel;*</w:t>
      </w:r>
    </w:p>
    <w:p>
      <w:pPr>
        <w:numPr>
          <w:numId w:val="1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temp-plates did not record any abnormal temperature;</w:t>
      </w:r>
    </w:p>
    <w:p>
      <w:pPr>
        <w:numPr>
          <w:numId w:val="14"/>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plug was found installed in the interior of the pinion assembly about 1.25 inches aft of the bevel gear forward face; and</w:t>
      </w:r>
    </w:p>
    <w:p>
      <w:pPr>
        <w:numPr>
          <w:numId w:val="1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tail rotor drive shaft was fractured about 12 inches aft of the coupling. There was heavy contact wear at the fracture for about half the circumference, indicating eccentric rotation as the duplex bearing set failed to support and position the pinion assembly.*</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accuracy of these observations is unquestioned, but the conclusions expressed by Mr. Heath with respect to the cause of the damage observed are not properly in evidence.)</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David Rupert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David Rupert was called as an expert witness on behalf of the plaintiffs and testified to the opinions contained in his report of February 24, 2010. Mr. Rupert obtained a three-year mechanical engineering technology diploma before he was hired by the Transport Safety Board of Canada in 1971. He worked with that organization until 1984 as an analyst/technologist and technical investigator, among other jobs. In 1984 he moved to R.J. Waldron &amp; Co.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Mr. Rupert examined documents, including photographs of the helicopter at the accident scene and photographs later taken at the Advantage hanger, and also examined the component parts of the quill assembly brought to R.J. Waldron &amp; Co. for examination. He was not retained to investigate the accident generally but, rather, to examine the parts provided to him and report on conclusions that could be drawn from examination of those parts.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Damage to the Duplex Bearing and 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Mr. Rupert says the inner races of both elements of the duplex bearing were blackened by exposure to high temperatures and had been rubbed circumferentially by the pinion gear shaft. The inner races are not designed to rotate relative to the shaft. He says the inner race of the aft duplex bearing was severely deformed. The balls were discolored and only a few pieces of the ball cage were visible.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Mr. Rupert says asymmetric rub damage was found on the outside diameter of the pinion shaft adjacent to the fracture. That rub damage extended around approximately 260[degrees] of the drive shaft circumference with the heaviest rub damage being opposite the areas with no rub damage. Mr. Rupert thought this was a one-time overload fracture. There was, in his view, no evidence of progressive fatigue prior to fracture.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Damage to the Coupling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Mr. Rupert thought there were three anomalies in the coupling assembly. First, there was rub damage on the spacer adjacent to the outer coupling, thought to be due to the failure of the pinion gear shaft. The second anomaly was asymmetric damage, deformed or chipped spline teeth, to the mating splines of both the inner and outer couplings. Mr. Rupert believes the spline damage was caused by over-angling of the couplings relative to each other as result of the pinion gear shaft failure. The third anomaly noted by Mr. Rupert was blackening of only one of the two temperature indicators mounted on the exterior of the coupling. Mr. Rupert attributes this anomaly to a defective temperature indicator, the one that has been blackened. It is his view that where one indicator is black and the other is not, that is suggestive of defective installation, rather than the presence of elevated temperature. He says that is more likely than a scenario where more heat has been generated on one side of the coupling than the other side. In cross-examination, Mr. Rupert suggested that hot grease could result in discoloration of one of the temperature indicators. That was not canvassed as a possibility in his report and appeared to be an afterthought on his part, but this opinion was also expressed by a defence expert, Dr. Morris.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Installation of the Cork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It is Mr. Rupert's opinion, based on his examination of the pinion, that the cork plug appeared to have been installed flush with the forward end of the taper on the inside diameter of the pinion gear shaft, approximately 0.75 inches aft of the front end of the taper. It should have been installed 3.68 inches aft of the front of the taper. Mr. Rupert thought the cork may have moved approximately a quarter of an inch from its original position, but no more, as a result of the bonding material having partially melted during the failure sequence of the pinion shaft. The evidence that the cork moved slightly after installation appears to be found in the edge of the epoxy that extends past the ridge but still conforms to its shape.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Failure Sequence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Mr. Rupert believes incorrect installation of the cork blocked the passage of oil to the duplex bearing. There was some oil provided to the duplex bearing, through the roller bearing, but not enough to lubricate the part for its designed lifetime. Over time, at least one element of the two duplex bearings failed. The bearing seized, disrupting the interference fit (or pressure fitting) that ordinarily prevents the inner race from rotating relative to the pinion shaft. The inner race then began to rotate relative to the pinion, resulting in metal-to-metal contact and the rapid accumulation of heat on the unlubricated interface between the pinion and the inner race. That heat weakened the shaft material and it deformed under torsional and centrifugal stresses.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Deformation caused misalignment of the tail rotor drive shaft. The forward tail rotor drive shaft segment came into contact with the helicopter structure where the shaft passes through the firewall between the transmission bay and the engine bay, and failed. At that point, there was a complete loss of tail rotor drive. The pinion gear continued to rotate in the quill assembly and rub against the duplex bearing and sleeve nut and it failed completely within a matter of seconds.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Overhaul Procedure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Mr. Rupert was critical of the overhaul procedure. In particular, he pointed to the following concerns: reliance on the </w:t>
      </w:r>
      <w:r>
        <w:rPr>
          <w:rFonts w:ascii="arial" w:eastAsia="arial" w:hAnsi="arial" w:cs="arial"/>
          <w:i/>
          <w:color w:val="000000"/>
          <w:sz w:val="20"/>
          <w:lang w:val="en-US" w:eastAsia="en-US" w:bidi="ar-SA"/>
        </w:rPr>
        <w:t>Manual</w:t>
      </w:r>
      <w:r>
        <w:rPr>
          <w:rFonts w:ascii="arial" w:eastAsia="arial" w:hAnsi="arial" w:cs="arial"/>
          <w:color w:val="000000"/>
          <w:sz w:val="20"/>
          <w:lang w:val="en-US" w:eastAsia="en-US" w:bidi="ar-SA"/>
        </w:rPr>
        <w:t xml:space="preserve"> without reference to the installation of a cork; the failure to properly implement the worksheet to ensure that the overhaul was done correctly; the failure to use the proper worksheet; and the failure to use the proper overhaul kit containing necessary parts and, apparently, some instruction.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Mr. Rupert says the traveler form used by Heliponents was initialed at items 14 through 18, 20 and 22 on May 17, the date of the airworthiness approval tag and authorized release certificate. This suggests that all but one of the entries on the record were initialed after all the work was completed on the transmission. It suggests that inspection was not conducted, as required, on a periodic basis as the work progressed. The records of the service are not helpful in determining whether, and if so, where the cork was inserted in the drive shaft in the course of the overhaul.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In this case, a Bell 212 overhaul kit was used. The 212 overhaul kit calls for the use of what is described as a "15-A" cork in the 212 tail rotor drive quill. The latest Bell 204 parts breakdown manual calls for a "17-A" cork. It is unclear what cork was in fact installed in this case because of the lack of records and the damage suffered by the cork. A 15-A cork is smaller in diameter than a 17-A cork. Dr. Morris, the expert witness who testified for the defendant, explained that when he examined the cork he found its diameter was not as large as it should have been. There is a possibility the wrong cork was used. In my view for reasons set out below, resolution of this question is unnecessary to address the plaintiff's claim.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Time in Service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When Mr. Rupert prepared his expert report he was well aware of the circumstances surrounding the crash of a Bell ADH-1G "Cobra" helicopter owned and operated by Garlick Helicopters at Lake Pend Oreille, Idaho, on October 18, 1991 (the "Cobra accident"). He had investigated that accident and prepared a report with respect to its cause on May 1, 1992. Mr. Rupert's report of the Cobra accident was referred to extensively because the Cobra accident was acknowledged to have been caused by the misplacement of a cork in the quill assembly of a Bell helicopter with very similar design features. Defence counsel emphasized that the Cobra accident occurred very soon after the helicopter was returned to service (after about six hours of flight time) and argued strenuously that no helicopter could function for long if the cork was misplaced in the pinion at overhaul.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Mr. Rupert knew the Advantage transmission had accumulated 559.9 hours, on a 1500 hour time-between-overhaul schedule, after the completion of the overhaul and before the accident. It was suggested to him that it was unusual that the Cobra accident was not mentioned in his initial report in this case and suggested that he did not mention the Cobra accident to his colleague Mr. Heath. Defence counsel put it to Mr. Rupert that because he was unable to account for the time lag between the overhaul and the accident in this case, he did not wish to draw attention to the quick failure of the Cobra helicopter. Mr. Rupert denied this suggestion, noting that the report on the Cobra accident had been released by R.J. Waldron &amp; Co. to the Transportation Safety Board and he did not expect it to be concealed.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In fact, Mr. Rupert had some difficulty reconciling the differences between the present case and the Cobra accident. In cross-examination he identified what he suggested were a number of distinguishing features of the Cobra accident: the longer flight time in this case might be accounted for by different use of the equipment; perhaps the Cobra helicopter had been put to heavier use. However both accidents occurred while the helicopters were carrying significant external loads. The Cobra helicopter was being used to carry water on firefighting missions. There was no reason to suppose that placed greater demands on the equipment than heli-logging. He suggested that the Cobra helicopter might have experienced loss of tail rotor control while it was a higher altitude but later learned that the Cobra helicopter had been about 50 or 60 feet above the surface of a lake when it lost control, whereas the Advantage helicopter was about 200 feet off the 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Some differences in the failure sequence and the physical evidence were said by Mr. Rupert to be insignificant. In the Cobra accident the pilot heard a loud high-pitched squealing sound for two or three seconds prior to the failure but did not report the presence of a burning smell. In the case at bar the pilot smelled something burning but did not report any significant sound. Mr. Rupert explained there are always variances in the sequence of events when a part fails. It was not suggested to Mr. Rupert that Mr. Batty's account of events in the case at bar was less suggestive of a bearing failure than the pilot's account in the Cobra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Comparing the Advantage pinion to the Cobra pinion, Mr. Rupert expressed the view that the bend in the shaft in both pinions is at approximately the same location. In the Cobra accident the pinion became deformed and the drive shaft aft of the quill assembly then fractured. The Cobra pinion did not fail completely. Mr. Rupert believes the failure sequence continued further in the Advantage accident; the fracture of the drive shaft was followed by further stress upon, and ultimately the fracture of the pinion itself.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Mr. Rupert acknowledged that when the Cobra accident was investigated all of the major components of the helicopter were saved and inspected. The investigation conducted by Mr. Rupert was more extensive and complete than that conducted in this case. The bearing balls were heat discolored and demonstrated varying degrees of skid damage and deformation. The bearing outer rings were also heat discolored and demonstrated transfer of material onto the ball raceways. The metal of the raceways was severely smeared and distorted. All this damage was consistent with the duplex bearing having failed as result of inadequate lubrication.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In his report in relation to the Cobra accident Mr. Rupert wrote that when the plug is installed at the forward end of the gear shaft </w:t>
      </w:r>
      <w:r>
        <w:rPr>
          <w:rFonts w:ascii="arial" w:eastAsia="arial" w:hAnsi="arial" w:cs="arial"/>
          <w:color w:val="000000"/>
          <w:sz w:val="20"/>
          <w:u w:val="single"/>
          <w:lang w:val="en-US" w:eastAsia="en-US" w:bidi="ar-SA"/>
        </w:rPr>
        <w:t>no oil</w:t>
      </w:r>
      <w:r>
        <w:rPr>
          <w:rFonts w:ascii="arial" w:eastAsia="arial" w:hAnsi="arial" w:cs="arial"/>
          <w:color w:val="000000"/>
          <w:sz w:val="20"/>
          <w:lang w:val="en-US" w:eastAsia="en-US" w:bidi="ar-SA"/>
        </w:rPr>
        <w:t xml:space="preserve"> is able to flow down the shaft and through the oil hole to lubricate the duplex bearing. Mr. Rupert now modifies that opinion, noting that </w:t>
      </w:r>
      <w:r>
        <w:rPr>
          <w:rFonts w:ascii="arial" w:eastAsia="arial" w:hAnsi="arial" w:cs="arial"/>
          <w:color w:val="000000"/>
          <w:sz w:val="20"/>
          <w:u w:val="single"/>
          <w:lang w:val="en-US" w:eastAsia="en-US" w:bidi="ar-SA"/>
        </w:rPr>
        <w:t>the primary</w:t>
      </w:r>
      <w:r>
        <w:rPr>
          <w:rFonts w:ascii="arial" w:eastAsia="arial" w:hAnsi="arial" w:cs="arial"/>
          <w:color w:val="000000"/>
          <w:sz w:val="20"/>
          <w:lang w:val="en-US" w:eastAsia="en-US" w:bidi="ar-SA"/>
        </w:rPr>
        <w:t xml:space="preserve"> source (but not the only source) of lubrication for the duplex bearing is oil from the number four jet that flows through the centre of the 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Mr. Rupert says a factor that might lead to the quill lasting longer in the Advantage case is oil seepage past the plug to the duplex bearing. Each bearing is somewhat different, bearings have different dimensional tolerances. Different lubricants might have been used. The plug or cork in the Cobra pinion appeared to completely seal the hollow center of the pinion.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Adequacy of Investigation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Mr. Rupert was criticized for not having formally analyzed how long the duplex bearing would last without its designed lubrication, under external load conditions. He acknowledged that he did not have all the pieces of the tail rotor drive shaft in his possession when he wrote his report. He looked at photographs of the drive shaft but had not analyzed the photographs to see what failure mechanism could be identified in them. When he prepared his report in February 2010 he did not know there were multiple fractures in the tail rotor drive shaft.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He was not aware that Advantage's maintenance records make no reference to the performance of an engine-to-transmission main drive shaft alignment check having been performed when the transmission was installed in June 2007. He acknowledged that check is designed to ensure that the engine and transmission operate properly within stipulated tolerances following an overhaul. He agreed misalignment can lead to damage to the input drive shaft but he was not asked about evidence of such damage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Defendants' Expert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defendant relies upon the reports of two experts: Joseph Sislo, a very experienced helicopter pilot and accident investigator, and Dr. J.W. Morris, a very well-qualified metallurgist and material scientist.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Joseph Sislo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Mr. Sislo says the accident was not thoroughly investigated and that it is not possible to rule out causes other than failure of the tail rotor drive quill. It is his opinion, based on the reported hours of operation of the main transmission after its installation, and the appearance of the duplex bearing set, specifically the aft segment of that set, that the accident was not the result of failure of the quill assembly,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fact the helicopter flew for about 500 hours, approximately one-third of the ordinary interval between overhauls of the quill assembly, strongly suggests to Mr. Sislo that there was adequate lubrication. The aircraft was engaged in repeated heavy lift operations, apparently including lifts in excess of the maximum lift capacity of the helicopter.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On the basis of his limited examination of the bearing. He says it does not show the appearance of lubricant-starved bearings he has seen in the past. The balls were retained within the bearing, and their appearance, in his view, does not evidence the sliding, flattening, skidding, or metal transfer that he would have expected to see in the case of a catastrophic failure.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Given the cursory nature of his examination of the bearing and the significantly greater expertise of other witnesses, I give relatively little weight to Mr. Sislo's testimony with respect to the evidence of oil starvation on the bearing.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J.W. Morris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Dr. Morris taught at the University of California at Berkeley from 1971 until his retirement in 2011, and is an expert in the field of materials science and failure analysis. His first report related to the accident was dated August 10, 2010. When he prepared that report, Dr. Morris had visited Heliponents and examined an exemplar of the tail rotor drive quill and discussed its assembly. He had visited the offices of R.J. Waldron &amp; Co. and examined the available parts of the tail rotor drive quill then in their possession. He performed some tests on an epoxy compound in order to compare the tested material with that affixing the cork to the inside walls of the pinion. He examined documents, including the Heath Report of December 5, 2007, and a Transportation Safety Board of Canada Safety Advisory, apparently generated as a result of the Heath Report. While his investigation was limited, and described as ongoing when he wrote his first report, he expressed the opinion that he had sufficient metallurgical evidence to state that the Heath hypothesis was "almost certainly wrong."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Dr. Morris reached the following conclusions:</w:t>
      </w:r>
      <w:r>
        <w:rPr>
          <w:rFonts w:ascii="arial" w:eastAsia="arial" w:hAnsi="arial" w:cs="arial"/>
          <w:sz w:val="20"/>
          <w:lang w:val="en-US" w:eastAsia="en-US" w:bidi="ar-SA"/>
        </w:rPr>
        <w:cr/>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Although he had not yet conducted any destructive testing or opened the duplex roller bearing set, he concluded that it had not seized and was of the view that it did not cause the failure. He believed the duplex bearing set was operational until sometime after the pinion shaft failed.</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could see no significant evidence of oil starvation on the visible parts of the roller bearing set.</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believed the metallurgical evidence to be consistent with the conclusion that the pinion shaft was deformed by some event that happened "aft of the roller bearing set" (by which he meant the duplex ball bearing set). There was evidence of a one-sided mechanical interference with the duplex bearing inner diameter, leading to its deformation and failure. The inner race of the bearing had been deformed by a mechanical cause and the tail rotor shaft was fractured as a result of torsional load. The mechanical load on the bearing and the quill assembly was a result of a force applied from the rear that could not be determined because of the loss of the relevant parts. He concluded that the cork seal did not play a causal role in the failure.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From the outset, it was Dr. Morris' view that Mr. Heath's theory was not consistent with the following evidence:</w:t>
      </w:r>
      <w:r>
        <w:rPr>
          <w:rFonts w:ascii="arial" w:eastAsia="arial" w:hAnsi="arial" w:cs="arial"/>
          <w:sz w:val="20"/>
          <w:lang w:val="en-US" w:eastAsia="en-US" w:bidi="ar-SA"/>
        </w:rPr>
        <w:cr/>
      </w:r>
    </w:p>
    <w:p>
      <w:pPr>
        <w:numPr>
          <w:numId w:val="1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bearing was not seized when he first examined it;</w:t>
      </w:r>
    </w:p>
    <w:p>
      <w:pPr>
        <w:numPr>
          <w:numId w:val="1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visible bearing balls were not significantly distorted;</w:t>
      </w:r>
    </w:p>
    <w:p>
      <w:pPr>
        <w:numPr>
          <w:numId w:val="1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inside surfaces of the bearings were not scored;</w:t>
      </w:r>
    </w:p>
    <w:p>
      <w:pPr>
        <w:numPr>
          <w:numId w:val="1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thermal damage was local; and</w:t>
      </w:r>
    </w:p>
    <w:p>
      <w:pPr>
        <w:numPr>
          <w:numId w:val="1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persuasive, affirmative metallurgical evidence that the ball bearing set was functional at the time the pinion shaft broke and continued to rotate for some time thereafter.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Dr. Morris' second report, dated September 4, 2011, was prepared after the delivery to him of the 1992 report on the 1991 Cobra accident. Comparison of the evidence collected in relation to each of the two accidents confirmed Dr. Morris' view that they were the result of different causes.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Dr. Morris's third report was dated December 6, 2011. This further and more comprehensive report was prepared after review of additional documents, the examination of parts (including the main parts of the tail rotor drive quill and remaining parts from the gearbox, shaft, and fuselage of the helicopter); and the performance of tests on the properties and behaviour of the epoxy compound used to fix the cork in the drive quill assembly. Among the documents Dr. Morris had reviewed when he wrote his December 2011 report were extensive sets of photographs of the Advantage helicopter.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Dr. Morris concluded that the evidence made available to him was not consistent with a lubrication failure. The metallurgical evidence in support of his conclusion was said to establish:</w:t>
      </w:r>
      <w:r>
        <w:rPr>
          <w:rFonts w:ascii="arial" w:eastAsia="arial" w:hAnsi="arial" w:cs="arial"/>
          <w:sz w:val="20"/>
          <w:lang w:val="en-US" w:eastAsia="en-US" w:bidi="ar-SA"/>
        </w:rPr>
        <w:cr/>
      </w:r>
    </w:p>
    <w:p>
      <w:pPr>
        <w:numPr>
          <w:numId w:val="1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duplex bearing set was lubricated at the time of failure;</w:t>
      </w:r>
    </w:p>
    <w:p>
      <w:pPr>
        <w:numPr>
          <w:numId w:val="1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drive shaft did not rotate within the bearing inner races;</w:t>
      </w:r>
    </w:p>
    <w:p>
      <w:pPr>
        <w:numPr>
          <w:numId w:val="1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duplex bearing did not disintegrate;</w:t>
      </w:r>
    </w:p>
    <w:p>
      <w:pPr>
        <w:numPr>
          <w:numId w:val="1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aft duplex bearing rotated with the shaft at the time of the fracture;</w:t>
      </w:r>
    </w:p>
    <w:p>
      <w:pPr>
        <w:numPr>
          <w:numId w:val="1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time-to-failure is not consistent with a lubrication failure;</w:t>
      </w:r>
    </w:p>
    <w:p>
      <w:pPr>
        <w:numPr>
          <w:numId w:val="1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failure was rapid and traumatic rather than progressive; and</w:t>
      </w:r>
    </w:p>
    <w:p>
      <w:pPr>
        <w:numPr>
          <w:numId w:val="1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other failures apparently preceded the fracture of the pinion gear.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It should be noted that when he testified at trial, Dr. Morris was careful to qualify every reference to his view that the evidence was not consistent with a lubrication failure by saying what he meant was the evidence was not consistent with a failure </w:t>
      </w:r>
      <w:r>
        <w:rPr>
          <w:rFonts w:ascii="arial" w:eastAsia="arial" w:hAnsi="arial" w:cs="arial"/>
          <w:color w:val="000000"/>
          <w:sz w:val="20"/>
          <w:u w:val="single"/>
          <w:lang w:val="en-US" w:eastAsia="en-US" w:bidi="ar-SA"/>
        </w:rPr>
        <w:t>initiated</w:t>
      </w:r>
      <w:r>
        <w:rPr>
          <w:rFonts w:ascii="arial" w:eastAsia="arial" w:hAnsi="arial" w:cs="arial"/>
          <w:color w:val="000000"/>
          <w:sz w:val="20"/>
          <w:lang w:val="en-US" w:eastAsia="en-US" w:bidi="ar-SA"/>
        </w:rPr>
        <w:t xml:space="preserve"> by a lack of lubrication.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Finally, Dr. Morris prepared a responsive report on January 13, 2013, entitled </w:t>
      </w:r>
      <w:r>
        <w:rPr>
          <w:rFonts w:ascii="arial" w:eastAsia="arial" w:hAnsi="arial" w:cs="arial"/>
          <w:i/>
          <w:color w:val="000000"/>
          <w:sz w:val="20"/>
          <w:lang w:val="en-US" w:eastAsia="en-US" w:bidi="ar-SA"/>
        </w:rPr>
        <w:t>"Metallurgical Analysis of Damage in the Failure And Hard Landing Of Bell Helicopter 204B, C-GREL.</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Damage to the Duplex Bearing and 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Dr. Morris says he could easily rotate some of the balls in the aft duplex bearing with finger pressure when he first examined the bearing set. The rotation was limited, but Dr. Morris felt it was limited by geometric constraints due to external and mechanical damage rather than heat damage to the balls or the races.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That limited external examination of the balls led him to conclude the surface damage was limited and some parts of the ball surfaces were relatively unworn. He concluded this damage was inconsistent with the dramatic damage usually observed as a result of oil starvation.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Dr. Morris says the inner diameter of the bearing, where there would have been maximum heat accumulation according to the Heath report, was not severely worn or scored, nor was there a metal smear upon its surface. He concluded that the pinion shaft did not rub on a stationary inner bearing race.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Dr. Morris says the thermal damage to the duplex bearing was local, and was only really severe near the aft surface of the bearing set. The temperature indicator strips on the outer coupling, which ought to be triggered by heat in the range of 250 degrees centigrade, had not been triggered. He concluded that the metal temperature immediately behind the duplex bearing set never reached even what he refers to as "this moderate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He believes the duplex bearing was functional during and after the shaft failure. He says that scoring marks aft of the duplex bearing were made by a turning pinion shaft, after the failure of the tail rotor drive shaft.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Dr. Morris' second report, dated September 4, 2011, describes the more extensive damage to the duplex bearing removed from the Cobra helicopter following the 1991 accident. That duplex bearing had disintegrated through thermal distress, while the pinion shaft remained intact. Examining the photographs of the 1991 failure, Dr. Morris describes the damage as "pervasive." He notes: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bearing balls are deformed and distorted, the bearing cages are broken, melted and re-solidified, and the bearing races are heavily scored and distorted. ... On the other hand, the quill shaft is bent but intact. In contrast the 2007 accident did not cause significant damage to the duplex bearing.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Dr. Morris is of the opinion that the Advantage duplex bearing continued to turn after the pinion shaft broke, but the Cobra duplex bearing could not have done so, because of its disintegration. Dr. Morris concludes: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it seems clear that the 2007 failure initiated in the quill shaft while the 1991 failure initiated in the duplex bearing set.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This opinion was unaltered following destructive testing and more detailed examination of the duplex bearing that preceded Dr. Morris's third report. That examination, in his view, showed none of the expected symptoms of progressive failure prior to the fracture of the quill pinion shaft. If there had been lubrication failure, according to Dr. Morris, one would expect more significant degradation of the bearing.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Dr. Morris' conclusion that there was not a bearing failure in this case stems, in part, from his examination of the bearing itself, and in part from his view that the damage at the pinion/bearing interface is not significant. Dr. Morris does not believe there is evidence that the pinion shaft was spinning against the inner races of the bearing before its failure. Mr. Rupert and Mr. Heath say the pinion failed because the roller bearing became deformed and stopped rotating, causing its inner ring to rotate against the pinion. That metal-on-metal contact is said to have caused excessive heat, deformation of the pinion and, eventually, its failure. Dr. Morris is critical of the Health/Rupert theory as he says that theory requires the shaft to rotate under high force against the inner rim of the bearing but he says there is no evidence of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Dr. Morris describes what he refers to as very light scoring of the inner rim of the aft bearing race which could have been caused by motion under fairly low load but doesn't show severe scoring, the smeared metal, the evidence of overheating, or contact on the surface that would be expected if the inner ring of the bearing seized on the shaft and the shaft was trying to rotate out of the seizure (I should note that is not an entirely accurate description of Mr. Heath's views; it would be more correct to say that Mr. Heath believes the bearing ceased to function efficiently and resistance overcame the pressure fitting between the inner race and the 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Dr. Morris says the only part of the pinion that appears to have been heated significantly is the part that was actually subjected to high friction loads: the side that wore against the bearing and the nut. Dr. Morris finds the duplex bearing to have suffered little thermal damage but significant mechanical damage. The balls are not severely deformed except in isolated places where there appears to have been skidding, they have retained their spherical shape and look like they should look. The mechanical damage to the bearing is said to be suggestive of an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Dr. Morris says the metallurgical evidence is inconsistent with the plaintiffs' hypothesis. When operating temperatures exceed 250[degrees]C the steel balls and races begin to anneal and soften. When they soften, the balls will lose their geometry, become inadequately lubricated and become further distorted. That process doesn't happen at all below 250[degrees]C. Toward the end of the process the balls and races become so hot that bearing material is smeared onto the races, resulting in local melting and deformation. Eventually the metal welds the races together, causing the bearing to seize. If the bearing seizes, the shaft must fracture immediately, rotate the rigid bearing within its case, or rotate inside the seized inner race. If the shaft separates from the inner race there should be severe scoring and local wear.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xml:space="preserve">  Dr. Morris says the bearings in this case did not disintegrate. He says the balls show no evidence of severe long-term wear, softening, creep, distortion, progressive smearing or welding. In comparison with those taken from the Cobra helicopter, the balls were in relatively good condition. There is metallurgical evidence that the aft duplex bearing was fixed on and rotating with the pinion shaft for some time </w:t>
      </w:r>
      <w:r>
        <w:rPr>
          <w:rFonts w:ascii="arial" w:eastAsia="arial" w:hAnsi="arial" w:cs="arial"/>
          <w:color w:val="000000"/>
          <w:sz w:val="20"/>
          <w:u w:val="single"/>
          <w:lang w:val="en-US" w:eastAsia="en-US" w:bidi="ar-SA"/>
        </w:rPr>
        <w:t>after</w:t>
      </w:r>
      <w:r>
        <w:rPr>
          <w:rFonts w:ascii="arial" w:eastAsia="arial" w:hAnsi="arial" w:cs="arial"/>
          <w:color w:val="000000"/>
          <w:sz w:val="20"/>
          <w:lang w:val="en-US" w:eastAsia="en-US" w:bidi="ar-SA"/>
        </w:rPr>
        <w:t xml:space="preserve"> the pinion shaft broke. The damage to the inner race and the sleeve nut of the bearing showed opposite rotations. Dr. Morris says we can be confident that both the damage to the inner ring and the damage to the sleeve nut were made by the aft segment of the broken shaft after the fracture.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Dr. Morris believes the pinion shaft was deformed by damage to the drive shaft aft of the roller bearing set. He says a load appears to have been applied from the rear down the tail rotor shaft. He postulates that the initiating event of the failure sequence was a fracture of the drive shaft that caused cocking or misalignment of the pinion and then a misalignment of the bearing which, ultimately, caused it to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xml:space="preserve">  It is Dr. Morris' view that the limited visible scouring of the aft inner race that is present occurred </w:t>
      </w:r>
      <w:r>
        <w:rPr>
          <w:rFonts w:ascii="arial" w:eastAsia="arial" w:hAnsi="arial" w:cs="arial"/>
          <w:color w:val="000000"/>
          <w:sz w:val="20"/>
          <w:u w:val="single"/>
          <w:lang w:val="en-US" w:eastAsia="en-US" w:bidi="ar-SA"/>
        </w:rPr>
        <w:t>after</w:t>
      </w:r>
      <w:r>
        <w:rPr>
          <w:rFonts w:ascii="arial" w:eastAsia="arial" w:hAnsi="arial" w:cs="arial"/>
          <w:color w:val="000000"/>
          <w:sz w:val="20"/>
          <w:lang w:val="en-US" w:eastAsia="en-US" w:bidi="ar-SA"/>
        </w:rPr>
        <w:t xml:space="preserve"> the fracture of the tail rotor drive shaft. The inner race was still turning with the shaft under power for at least some time before it became frozen.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He explains the mechanical damage to the bearing as follows: mechanical contact pushed the aft bearing back against the forward bearing; as it was twisted and heated, the pinion became thin and turned, with very little force, on the inner ring. He concedes that the pinion would not have bent or deformed significantly before it became heated. He acknowledges, given the evidence that the brass in the duplex bearing cages was found to be melted and adhering to the ball bearings that the temperature of the bearings probably rose to between 800-1,000[degrees]C. When asked whether he determined the melting range for the alloy of brass that was used for the cages, he said that he saw no reason to be concerned about that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Dr. Morris clung tenaciously to the view that the duplex bearing continued to function as a bearing, even after the detailed destructive testing. In his testimony at trial Dr. Morris was asked: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 now know, although we'll get into that later, that having looked at them, there's marks of skidding and other problems with the ball bearings;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but they turn freely today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That opinion is at odds with the physical evidence at trial and inconsistent with the evidence of Dr. Cepu, the plaintiffs' expert witness, which I accept, that only slight movement of the duplex bearing can be demonstrated now if the inner ring is forced to turn. As that occurs, each of the balls is stuck in the impression it has made in the metal of the race. The balls skid or scrape against the races; it is not a functional bearing. The bearing cannot be made to turn and cannot be said to turn freely.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Dr. Morris denied that his theory of causation rested upon establishing a means by which the force of an impact could be transferred forward into the quill assembly and the duplex bearing. He did, however, describe impact damage to the bearing.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In his last report, prepared following the destructive testing and examination of the duplex bearing, Dr. Morris says there is clear evidence of mechanical damage to the bearing, particularly evidence of the movement of the balls of the bearing onto the shoulder of the races and, what he refers to as highly polished regions, "brinelling" of the surfaces, caused by vibration of the balls in a fixed position. He also notes that the bearing has gone through a substantial failure that clearly did involve a significant amount of heat but, on page 11 of his last report, he says: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aft face of the inner ring was only lightly damaged. (Figure 18), excepting </w:t>
      </w:r>
      <w:r>
        <w:rPr>
          <w:rFonts w:ascii="arial" w:eastAsia="arial" w:hAnsi="arial" w:cs="arial"/>
          <w:color w:val="000000"/>
          <w:sz w:val="20"/>
          <w:u w:val="single"/>
          <w:lang w:val="en-US" w:eastAsia="en-US" w:bidi="ar-SA"/>
        </w:rPr>
        <w:t>one local impact mark</w:t>
      </w:r>
      <w:r>
        <w:rPr>
          <w:rFonts w:ascii="arial" w:eastAsia="arial" w:hAnsi="arial" w:cs="arial"/>
          <w:color w:val="000000"/>
          <w:sz w:val="20"/>
          <w:lang w:val="en-US" w:eastAsia="en-US" w:bidi="ar-SA"/>
        </w:rPr>
        <w:t xml:space="preserve"> (figure 19).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He referred to this mark in his re-examination in chief on March 20, 2013, as a "mechanical impression" and gave the following description of the photograph, marked as figure 30 in his last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There is a region around the inner race where there are no balls, and that region corresponds to a deformation that you cannot see in this figure that is on the inner ring on the inside that was </w:t>
      </w:r>
      <w:r>
        <w:rPr>
          <w:rFonts w:ascii="arial" w:eastAsia="arial" w:hAnsi="arial" w:cs="arial"/>
          <w:i/>
          <w:color w:val="000000"/>
          <w:sz w:val="20"/>
          <w:lang w:val="en-US" w:eastAsia="en-US" w:bidi="ar-SA"/>
        </w:rPr>
        <w:t>the impact that apparently caused this distortion to happen.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Despite this testimony to the effect that the bearing was deformed by an impact, he later testified in cross-examination, on March 21, 2013, that he did not believe the quill assembly was affected by an impact. He said it was damaged as a result of the mechanical load from the rear triggered by an unknown incident. When it was suggested to him that Dr.Cepu, testifying for the plaintiffs, understood Dr. Morris to have attributed damage to the duplex bearing to "impact" originating from the rear, the following exchange occurred:</w:t>
      </w:r>
      <w:r>
        <w:rPr>
          <w:rFonts w:ascii="arial" w:eastAsia="arial" w:hAnsi="arial" w:cs="arial"/>
          <w:sz w:val="20"/>
          <w:lang w:val="en-US" w:eastAsia="en-US" w:bidi="ar-SA"/>
        </w:rPr>
        <w:cr/>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So you're distinguishing between Dr. Cepu' interpretation of that as an impact to the rear of the unit, and you're saying a load from the rear is not necessarily an impact? Is that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Of course not.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is that your point?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 fact, I just did a word search on that first report for the word "impact." And according to the word search, it nowhere appears. Perhaps the word search is wrong, but that's what happened.</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All right. So do you say the load from the rear, then, was not initiated by an impact?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don't believe so. It appears to have been initiated by - - as I go through in these reports, by a buckle in the tail rotor shaft.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we can discount impact as being part of your hypothesis?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Sir, I believe I said I don't know precisely what caused that buckle. There could have been some impact involved. I really don't know. We have no evidence.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Finally, in relation to damage to the duplex bearing, Dr. Morris says the chip detector should have been activated by debris if there was some lubrication to the duplex bearing but insufficient lubrication to prevent overheating. That could only be so, of course, if the metal in the duplex bearing began to degenerate while lubrication continued to flow through the bearing.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Damage to the Coupling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The shaft of the tail rotor drive quill pinion gear was said by Dr. Morris to be fractured by a torsional force. He concluded that it was being driven by the main transmission against a resistance that interfered with the rotation of the rear section when it fractured. Dr. Morris considered damage to the outer coupling to be evidence that the pinion gear was attempting to drive the coupling against strong resistance while the pinion was cocked. These indentation marks on the coupling are said by Dr. Morris to be evidence that the coupling was mechanically stressed while the pinion gear was still rotating with force.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Dr. Morris notes that over-temperature indicators on the outer coupling had not become discoloured. He suggests that one was completely immersed in hot lubricant following the accident, while the other was not (as noted above, that explanation is not disputed by Mr. Rupert). Dr. Morris says the fact that one indicator did not change color is evidence that the coupling, even though it was close to the failure, remained relatively cool through the whole event. He concludes that the thermal distress that accompanied the failure, while intense, was very local and short-lived. In a short period of time the heat could not be conducted through the surrounding thermal mass.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Both experts agree that there was sufficient heat generated at the bearing/pinion interface to result in the steel pinion becoming so malleable that it could be twisted and break in torsion. Both experts agree that local heat was not intense or long lasting enough to raise the heat of the outer coupling sufficiently to activate both temperature indicators. That evidence, however, is not particularly helpful in addressing causation, because the experts agree there was very significant heat generated at the interface between the pinion and the duplex bearing. The issue is whether that heat was a cause or effect of the drive shaft failure.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Dr. Morris believes the evidence of a significant tensile load on the drive shaft while it was in rotation is supportive of his theory that there was a misalignment at the coupling, resulting in severe mechanical damage. Dr. Morris has concluded that the drive shaft fractured in a sequence that first left certain marks and gouges; following that there was a second fracture that left marks at a greater angle; and last, a fracture that left the small stub of the drive shaft completely free and spinning at 4300 rpms with enough force to heat and fracture the 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Dr. Morris says the damage to the sleeve nut is evidence that the pinion fragment made a few revolutions after it broke. The photographs of the aft end of the drive quill unit are said to demonstrate asymmetric damage to the nut. Severe scoring goes round the full 360[degrees] circle; this, according to Dr. Morris, is evidence that the aft segment made at least one complete rotation, and perhaps several, rubbing against the stationary sleeve nut. Further, Dr. Morris says the fracture at the rear of the bearing set caused the lubricant contained within the bearing to spray out to the rear. The primary spray pattern was radial, due to the rapid rotation of the pinion and bearings. There is lubricant seen all over the transmission bay.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Dr. Morris says there was moderate mechanical damage and evidence of thermal distress at the splined interface of the pinion gear and the inner coupling. Damage to the teeth is obvious in photographs. Discrete indentations are visible on the outside surface of the coupling. There are deep, local, mechanical impressions over one half of the external circumference of the inner coupling. These indicate a significant load between the two coupling surfaces. When these indentations were made, in Dr. Morris' view, large forces were attempting to push this coupling relatively forward against the rear of the drive quill. It is also severely cocked with respect to the drive quill, which has wider indentations in one small segment of the surface. There must have been severe cocking in order to bring the teeth in contact with the surface in this pattern. Dr. Morris believes the indentations were made as the broken part of the shaft was being forced against the back of the unit.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There are two discontinuous bands of damage, so in Dr. Morris' view, at least two separate impact events occurred, perhaps three, because there is also damage to the interior of the splines. The outer coupling had to tilt substantially in order for its teeth to come into contact with the inner coupling. The outer coupling teeth were severely overloaded in an attempt to turn the coupling in a clockwise direction.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In my opinion, the evidence of damage to the coupling and the sleeve nut does not strongly support either theory of causation. There is certainly evidence that the pinion continued to rotate under power after the tail rotor drive shaft fractured. However, the plaintiff's experts do not dispute that was the case. Evidence that pressure was exerted on the pinion from the rear of the helicopter would weigh in favor of the opinion of Dr. Morris but, in my view, Dr. Morris' evidence in support of the conclusion that pressure was exerted from the rear is meagre.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Installation of the Cork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Much of the most detailed evidence in this case was introduced for the purpose of establishing that the cork was seated in the position in which it was found after the accident at the time of the overhaul or, in the alternative, that the cork could, and did move within the centre of the pinion as result of the sequence of events that led to the crash.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Dr. Morris says there is some evidence the cork was originally placed in an appropriate location in the pinion. He says there is reason to believe the cork fractured at its edges and was pushed forward in the accident. He says the limited adhesion of the cork to the wall of the pinion in the position in which was found after the accident was a result of the re-bonding of the epoxy. He observed what he thought was organic material on the aft wall of the bore of the pinion where the cork would have been mounted and glued if it had been positioned correctly at the time of the overhaul by Heliponents. He suggests this is a remnant of the original placement, most of which was obliterated by extreme heat.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Dr. Morris says there is some evidence the cork moved to the location at which it was found after the accident as a result of the forces exerted upon it at the time of the failure of the pinion. When he ultimately examined the cork, Dr. Morris observed what he considered to be signs of both thermal and mechanical stress. He says the epoxy on the cork would have flowed over the surface and produced smooth surfaces and a meniscus bonding to the wall at the time the cork was installed. What is seen in the photographs taken after the accident is said to be a "rippled" surface that has the appearance of an epoxy that has liquefied and then again solidified. He says the epoxy probably "flowed in high temperature creep." In certain photographs it is said to be evident that the epoxy has drawn back from the cork and the epoxy has "partly de-wet from the cork surface." He says the epoxy at the front end of the cork has the appearance of having been pushed up to its present position. That coating, previously in contact with the inside wall of the bore, has become detached and is dangling in free space. Dr. Morris regards this as "essentially definitive proof that this cork, with the epoxy on it, was pushed forward mechanically at some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If the cork was pushed forward when the accident occurred, as is described by Dr. Morris, it could have moved through a relatively wider section of the bore of the pinion to the point where it would become trapped at the front end of the pinion where the bore slightly narrows to a lip, the position in which it was found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In Dr. Morris's opinion, there was less damage to the cork than would have been expected at the extremely high temperatures that ought to have been present if the plaintiffs' theory is right. The cork appeared to be fractured or broken away at the edge; it was charred but not burnt. Burning would not leave certain of the features he says are present on the surface of the cork. There was no epoxy on the fractured surface beyond a small residue that extruded between the cork and the inside surface of the pinion bore.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In support of his theory that the epoxy used to hold the cork in position can re-bond after "creeping" at moderate temperature under load, Dr. Morris performed an experiment at home. He had no difficulty getting the epoxy to creep and re-bond. This experiment was not mentioned in his report; it was not conducted in a scientific fashion; and it was not measured, documented, and reported in such a manner as to be tested under cross-examination or by the plaintiffs' expert. He heated a quantity of epoxy after it had cured in a toaster oven and clamped a small threaded steel pipe on top of it. After heating it for an hour he found the steel had bonded to the epoxy that had previously set. I consider this experiment to be some evidence, albeit evidence of little weight, because of the unscientific nature of the exercise, in support of Dr. Morris' theory of causation. It is evidence to suggest that the epoxy can be caused to bond under pressure with another surface after it has cured if it is heated to a sufficient temperature. The experiment is not a complete response to the evidence of Dr. Cepu that if the epoxy is heated enough to cause its existing bonds to fail (which Dr. Morris did not do) pyrolysis and thermochemical breakdown will prevent the epoxy from again functioning as an adhesive. In Dr. Cepu' opinion, if the cork was heated to such a temperature that it could become freed from the walls of the pinion then the epoxy could not have later re-bonded with the interior walls of the pinion.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Failure Sequence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Dr. Morris described the Heath hypothesis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summary, he concludes that the cork seal was misplaced at the time of overhaul, 560 hours before the failure. The misplaced seal resulted in a dearth of lubricant, which led to the gradual deterioration of the duplex ball bearing set. It eventually seized, that is, the deteriorating balls welded the inner and outer races, turning the bearing into a rigid ring. The pinion shaft continued to rotate within the frozen ring, driven by the torque on the bevel gear. The severe friction between the unlubricated surfaces caused the pinion shaft to overheat, extrude and fracture. The failure then induced a "simultaneous" fracture of the tail rotor drive shaft. ... The central element of the Heath hypothesis is, of course, the lubrication failure of the duplex bearing set, leading to seizure and the spinning of the pinion gear against the bearing inner race, which he identifies as the proximate cause of the shaft failure.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This may embody a misapprehension of the plaintiffs' theory of causation which is a theory of sequential failure: first, overheating and weakening of the pinion, leading to misalignment of the tail rotor drive shaft; then, fracture of the drive shaft; and last, following shortly upon that, total failure of the 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Dr. Morris says the sequence of events described by Mr. Heath should have resulted in extensive thermal damage to the parts surrounding the bearing as well as to the bearing itself. He says the tail rotor drive shaft appeared from the photographs to have fractured in at least two places: at the point where it passed through the aperture between the transmission bay and the engine bay; and in the engine bay beneath the engine exhaust shroud. This second fracture was referred to by Dr. Morris as "very important." Relying only upon the photographs depicting the broken drive shaft in this bay he says there is evidence of "a buckling failure in the drive shaft." The photographs depict a jagged fracture and a segment of the shaft that Dr. Morris says is severely scored. The shaft was rotating when the scores were made, presumably under power. Dr. Morris believes this damage, well inside the engine bay, is evidence that the drive shaft was being driven after it fractured. Hence, he says, the drive shaft fractured before the pinion failed entirely.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Dr. Morris considers the evidence of damage to the tail rotor in the engine bay to be inconsistent with the Heath theory, and proof of its falsity, because he understood Mr. Heath to say that the pinion failed before misalignment of the drive shaft. In fact, the plaintiffs' theory is consistent with the drive shaft becoming misaligned while it was being driven, before failure of the pinion. It is also consistent with continued rotation of the drive shaft for a short period following the fracture of the 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Dr. Morris acknowledges some of the similarities between the Cobra accident and the Advantage accident. In the Cobra accident the pinion shaft overheated at the same location and was distorted in the same manner as the pinion shaft in the Advantage quill assembly. The twisting of the Cobra pinion apparently caused the tail rotor drive quill to rub against the aperture in the firewall between the transmission bay and the engine bay, or against the tail rotor drive shaft tunnel, leading to failure of the drive shaft. It was suggested to Dr. Morris that "shaft whirl" would result from twisting of the pinion and because of the stabilizing effect of the hanger by which the drive shaft is suspended, the tail rotor drive shaft would have fractured at the forward end of the first drive shaft segment. Dr. Morris disagreed with the suggestion that the drive shaft fractures were similar in the two incidents. He says, based upon examination of the photographs, that in this case the scoring of the drive shaft is unilateral, suggesting the drive shaft was tilted at the point where it passed through the aperture. The Cobra drive shaft, on the other hand, was straight, because there appeared to be scoring 360[degrees] around the shaft.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It was suggested to Dr. Morris that his theory was inconsistent with significant heat damage evident in this case: if the loss of authority was triggered by mechanical failure, there would be very little time for the quill assembly to heat up to cause bearing damage after the pilot noted loss of tail rotor authority and rolled off the throttle. Dr. Morris responded in a manner suggesting he agreed that the extent of the heat damage was inconsistent with a purely mechanical cause of the accident. He said: "Well, keep in mind we don't know exactly what caused this fracture, so there may have been some preceding problem that was affecting the quill in some way. I just don't know. I can't talk about that. I might be able to do if I had the parts." He added, however, that he was confident that a couple of hundred revolutions of the pinion shaft after an initial bending moment would cause the temperature at the pinion/duplex bearing interface to rise above 820[degrees]C.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Time in Service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In his second report, dated September 4, 2011, prepared following his receipt of the 1992 report into the Cobra accident, Dr. Morris concluded that the 1991 failure, while involving the same drive quill assembly as that involved in the Advantage accident, differed in critical details from the Advantage accident and almost certainly had different causes.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The service times before failure in the two incidents were said by Dr. Morris to differ "by two orders of magnitude" (from 6 hours in the Cobra case, to 560 hours in the Advantage case). In his opinion, there is no adequate explanation why the small amount of oil that would travel through to the duplex bearing from the roller bearing would have been sufficient to permit the duplex bearing to operate over 500 hours of service and suddenly become inadequate at 560 hours. He thought the duplex bearing would fail in "a very short time" if it were deprived entirely of lubricant. If anything is going to operate for hundreds of hours, in Dr. Morris' opinion, it must be properly lubricated. There had to have been some cause of a lubrication failure after this period of operation, other than an error at overhaul.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Adequacy of Investigation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Dr. Morris is critical of the manner in which the accident investigation was conducted. He says there is evidence of multiple failures in the tail rotor drive shaft of the helicopter but no effort was made to examine the drive shaft and investigate the nature and cause of the fractures.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Having said that, Dr. Morris remained of the view that there is metallurgical evidence sufficient to state that the Rupert/Heath hypothesis of the cause is "almost certainly wrong." He remained of the view that the parts that have been examined strongly suggest that the failure was traumatic and primarily mechanical, rather than progressive and thermal. He is of the opinion the pinion shaft became misaligned by some traumatic event aft of the quill assembly, and that the misalignment caused deformation, heating, and failure. The damage to the duplex bearing was a result, not a cause, of the damage to the tail rotor drive shaft, and Dr. Morris remained of the view that the cork seal played no causal role in the failure.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Responsive Opinion of Dr. Elvis Cepu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Dr. Cepu is a mechanical engineer with a doctorate in materials engineering. He prepared a report for the plaintiffs' counsel on December 31, 2012, in response to the opinions of Dr. Morris.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Damage to the Duplex Bearing and 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Dr. Cepu says that on his examination of the duplex bearing there was sufficient damage to render the bearing inoperable. Small movements of the sort that could be elicited by Dr. Morris do not mean that the bearing has not seized. Dr. Cepu says that when he examined it, the forward bearing in the duplex set turned with roughness and such friction that it could not be considered operational, and that the aft bearing would not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He says the visible balls all had skid marks and flat spots and were covered in melted-on brass. The balls were not spherical. There were clear striations on the balls from skidding. Examination of the surface of the balls under energy dispersive spectroscopy established that they were covered in brass/copper alloy, not rust, as suggested by Dr. Morris. Dr. Cepu says that for Dr. Morris to refer to the ball bearings in this case as "relatively pristine" is preposterous.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Dr. Cepu points out obvious deformation of the pinion and notes that that deformation would not have been possible unless the temperature of the pinion at the point of the deformation was extremely high.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Dr. Cepu says destructive analysis of components has proven that significant thermal softening occurred; the balls in the aft duplex bearing were almost 50% softer than normal due to overheating from prolonged exposure to high temperature. The significant softening of the balls speaks to thermal, rather than mechanical damage. Not only was there significant damage to the aft bearing but the forward bearing also demonstrated substantial softening due to overheating. That overheating, as expected, first occurred in the bearing furthest from the source of lubrication, the aft bearing, but also affected the forward bearing. The thermal damage, in Dr. Cepu' view, is consistent with lack of lubrication. Dr. Cepu disagrees with the view that there are mechanical damage signatures. Surprisingly, despite the fact he received the results of the thermal testing, Dr. Morris admitted he had not studied the test results and he did not dispute the extent to which they were evidence of substantial heating of the balls in the bearing.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Dr. Cepu expresses the view that the deformation of the pinion in this case exceeded what the material is capable of at normal operating temperatures. The deformation could only have occurred if the pinion was hot and had a torsional load applied at the same time. He says the pinion experienced prolonged exposure to elevated temperatures that could not have occurred due to an impact event or torsion alone.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The evidence set out in Dr. Cepu' report is detailed, thorough, and compelling. In particular there is thorough documentation of the significant observations made during the destructive testing and microscopic examination of the components of the quill assembly. These provide evidence of thermal damage to the duplex bearing, coking of lubricant on the components (evidence of thermally degraded oil), brass melting onto the ball bearings from the disintegrating cages, flat spots, power transfer to the pinion during overheating, and damage caused by rotation of the bevel gear against stationary inner races.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Microscopic analysis of the surface of the bearings was indicative of oil starvation, overheating and high friction skidding. The aft cage had disintegrated and was incapable of maintaining the required spacing and positioning of the balls. There was extensive evidence of the disintegration of the cages of the bearing as a result of the development of heat; this would have occurred over what is referred to by Dr. Cepu as "some non-transient period of time", which was explained by him to mean a period longer than that which would have occurred in the interval between the fracture of the tail rotor drive shaft and impact with the ground.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Damage to the Coupling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No damage away from the quill or the tail rotor drive shaft exhibited any torsional resistance that would have caused a torsional failure of the quill. The quill, however, exhibited numerous thermal signatures that indicate it ran hot for some time and that the ultimate reason for failure was overheating of the pinion while torque continued to be applied to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There is also evidence in Dr. Cepu' report supporting of the conclusion that as the failure occurred there was aftward pressure on the components of the assembly, contradicting the suggestion the accident was a result of a load exerted on the quill assembly from the rear.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Dr. Cepu addresses, in detail, the theory that an axial force was somehow transmitted forward to the quill assembly. Not only is it difficult to explain how this could have occurred, but there is an absence of damage that would support this theory.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Dr. Cepu says the damage referred to by Dr. Morris as splaying of the inner race is from off axis rotation of a deformed bevel gear or pinion and not from impact. Impact would not have left circumferential lines in the direction of rotation.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Installation of the Cork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In response to Dr. Morris' theory that the cork in the pinion shifted during the incident and was forced forward, Dr. Cepu says there are no forces that would have moved the cork, either forward or backward, in the event of an accident. Those forces that are present are "too small to overcome cork friction with and adhesion to the bevel gear (pinion) inner surface". There was lengthy and detailed evidence with respect to the coefficient of friction between the cork and the wall of the pinion, and detailed evidence with respect to the adhesive qualities of the epoxy that might have been used. I am satisfied that if the cork had been installed in the appropriate location at the aft end of the pinion shaft it would not have easily been dislodged. While Mr. Cepu was extensively cross-examined on his evidence with respect to the characteristics of cork, the fundamental proposition that the cork would have been firmly seated in the pinion if it had been correctly installed at its aft end was not challenged by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Dr. Cepu disputes the suggestion there was any significant organic residue on the wall of the pinion at the location in which the cork ought to have been installed. The small amount of material on the wall in that location, in Dr. Cepu' opinion, is burnt-on oil. There is, on the other hand, significant organic residue on the walls of the pinion at the location at which the cork was ultimately found after the accident. There was no similar-looking debris towards the splined end of the pinion where the cork should have been.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Dr. Morris testified that on that microscopic examination of the cork it was possible to see signs of chatter marks or displacement cracks from friction. The presence of these marks is not inconsistent with the plaintiff's theory, which is that there was some minimal movement of the cork.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Dr. Cepu says the amount of creep that can occur in epoxy is in the order of fractions of a millimeter and the epoxy would recover back to normal once temperature returned to normal. He says the discoloration of the epoxy in this case suggests that its temperature increased to 50% to100% above the temperatures under which it normally operated. He described this as intense overheating. He says it runs counter to fundamental principles of thermoplastics to suggest that an epoxy could be heated to such a high temperatures to lose its adhesive qualities and then regain those adhesive qualities, so as to re-bond to the pinion wall.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Failure Sequence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On examining photographs of the damage to the helicopter taken at the scene of the accident, Dr. Cepu noted evidence that the tail boom suffered severe ground impact damage. It moved upward enough to crush the turbine outlet shroud, located above the tail boom, aft of the transmission. This impact was clearly sufficient to have broken components of the tail rotor drive shaft. He concluded that some of the damage to the drive shaft was consequential, rather than causative of the crash.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Dr. Cepu says that in the Cobra accident, the pinion welded itself to the inner race of the aft duplex bearing, thereby forcing the inner race and bearing to continue to rotate and experience more intense bearing damage. He points to evidence that the Advantage pinion was momentarily welded to the inner race before it broke away and continued to rotate.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Dr. Cepu says a gap developed between the inner race and the pinion as it was deformed. This explains not only the limited destruction of the duplex bearing, in comparison with the damage sustained in the Cobra case, but also the passage of oil through the pinion after the pinion failure. Dr. Cepu says that once the gap developed oil from the roller bearing could have flowed freely through the pinion. The presence of a spray of oil aft of the quill assembly is not surprising in the circumstances. The oil is noted to have had the appearance of thermally damaged oil, suggesting that it has passed through an area of intense heat.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Dr. Cepu did a rough calculation of the force that would have to be exerted against the pinion in order to overload the duplex bearing. That exercise was not particularly helpful, in part because of the many assumptions that had to be made in order to do even the most basic calculation. Further, however, both the plaintiffs and the defendant suggest that the unrestrained rotation of the broken end of the drive shaft ultimately caused the pinion to fracture. The plaintiffs say that could only have occurred if the pinion had been weakened by extreme heat and extruded from the quill assembly. Dr. Morris believes the pinion fractured as result of a combination of torsion exerted by the broken drive shaft and overheating due to friction between the pinion and at least the aft ring of the duplex bearing.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Time in Service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Dr. Cepu says when the Cobra pinion was tested after the 1991 accident the adhesive and cork in the pinion maintained an airtight seal, whereas the adhesive and cork in the Advantage helicopter pinion did not. Dr. Cepu suggests that leakage of oil into the pinion through this aperture may explain the disparity in the time-to-failure in the two accidents. Additionally, he says, it is possible that the tolerances in the Advantage helicopter may have been slightly greater than those in the Cobra helicopter, allowing the duplex bearing to have operated with lower stresses for longer period of time and to get more lubricant before it ultimately failed. In his view: "It's logical to conclude that some level of lubrication between ideal and non-existent will result in a lifespan somewhere between normal and very short".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Spoliation of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xml:space="preserve">  The defendant argues that the plaintiffs took steps to make evidence unavailable to Heliponents. It says the court must fashion a remedy that reflects the gravity of the plaintiffs' actions and the significance of its adverse impact on the defendant. The defendant, citing </w:t>
      </w:r>
      <w:r>
        <w:rPr>
          <w:rFonts w:ascii="arial" w:eastAsia="arial" w:hAnsi="arial" w:cs="arial"/>
          <w:i/>
          <w:color w:val="000000"/>
          <w:sz w:val="20"/>
          <w:lang w:val="en-US" w:eastAsia="en-US" w:bidi="ar-SA"/>
        </w:rPr>
        <w:t>St. Louis v. Canada</w:t>
      </w:r>
      <w:r>
        <w:rPr>
          <w:rFonts w:ascii="arial" w:eastAsia="arial" w:hAnsi="arial" w:cs="arial"/>
          <w:color w:val="000000"/>
          <w:sz w:val="20"/>
          <w:lang w:val="en-US" w:eastAsia="en-US" w:bidi="ar-SA"/>
        </w:rPr>
        <w:t xml:space="preserve"> </w:t>
      </w:r>
      <w:hyperlink r:id="rId934" w:history="1">
        <w:r>
          <w:rPr>
            <w:rFonts w:ascii="arial" w:eastAsia="arial" w:hAnsi="arial" w:cs="arial"/>
            <w:i/>
            <w:color w:val="0077CC"/>
            <w:sz w:val="20"/>
            <w:u w:val="single"/>
            <w:shd w:val="clear" w:color="auto" w:fill="FFFFFF"/>
            <w:lang w:val="en-US" w:eastAsia="en-US" w:bidi="ar-SA"/>
          </w:rPr>
          <w:t>(1896), 25 S.C.R. 649</w:t>
        </w:r>
      </w:hyperlink>
      <w:r>
        <w:rPr>
          <w:rFonts w:ascii="arial" w:eastAsia="arial" w:hAnsi="arial" w:cs="arial"/>
          <w:color w:val="000000"/>
          <w:sz w:val="20"/>
          <w:lang w:val="en-US" w:eastAsia="en-US" w:bidi="ar-SA"/>
        </w:rPr>
        <w:t>, invites the court to make a finding of spoliation against the plaintiffs and says such a finding, "carries a presumption that the evidence destroyed would have been unfavourable to the party who destroyed it, but that presumption may be rebutted".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xml:space="preserve">  The defendant relies upon the description of the necessary elements in support of finding spoliation in </w:t>
      </w:r>
      <w:r>
        <w:rPr>
          <w:rFonts w:ascii="arial" w:eastAsia="arial" w:hAnsi="arial" w:cs="arial"/>
          <w:i/>
          <w:color w:val="000000"/>
          <w:sz w:val="20"/>
          <w:lang w:val="en-US" w:eastAsia="en-US" w:bidi="ar-SA"/>
        </w:rPr>
        <w:t>Chow-Hidasi v. Hidasi</w:t>
      </w:r>
      <w:r>
        <w:rPr>
          <w:rFonts w:ascii="arial" w:eastAsia="arial" w:hAnsi="arial" w:cs="arial"/>
          <w:color w:val="000000"/>
          <w:sz w:val="20"/>
          <w:lang w:val="en-US" w:eastAsia="en-US" w:bidi="ar-SA"/>
        </w:rPr>
        <w:t xml:space="preserve">, </w:t>
      </w:r>
      <w:hyperlink r:id="rId935" w:history="1">
        <w:r>
          <w:rPr>
            <w:rFonts w:ascii="arial" w:eastAsia="arial" w:hAnsi="arial" w:cs="arial"/>
            <w:i/>
            <w:color w:val="0077CC"/>
            <w:sz w:val="20"/>
            <w:u w:val="single"/>
            <w:shd w:val="clear" w:color="auto" w:fill="FFFFFF"/>
            <w:lang w:val="en-US" w:eastAsia="en-US" w:bidi="ar-SA"/>
          </w:rPr>
          <w:t>2013 BCCA 73</w:t>
        </w:r>
      </w:hyperlink>
      <w:r>
        <w:rPr>
          <w:rFonts w:ascii="arial" w:eastAsia="arial" w:hAnsi="arial" w:cs="arial"/>
          <w:color w:val="000000"/>
          <w:sz w:val="20"/>
          <w:lang w:val="en-US" w:eastAsia="en-US" w:bidi="ar-SA"/>
        </w:rPr>
        <w:t>, and draws the court's attention to para. 29 of the judgment of the majority in that case. In my view that paragraph should be seen in the context of the following discussion of the evidentiary presumption: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[27] ... I turn to the plaintiff's argument that ICBC's (apparent) destruction of the Jeep "effectively destroyed" her ability to challenge the theory of mechanical failure, and that the court below should therefore have inferred that an examination of the vehicle would have shown no mechanical failure.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[28] I have considerable sympathy for the plaintiff's position, but in my view the presumption she seeks may not be drawn in the circumstances of this case. First, the evidence as to the conditions under which the Jeep was destroyed is negligible: there is only the defendant's hearsay evidence that he was told that it had been destroyed. Most importantly, there is no evidence as to whether ICBC was aware the plaintiff would be making a claim or if she made any effort to advise them or have the vehicle examined before it was destroyed. (It was Mr. Hidasi who requested that the vehicle not be destroyed.)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[29] On the present state of the law, it is clear that spoliation requires </w:t>
      </w:r>
      <w:r>
        <w:rPr>
          <w:rFonts w:ascii="arial" w:eastAsia="arial" w:hAnsi="arial" w:cs="arial"/>
          <w:color w:val="000000"/>
          <w:sz w:val="20"/>
          <w:u w:val="single"/>
          <w:lang w:val="en-US" w:eastAsia="en-US" w:bidi="ar-SA"/>
        </w:rPr>
        <w:t>intentional</w:t>
      </w:r>
      <w:r>
        <w:rPr>
          <w:rFonts w:ascii="arial" w:eastAsia="arial" w:hAnsi="arial" w:cs="arial"/>
          <w:color w:val="000000"/>
          <w:sz w:val="20"/>
          <w:lang w:val="en-US" w:eastAsia="en-US" w:bidi="ar-SA"/>
        </w:rPr>
        <w:t xml:space="preserve"> conduct: see </w:t>
      </w:r>
      <w:r>
        <w:rPr>
          <w:rFonts w:ascii="arial" w:eastAsia="arial" w:hAnsi="arial" w:cs="arial"/>
          <w:i/>
          <w:color w:val="000000"/>
          <w:sz w:val="20"/>
          <w:lang w:val="en-US" w:eastAsia="en-US" w:bidi="ar-SA"/>
        </w:rPr>
        <w:t>St. Louis v. Canada</w:t>
      </w:r>
      <w:r>
        <w:rPr>
          <w:rFonts w:ascii="arial" w:eastAsia="arial" w:hAnsi="arial" w:cs="arial"/>
          <w:color w:val="000000"/>
          <w:sz w:val="20"/>
          <w:lang w:val="en-US" w:eastAsia="en-US" w:bidi="ar-SA"/>
        </w:rPr>
        <w:t xml:space="preserve"> </w:t>
      </w:r>
      <w:hyperlink r:id="rId934" w:history="1">
        <w:r>
          <w:rPr>
            <w:rFonts w:ascii="arial" w:eastAsia="arial" w:hAnsi="arial" w:cs="arial"/>
            <w:i/>
            <w:color w:val="0077CC"/>
            <w:sz w:val="20"/>
            <w:u w:val="single"/>
            <w:shd w:val="clear" w:color="auto" w:fill="FFFFFF"/>
            <w:lang w:val="en-US" w:eastAsia="en-US" w:bidi="ar-SA"/>
          </w:rPr>
          <w:t>(1896), 25 S.C.R. 649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McDougall v. Black &amp; Decker Canada Inc.</w:t>
      </w:r>
      <w:r>
        <w:rPr>
          <w:rFonts w:ascii="arial" w:eastAsia="arial" w:hAnsi="arial" w:cs="arial"/>
          <w:color w:val="000000"/>
          <w:sz w:val="20"/>
          <w:lang w:val="en-US" w:eastAsia="en-US" w:bidi="ar-SA"/>
        </w:rPr>
        <w:t xml:space="preserve">, </w:t>
      </w:r>
      <w:hyperlink r:id="rId936" w:history="1">
        <w:r>
          <w:rPr>
            <w:rFonts w:ascii="arial" w:eastAsia="arial" w:hAnsi="arial" w:cs="arial"/>
            <w:i/>
            <w:color w:val="0077CC"/>
            <w:sz w:val="20"/>
            <w:u w:val="single"/>
            <w:shd w:val="clear" w:color="auto" w:fill="FFFFFF"/>
            <w:lang w:val="en-US" w:eastAsia="en-US" w:bidi="ar-SA"/>
          </w:rPr>
          <w:t>2008 ABCA 353</w:t>
        </w:r>
      </w:hyperlink>
      <w:r>
        <w:rPr>
          <w:rFonts w:ascii="arial" w:eastAsia="arial" w:hAnsi="arial" w:cs="arial"/>
          <w:color w:val="000000"/>
          <w:sz w:val="20"/>
          <w:lang w:val="en-US" w:eastAsia="en-US" w:bidi="ar-SA"/>
        </w:rPr>
        <w:t xml:space="preserve"> at para. 29; </w:t>
      </w:r>
      <w:r>
        <w:rPr>
          <w:rFonts w:ascii="arial" w:eastAsia="arial" w:hAnsi="arial" w:cs="arial"/>
          <w:i/>
          <w:color w:val="000000"/>
          <w:sz w:val="20"/>
          <w:lang w:val="en-US" w:eastAsia="en-US" w:bidi="ar-SA"/>
        </w:rPr>
        <w:t>Endean v. Canadian Red Cross Society</w:t>
      </w:r>
      <w:r>
        <w:rPr>
          <w:rFonts w:ascii="arial" w:eastAsia="arial" w:hAnsi="arial" w:cs="arial"/>
          <w:color w:val="000000"/>
          <w:sz w:val="20"/>
          <w:lang w:val="en-US" w:eastAsia="en-US" w:bidi="ar-SA"/>
        </w:rPr>
        <w:t xml:space="preserve"> </w:t>
      </w:r>
      <w:hyperlink r:id="rId877" w:history="1">
        <w:r>
          <w:rPr>
            <w:rFonts w:ascii="arial" w:eastAsia="arial" w:hAnsi="arial" w:cs="arial"/>
            <w:i/>
            <w:color w:val="0077CC"/>
            <w:sz w:val="20"/>
            <w:u w:val="single"/>
            <w:shd w:val="clear" w:color="auto" w:fill="FFFFFF"/>
            <w:lang w:val="en-US" w:eastAsia="en-US" w:bidi="ar-SA"/>
          </w:rPr>
          <w:t>(1998) 157 D.L.R. (4th) 465</w:t>
        </w:r>
      </w:hyperlink>
      <w:r>
        <w:rPr>
          <w:rFonts w:ascii="arial" w:eastAsia="arial" w:hAnsi="arial" w:cs="arial"/>
          <w:color w:val="000000"/>
          <w:sz w:val="20"/>
          <w:lang w:val="en-US" w:eastAsia="en-US" w:bidi="ar-SA"/>
        </w:rPr>
        <w:t xml:space="preserve"> (B.C.C.A.); </w:t>
      </w:r>
      <w:r>
        <w:rPr>
          <w:rFonts w:ascii="arial" w:eastAsia="arial" w:hAnsi="arial" w:cs="arial"/>
          <w:i/>
          <w:color w:val="000000"/>
          <w:sz w:val="20"/>
          <w:lang w:val="en-US" w:eastAsia="en-US" w:bidi="ar-SA"/>
        </w:rPr>
        <w:t>Dawes v. Jajcaj</w:t>
      </w:r>
      <w:r>
        <w:rPr>
          <w:rFonts w:ascii="arial" w:eastAsia="arial" w:hAnsi="arial" w:cs="arial"/>
          <w:color w:val="000000"/>
          <w:sz w:val="20"/>
          <w:lang w:val="en-US" w:eastAsia="en-US" w:bidi="ar-SA"/>
        </w:rPr>
        <w:t xml:space="preserve">, </w:t>
      </w:r>
      <w:hyperlink r:id="rId937" w:history="1">
        <w:r>
          <w:rPr>
            <w:rFonts w:ascii="arial" w:eastAsia="arial" w:hAnsi="arial" w:cs="arial"/>
            <w:i/>
            <w:color w:val="0077CC"/>
            <w:sz w:val="20"/>
            <w:u w:val="single"/>
            <w:shd w:val="clear" w:color="auto" w:fill="FFFFFF"/>
            <w:lang w:val="en-US" w:eastAsia="en-US" w:bidi="ar-SA"/>
          </w:rPr>
          <w:t>1999 BCCA 237</w:t>
        </w:r>
      </w:hyperlink>
      <w:r>
        <w:rPr>
          <w:rFonts w:ascii="arial" w:eastAsia="arial" w:hAnsi="arial" w:cs="arial"/>
          <w:color w:val="000000"/>
          <w:sz w:val="20"/>
          <w:lang w:val="en-US" w:eastAsia="en-US" w:bidi="ar-SA"/>
        </w:rPr>
        <w:t xml:space="preserve"> at para. 68; and the discussion in </w:t>
      </w:r>
      <w:r>
        <w:rPr>
          <w:rFonts w:ascii="arial" w:eastAsia="arial" w:hAnsi="arial" w:cs="arial"/>
          <w:i/>
          <w:color w:val="000000"/>
          <w:sz w:val="20"/>
          <w:lang w:val="en-US" w:eastAsia="en-US" w:bidi="ar-SA"/>
        </w:rPr>
        <w:t>Holland v. Marshall</w:t>
      </w:r>
      <w:r>
        <w:rPr>
          <w:rFonts w:ascii="arial" w:eastAsia="arial" w:hAnsi="arial" w:cs="arial"/>
          <w:color w:val="000000"/>
          <w:sz w:val="20"/>
          <w:lang w:val="en-US" w:eastAsia="en-US" w:bidi="ar-SA"/>
        </w:rPr>
        <w:t xml:space="preserve">, </w:t>
      </w:r>
      <w:hyperlink r:id="rId938" w:history="1">
        <w:r>
          <w:rPr>
            <w:rFonts w:ascii="arial" w:eastAsia="arial" w:hAnsi="arial" w:cs="arial"/>
            <w:i/>
            <w:color w:val="0077CC"/>
            <w:sz w:val="20"/>
            <w:u w:val="single"/>
            <w:shd w:val="clear" w:color="auto" w:fill="FFFFFF"/>
            <w:lang w:val="en-US" w:eastAsia="en-US" w:bidi="ar-SA"/>
          </w:rPr>
          <w:t>2008 BCCA 468</w:t>
        </w:r>
      </w:hyperlink>
      <w:r>
        <w:rPr>
          <w:rFonts w:ascii="arial" w:eastAsia="arial" w:hAnsi="arial" w:cs="arial"/>
          <w:color w:val="000000"/>
          <w:sz w:val="20"/>
          <w:lang w:val="en-US" w:eastAsia="en-US" w:bidi="ar-SA"/>
        </w:rPr>
        <w:t xml:space="preserve"> at paras. 70-2. (I understand 'intentional' to mean 'with the knowledge that the evidence would be required for litigation purposes'.) As stated in </w:t>
      </w:r>
      <w:r>
        <w:rPr>
          <w:rFonts w:ascii="arial" w:eastAsia="arial" w:hAnsi="arial" w:cs="arial"/>
          <w:i/>
          <w:color w:val="000000"/>
          <w:sz w:val="20"/>
          <w:lang w:val="en-US" w:eastAsia="en-US" w:bidi="ar-SA"/>
        </w:rPr>
        <w:t>McDougall v. Black &amp; Decker</w:t>
      </w:r>
      <w:r>
        <w:rPr>
          <w:rFonts w:ascii="arial" w:eastAsia="arial" w:hAnsi="arial" w:cs="arial"/>
          <w:color w:val="000000"/>
          <w:sz w:val="20"/>
          <w:lang w:val="en-US" w:eastAsia="en-US" w:bidi="ar-SA"/>
        </w:rPr>
        <w:t>, "When the destruction is not intentional, it is not possible to draw the inference that the evidence would tell against the person who has destroyed it." (Para. 24).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[30] The Court observed in </w:t>
      </w:r>
      <w:r>
        <w:rPr>
          <w:rFonts w:ascii="arial" w:eastAsia="arial" w:hAnsi="arial" w:cs="arial"/>
          <w:i/>
          <w:color w:val="000000"/>
          <w:sz w:val="20"/>
          <w:lang w:val="en-US" w:eastAsia="en-US" w:bidi="ar-SA"/>
        </w:rPr>
        <w:t>McDougall</w:t>
      </w:r>
      <w:r>
        <w:rPr>
          <w:rFonts w:ascii="arial" w:eastAsia="arial" w:hAnsi="arial" w:cs="arial"/>
          <w:color w:val="000000"/>
          <w:sz w:val="20"/>
          <w:lang w:val="en-US" w:eastAsia="en-US" w:bidi="ar-SA"/>
        </w:rPr>
        <w:t xml:space="preserve"> that where evidence has been destroyed unintentionally, a court of law may fashion a civil remedy to assist in ensuring the fairness of a trial. A costs award may be made, or evidence may be excluded. We were not referred to any case binding on us, however, that would indicate that such remedies would include the drawing of an adverse inference such as that sought in this case by Ms. Chow-Hidasi. (See </w:t>
      </w:r>
      <w:r>
        <w:rPr>
          <w:rFonts w:ascii="arial" w:eastAsia="arial" w:hAnsi="arial" w:cs="arial"/>
          <w:i/>
          <w:color w:val="000000"/>
          <w:sz w:val="20"/>
          <w:lang w:val="en-US" w:eastAsia="en-US" w:bidi="ar-SA"/>
        </w:rPr>
        <w:t>McDougall</w:t>
      </w:r>
      <w:r>
        <w:rPr>
          <w:rFonts w:ascii="arial" w:eastAsia="arial" w:hAnsi="arial" w:cs="arial"/>
          <w:color w:val="000000"/>
          <w:sz w:val="20"/>
          <w:lang w:val="en-US" w:eastAsia="en-US" w:bidi="ar-SA"/>
        </w:rPr>
        <w:t xml:space="preserve">, para. 25, British Columbia Law Institute, </w:t>
      </w:r>
      <w:r>
        <w:rPr>
          <w:rFonts w:ascii="arial" w:eastAsia="arial" w:hAnsi="arial" w:cs="arial"/>
          <w:i/>
          <w:color w:val="000000"/>
          <w:sz w:val="20"/>
          <w:lang w:val="en-US" w:eastAsia="en-US" w:bidi="ar-SA"/>
        </w:rPr>
        <w:t>Report on Spoliation of Evidence</w:t>
      </w:r>
      <w:r>
        <w:rPr>
          <w:rFonts w:ascii="arial" w:eastAsia="arial" w:hAnsi="arial" w:cs="arial"/>
          <w:color w:val="000000"/>
          <w:sz w:val="20"/>
          <w:lang w:val="en-US" w:eastAsia="en-US" w:bidi="ar-SA"/>
        </w:rPr>
        <w:t xml:space="preserve"> (2004), at 10-20.)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[31] In my view, neither the state of the law nor the evidence as presented in this case could support the drawing of an adverse inference that an examination would have shown no mechanical failure in the brakes or steering wheel of the Jeep. Like all litigants, the plaintiff was required to prove her case on the evidence available to her at the time of trial. I would therefore dismiss this ground of appeal.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Holland v. Marshall</w:t>
      </w:r>
      <w:r>
        <w:rPr>
          <w:rFonts w:ascii="arial" w:eastAsia="arial" w:hAnsi="arial" w:cs="arial"/>
          <w:color w:val="000000"/>
          <w:sz w:val="20"/>
          <w:lang w:val="en-US" w:eastAsia="en-US" w:bidi="ar-SA"/>
        </w:rPr>
        <w:t xml:space="preserve">, </w:t>
      </w:r>
      <w:hyperlink r:id="rId938" w:history="1">
        <w:r>
          <w:rPr>
            <w:rFonts w:ascii="arial" w:eastAsia="arial" w:hAnsi="arial" w:cs="arial"/>
            <w:i/>
            <w:color w:val="0077CC"/>
            <w:sz w:val="20"/>
            <w:u w:val="single"/>
            <w:shd w:val="clear" w:color="auto" w:fill="FFFFFF"/>
            <w:lang w:val="en-US" w:eastAsia="en-US" w:bidi="ar-SA"/>
          </w:rPr>
          <w:t>2008 BCCA 468</w:t>
        </w:r>
      </w:hyperlink>
      <w:r>
        <w:rPr>
          <w:rFonts w:ascii="arial" w:eastAsia="arial" w:hAnsi="arial" w:cs="arial"/>
          <w:color w:val="000000"/>
          <w:sz w:val="20"/>
          <w:lang w:val="en-US" w:eastAsia="en-US" w:bidi="ar-SA"/>
        </w:rPr>
        <w:t>, the court held: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[59] In a legal context, the term spoliation refers to the destruction, mutilation, alteration or concealment of evidence. The harm to the trial process that spoliation can cause is well-recognized. The more difficult problem is finding an appropriate remedy for spoliation. The sanctions or remedies available to litigants who suffer due to spoliation include procedural remedies, evidentiary presumptions, contempt proceedings and costs orders. Preventive measures may also be taken through preservation orders.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It is clear that in this case the plaintiffs failed to preserve physical evidence that might have been useful in determining causation with greater certainty. It is also clear, in my view, that the destruction of that evidence was not intended to preclude the defendant from having an opportunity to examine it. The defendant's inability to examine the evidence was, in part, due to its failure to promptly seek to examine the components of the helicopter when it had notice of the accident and was advised of the presumptive cause of the accident. The defendant failed to ask that the parts be preserved, visit the accident scene, travel to the location where the parts were held, or inspect the parts themselves. Heliponents' principals' indifference to the claim was reflected in the fact they did not speak with their own employees to investigate the claim or preserve what they could of their memories of the overhaul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xml:space="preserve">  The components of the helicopter were available for inspection long after the accident but appear to have been discarded because no one expressed an interest in them. In my view, the destruction of those parts was not intended to conceal evidence and its destruction did not occur, in the words used in </w:t>
      </w:r>
      <w:r>
        <w:rPr>
          <w:rFonts w:ascii="arial" w:eastAsia="arial" w:hAnsi="arial" w:cs="arial"/>
          <w:i/>
          <w:color w:val="000000"/>
          <w:sz w:val="20"/>
          <w:lang w:val="en-US" w:eastAsia="en-US" w:bidi="ar-SA"/>
        </w:rPr>
        <w:t>Chow-Hidasi</w:t>
      </w:r>
      <w:r>
        <w:rPr>
          <w:rFonts w:ascii="arial" w:eastAsia="arial" w:hAnsi="arial" w:cs="arial"/>
          <w:color w:val="000000"/>
          <w:sz w:val="20"/>
          <w:lang w:val="en-US" w:eastAsia="en-US" w:bidi="ar-SA"/>
        </w:rPr>
        <w:t xml:space="preserve"> "with knowledge that the evidence would be required for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Nevertheless, the components were destroyed by the plaintiffs or their agents. The destruction of evidence without notice to adversarial parties in the course of litigation should not be condoned. In the circumstances it would be inappropriate to discount any theory of causation advanced by the defendant that would rely, for its proof, upon access to those portions of the helicopter that have been destroyed simply because that theory could not be substantiated with physical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xml:space="preserve">  I cannot accede to the defendant's argument that the court should find there was intentional spoliation of evidence by the plaintiffs, nor should I draw any inference in favor of the defendant. It is enough, in my view, to account for the limited physical evidence available to the defendant by taking into account the maxim described by Lord Mansfield in </w:t>
      </w:r>
      <w:r>
        <w:rPr>
          <w:rFonts w:ascii="arial" w:eastAsia="arial" w:hAnsi="arial" w:cs="arial"/>
          <w:i/>
          <w:color w:val="000000"/>
          <w:sz w:val="20"/>
          <w:lang w:val="en-US" w:eastAsia="en-US" w:bidi="ar-SA"/>
        </w:rPr>
        <w:t>Blatch v. Archer</w:t>
      </w:r>
      <w:r>
        <w:rPr>
          <w:rFonts w:ascii="arial" w:eastAsia="arial" w:hAnsi="arial" w:cs="arial"/>
          <w:color w:val="000000"/>
          <w:sz w:val="20"/>
          <w:lang w:val="en-US" w:eastAsia="en-US" w:bidi="ar-SA"/>
        </w:rPr>
        <w:t xml:space="preserve"> (1774), 98 E.R. 969: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certainly a maxim that all evidence is to be weighed according to the proof which it was in the power of one side to have produced, and in the power of the other to have contradicted.</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Quality of the Overhaul.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The defendant says the plaintiffs have not shown that Heliponents incorrectly placed the cork plug during overhaul or that incorrect plug placement caused the accident. While in its written argument the defendant says the plaintiffs have not proven the applicable standard of care and cannot prove the defendant has breached that standard, it acknowledges that if the cork was placed in the wrong location at the time of overhaul, that would amount to a breach of the appropriate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The defendant expends considerable effort addressing the plaintiffs' allegations with respect to inadequacy in the documents, specifically the lack of directions for the insertion of the cork, or description of the method of affixing the cork and the manner in which the worksheets were completed. These allegations, in themselves, are not the foundation of the plaintiffs' claims. These complaints were made as proof of poor practice, said to be supportive of the plaintiffs' argument that the manner in which the work was done at Heliponents was so slipshod that there can be little confidence that Mr. Mayhugh knew what he was doing, or did it properly.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The evidence adduced by the plaintiff leaves me with no doubt that there is a substantial possibility that the cork was misplaced in the pinion at the time of the transmission overhaul at Heliponents. Heliponents used an outdated maintenance manual, the wrong worksheet, and the wrong overhaul set. Mr. Mayhugh had little training or experience, perhaps no prior experience overhauling a Bell tail rotor drive quill. There is no evidence his work was inspected periodically as it ought to have been, according to Heliponents' own documented procedures. The circumstances were rife with possibilities for error. There is reason to believe supervision may not have been sufficient to avoid error: correspondence from Heliponents to Bell Helicopter after the accident is evidence of Heliponents' unfamiliarity with the installation of the cork in the pinion of the tail rotor drive quill assembly of a Bell 204 helicopter. Heliponents did little to address the plaintiff's concerns with respect to the overhaul. It did not conduct its own investigation to determine whether it erred in the course of completing the overhaul or attempt to collect information from its employees with respect to the work they had done on this equipment.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xml:space="preserve">  I have no doubt that if the cork was not displaced by the accident but, rather, was inappropriately positioned before the accident occurred, that positioning error originated in the Heliponents workshop and was the result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mechanic and his supervisors. In my view, the carelessness was amply established by the examination for discovery of Heliponents representatives and the testimony at trial.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Lay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The defendant makes some submissions with respect to the credibility and demeanor of the plaintiffs' witnesses. In my view, the lay witnesses were all credible. They all made reasonable efforts to recall accurately their observations and involvement in the case. Mr. Mayhugh had little to offer, but was honest in admitting that was the case. In my view, both Mr. Mizera and Mr. Partridge appeared to testify in an honest and forthright manner.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The defendant did not call some witnesses who might have testified with respect to overhaul procedures, documents, and instruction given to Mr. Mayhugh. The failure to call those witnesses is not particularly significant, but I can and do draw the inference that their testimony would not have assisted the defendant in establishing that Mr. Mayhugh received specific instruction with respect to the installation of the cork or that Heliponents employees performed any quality assurance procedures to which he did not testify.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I do not draw the adverse inference sought by the defendant from the plaintiffs' failure to call Mr. Heath as a witness. His report was in evidence for some purposes despite the fact was not called as a witness. While I can place no weight on the opinions in his report, neither can I draw the inference that he would have said something at odds with the report. In this regard, experts ought not to be treated like lay witnesses who may have evidence that cannot be obtained elsewhere. I can infer that Mr. Heath's opinion would not have been more convincing than the opinions of Mr. Rupert or Dr. Cepu. That inference is not particularly adverse to the plaintiffs.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Expert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The two most significant questions in this case: whether the cork was inappropriately positioned at the time of the overhaul and, if so, whether that caused the accident, are questions that must be answered with the assistance of experts. The defendant suggested in its cross-examination of the plaintiffs' expert witnesses that the first impression, based upon what was acknowledged to be a cursory examination of the helicopter at the accident scene, that the accident was the result of overheating of the pinion due to oil starvation led them to inappropriately discount other potential causes.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The defendant says that the plaintiffs' failure theory was the beginning and the end of the plaintiffs' efforts to inquire into the actual cause of the accident. It is true that the plaintiffs thought the cause of the accident to be so obvious that only certain parts had to be retained and examined. It is fair to say the plaintiffs should have conducted more searching analysis. The significance of that failure hinges, however, on the strength of the case now presented, on the extent to which they were correct in saying that the cause of the accident was glaringly obvious.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The defendant says the initial conclusion arrived at by Mr. Mizera led to a failure to fully examine the wreckage and the failure to retain material parts. They say Mr. Mizera's opinions inappropriately predisposed other experts to share his conclusion. Those experts, in turn, are said to have influenced each other. Mr. Ward affected Mr. Heath and Mr. Rupert and they, in turn, affected Dr. Cepu. There is no doubt that the summary conclusion of Mr. Mizera did affect the nature of the initial investigation. I am of the opinion, however, that the subsequent consideration of the case by other experts was not unduly affected by Mr. Mizera's opinion, although the scope of their investigations were limited to an examination of the material that was collected and made available to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It is frequently the case that experts are retained after the parties have arrived at a preliminary opinion as to the principal questions in issue. It is not uncommon for those preliminary opinions to be shared with the experts. In this case, it would have been unusual for Mr. Mizera, a person with some acknowledged expertise, to have withheld his opinion from the insurance adjuster retained by his insurer to respond to the claim, or from the accident reconstruction experts who then took over the investigation. The court relies upon experts to come to the case dispassionately and to subject their client's theories to appropriate scrutiny. There is no doubt that in this case both the plaintiffs' experts and the defendant's experts knew of their clients' interests and their preliminary views.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Having considered Mr. Rupert's evidence, I reject the defendant's suggestion there was intentional concealment of the Cobra accident and the Cobra report. I attribute no inappropriate motive to any of the experts.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The defendant's expert, Dr. Morris, made some significant technical errors. Dr. Morris acknowledged that the statement at p. 8 of his December 6, 2011, report that "The forward member of the duplex bearing set remains attached to the drive quill pinion and rotated with it at the time of my last inspection" is wrong. He asked that it be crossed out. That is not a minor or insignificant error. It is contained in his conclusions and immediately follows the statement: "In fact, there is persuasive metallurgical evidence that the duplex bearing set continued to rotate for some brief time after the pinion shaft failed".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The error is repeated on p. 13 of the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forward member of the duplex ball bearing set is mechanically damaged, with some associated thermal damage. It can be seen through the oil drain hole in the sleeve (#22 in Fig. 7) of the tail rotor drive quill (Fig.9). The bearing balls show severe mechanical distress; they have been flattened and have penetrated the outer bearing race and the duplex bearing seal (#10 in Fig.6). However, the forward roller bearing is still attached to the drive quill shaft and rotates with the shaft (Fig. 37). It appears that the bearing outer race spun against the sleeve while the inner race remained attached to the pinion gear shaft. There appears to be residual lubricant on the bearing.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xml:space="preserve">  Dr. Morris acknowledged that this paragraph contains "worst mistake in this analysis". Dr. Morris testified that in this section of his report he was attempting to see if the shaft could be rotated in the forward bearing of the duplex set. The conclusion that the forward </w:t>
      </w:r>
      <w:r>
        <w:rPr>
          <w:rFonts w:ascii="arial" w:eastAsia="arial" w:hAnsi="arial" w:cs="arial"/>
          <w:color w:val="000000"/>
          <w:sz w:val="20"/>
          <w:u w:val="single"/>
          <w:lang w:val="en-US" w:eastAsia="en-US" w:bidi="ar-SA"/>
        </w:rPr>
        <w:t>roller bearing</w:t>
      </w:r>
      <w:r>
        <w:rPr>
          <w:rFonts w:ascii="arial" w:eastAsia="arial" w:hAnsi="arial" w:cs="arial"/>
          <w:color w:val="000000"/>
          <w:sz w:val="20"/>
          <w:lang w:val="en-US" w:eastAsia="en-US" w:bidi="ar-SA"/>
        </w:rPr>
        <w:t xml:space="preserve"> is still attached to the drive quill shaft is intended to refer to the </w:t>
      </w:r>
      <w:r>
        <w:rPr>
          <w:rFonts w:ascii="arial" w:eastAsia="arial" w:hAnsi="arial" w:cs="arial"/>
          <w:color w:val="000000"/>
          <w:sz w:val="20"/>
          <w:u w:val="single"/>
          <w:lang w:val="en-US" w:eastAsia="en-US" w:bidi="ar-SA"/>
        </w:rPr>
        <w:t>forward ball bearing</w:t>
      </w:r>
      <w:r>
        <w:rPr>
          <w:rFonts w:ascii="arial" w:eastAsia="arial" w:hAnsi="arial" w:cs="arial"/>
          <w:color w:val="000000"/>
          <w:sz w:val="20"/>
          <w:lang w:val="en-US" w:eastAsia="en-US" w:bidi="ar-SA"/>
        </w:rPr>
        <w:t xml:space="preserve"> in the duplex set. But Dr. Morris was not looking at the forward bearing in the duplex set. He mistook a spacer for the cage of the bearing. Figure 37, to which he refers, depicts a spacer, not a bearing. He could not see the bearing balls. He said, referring to his mistaken understanding of the appearance of the spacer: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haste, I -- I mistook that for a bearing cage on the aft bearing and interpreted these pictures to be rolling elements that had been sheared off or deformed off in that aft bearing. That was incorrect.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Dr. Morris suggested that that it would be appropriate to remove the whole paragraph in the middle of page 13 from his report. It is difficult to see how this error could be inconsequential, given the weight he afforded to these observations in the report itself. There were repeated references to his erroneous conclusion. At p. 23 of his report, he notes: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both Mr. Rupert and I have noted, the pinion shaft can be turned easily and smoothly to this day. As documented in Fig. 37, the forward member of the duplex bearing set is still attached to the pinion shaft, and rotates with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At the bottom of the same page, summarizing his conclusion that the bearings in this case did not disintegrate, he notes: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Finally, I should comment on the damage to the forward member of the duplex bearing set. As documented in Fig. 37, this bearing remains attached to the pinion shaft and rotates with it. The balls and outer race are, however, significantly damaged, primarily by a relatively clean wear that forced the bearing outer race onto the balls and wore the balls flat where they penetrated the outer race. Much of this damage certainly occurred after the failure of the pinion shaft since the unit would continue to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When he acknowledged that all references in this report to the forward member of the duplex bearing set are in error, and asked that they be removed, Dr. Morris did not explain the cause of the error other than to say that it was made in haste.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That significant error, coupled with Dr. Morris' repeated reference to the duplex ball bearing set as "the roller bearing set" suggests some unfamiliarity with the quill assembly components.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Unfamiliarity with the mechanics of the helicopter was also reflected in the fact Dr. Morris did not know that the tail rotor drive shaft was contained within a tunnel in the engine bay. That was surprising, given his specific and detailed testimony with respect to the cause of the fracture of the drive shaft in that bay. Dr. Morris, while an expert in metallurgy, appeared to be relatively unfamiliar with the design of helicopter engines and components, and their maintenance.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I accept that the plaintiffs' experts were, at times, careless with respect to speculation as to why the Advantage helicopter was capable of functioning for so long without adequate lubrication.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xml:space="preserve">  The plaintiffs' experts were occasionally adversarial in their approach to the case. The defendant fairly suggested that Dr. Cepu was occasionally an advocate. However, Dr. Morris equally engaged in advocacy, as illustrated by his December 29, 2012, correspondence with counsel in which he suggests that Dr. Cepu does not make "much of a point against </w:t>
      </w:r>
      <w:r>
        <w:rPr>
          <w:rFonts w:ascii="arial" w:eastAsia="arial" w:hAnsi="arial" w:cs="arial"/>
          <w:color w:val="000000"/>
          <w:sz w:val="20"/>
          <w:u w:val="single"/>
          <w:lang w:val="en-US" w:eastAsia="en-US" w:bidi="ar-SA"/>
        </w:rPr>
        <w:t>us</w:t>
      </w:r>
      <w:r>
        <w:rPr>
          <w:rFonts w:ascii="arial" w:eastAsia="arial" w:hAnsi="arial" w:cs="arial"/>
          <w:color w:val="000000"/>
          <w:sz w:val="20"/>
          <w:lang w:val="en-US" w:eastAsia="en-US" w:bidi="ar-SA"/>
        </w:rPr>
        <w:t xml:space="preserve">" and says "will have to look at the report, which presumably will say things </w:t>
      </w:r>
      <w:r>
        <w:rPr>
          <w:rFonts w:ascii="arial" w:eastAsia="arial" w:hAnsi="arial" w:cs="arial"/>
          <w:color w:val="000000"/>
          <w:sz w:val="20"/>
          <w:u w:val="single"/>
          <w:lang w:val="en-US" w:eastAsia="en-US" w:bidi="ar-SA"/>
        </w:rPr>
        <w:t>adversarial to us.</w:t>
      </w:r>
      <w:r>
        <w:rPr>
          <w:rFonts w:ascii="arial" w:eastAsia="arial" w:hAnsi="arial" w:cs="arial"/>
          <w:color w:val="000000"/>
          <w:sz w:val="20"/>
          <w:lang w:val="en-US" w:eastAsia="en-US" w:bidi="ar-SA"/>
        </w:rPr>
        <w:t>"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When testifying in relation to alternate theories of causation, in particular, Dr. Morris appeared to be adamant when there was no cause to be adamant and appeared to be reluctant to agree with some propositions put to him by plaintiffs' counsel that seemed to flow logically from his own testimony. When it was suggested to Dr. Morris that his theory was inconsistent with the evidence of the pilot he suggested the pilot suffered a severe loss of memory after the accident. He noted, "one learns very quickly to take reports or recollections of events during an accident as a piece of evidence, but certainly not an infallible piece of evidence." He then referred to the pilot's loss of memory after entering auto rotation and said: "So he blacked out at this point, and he's talking about events that happened just before he blacked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Dr. Morris' testimony with respect to the pilot's loss of memory was entirely speculative and unfounded. When the pilot, Mr. Batty, testified he appeared to have a clear and reliable memory of events until seconds before impact. The quality of his memory was not questioned on cross-examination and I believe him to have given very accurate account of events and in particular a very accurate account of the onset of problems he experienced flying the helicopter.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Both experts, at times, expressed opinions without having sufficiently investigated the evidence in support of those opinions. On critical points, however, in my view, Dr. Cepu conducted a more specific and scientific investigation. For example, in order to test his theory that oil could have leaked past the cork into the pinion, he performed a vacuum test, which was videotaped. In order to test his theory that the balls in the duplex bearing had been subjected to prolonged and extreme heat he conducted a hardness testing. Like Dr. Morris, he examined images of the surface of the metal components with an electron microscope. Dr. Morris, in contrast, tested one of his significant theories, the ability of the epoxy to re-bond by conducting an undocumented test in a toaster oven at his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Notwithstanding the frailties of the expert evidence, it is essential in this case that I rely upon what I can fairly take from the opinions of the experts to assist me in coming to a conclusion on the critical questions.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Pre-Accident Location of the Cork in the 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In my view, the starting point of the analysis in this case must be a weighing of the evidence with respect to the location of the cork in the tail rotor drive quill assembly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The defendant argued, at great length, that the court should find that Mr. Mayhugh followed appropriate procedure in the placement of the cork in the pinion. The defendant points to Mr. Mayhugh's evidence that he learned how to perform transmission overhauls under the instruction of Patrick Felice. There is, however, no suggestion that Mr. Felice instructed Mr. Mayhugh on appropriate procedure before he worked on the Advantage helicopter. The plaintiffs refer to a record of inspection of Mr. Mayhugh's work by Mr. Felice, but, as noted above, the inspection record is not reliable. Mr. Mayhugh could not testify with respect to the completion of the inspection record and Mr. Felice was not called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The defendant says the natural inference that should be drawn from his evidence is that Mr. Mayhugh would have followed a standard practice, consulted manuals as required, and, if he had any questions he would have consulted with a more senior mechanic. I cannot draw such inferences from Mr. Mayhugh's evidence. He had not yet developed a practice. He does not claim to have consulted manuals; the manuals available to him were not helpful. He did not testify that he consulted a senior mechanic with respect to this job. No senior mechanic testified. His testimony, in short, in my view, amounts to saying that he knew what he was doing and if he did not, he would have consulted someone who did. That evidence is of little value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The starting point of the defence argument is that the Cobra accident is evidence that if the cork is improperly placed the duplex bearings will not be properly lubricated and will fail within hours. The defendant says, given the long life of the tail rotor drive quill before failure, the plaintiffs must demonstrate how sufficient oil could have reached the duplex bearing to permit it to operate for over 500 hours, and explain why that oil suddenly became inadequate on the day of the accident. This is said to be an insuperable hurdle.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xml:space="preserve">  The defendant argues there should be no shift of the evidentiary burden in this case. I agree. The question in this case is whether the evidence led by the plaintiffs may result in an inference being drawn adverse to the defendant. That is a matter of weighing all of the evidence: </w:t>
      </w:r>
      <w:r>
        <w:rPr>
          <w:rFonts w:ascii="arial" w:eastAsia="arial" w:hAnsi="arial" w:cs="arial"/>
          <w:i/>
          <w:color w:val="000000"/>
          <w:sz w:val="20"/>
          <w:lang w:val="en-US" w:eastAsia="en-US" w:bidi="ar-SA"/>
        </w:rPr>
        <w:t>Snell v. Farrell,</w:t>
      </w:r>
      <w:r>
        <w:rPr>
          <w:rFonts w:ascii="arial" w:eastAsia="arial" w:hAnsi="arial" w:cs="arial"/>
          <w:color w:val="000000"/>
          <w:sz w:val="20"/>
          <w:lang w:val="en-US" w:eastAsia="en-US" w:bidi="ar-SA"/>
        </w:rPr>
        <w:t xml:space="preserve"> </w:t>
      </w:r>
      <w:hyperlink r:id="rId346" w:history="1">
        <w:r>
          <w:rPr>
            <w:rFonts w:ascii="arial" w:eastAsia="arial" w:hAnsi="arial" w:cs="arial"/>
            <w:i/>
            <w:color w:val="0077CC"/>
            <w:sz w:val="20"/>
            <w:u w:val="single"/>
            <w:shd w:val="clear" w:color="auto" w:fill="FFFFFF"/>
            <w:lang w:val="en-US" w:eastAsia="en-US" w:bidi="ar-SA"/>
          </w:rPr>
          <w:t>[1990] 2 S.C.R. 311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In responding to questions at trial, Dr. Morris took the view there should be a default assumption that the cork was displaced by the accident; and the conclusion that the cork was in the wrong position prior to the accident should only be drawn if the cork could not move or if there was probative evidence that it did not move as a consequence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In Dr. Morris' last report, he appears to start from the assumption that the cork had been displaced as result of the accident, because he thought there was no evidence of inadequate lubrication of the duplex bearing. The presumption that the cork moved is reflected in the statement made on p. 28 of his last report, where Dr. Morris writes: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Since the duplex bearing set did not seize, and shows no obvious sign of inadequate lubrication, the only reason I can identify to suppose that the cork was incorrectly placed is the simple observation that it was incorrectly positioned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The approach taken by Dr. Morris was reflected in his testimony at trial when he said, referring to his theory that the cork was pushed forward in the pinion as result of the forces that were present at the time of the failure of the drive shaft: "So I would argue that that is the default interpretation of what we see, and that someone who wishes to make another interpretation has a burden of proof to show that they're putting forward a reasonable interpretation."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This is an adversarial, rather than a scientific position. I do not believe that the experts looking at the evidence in this case ought to have arrived at a "default interpretation" and required those challenging that interpretation to discharge the burden of proof. I do not regard it as an appropriate starting point for scientific inquiry. The experts should not have started with assumptions with respect to whether the cork was correctly or incorrectly installed, and looked for reasons to displace those assumptions. They should, rather, have weighed evidence in support of the conclusion the cork was installed where it was found against evidence that it moved after installation.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The Court comes to this analysis with no presumption with respect to the location of the cork. Had there been some good, reliable evidence that the cork was placed in the appropriate location at the time of the overhaul, I might have been prepared to begin this analysis with the assumption that the cork, like other broken or out-of-place equipment was probably displaced by the accident. There being no record or recollection of it being installed, I do not start with that presumption.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There is no evidence the cork moved or was dislodged between the date of the overhaul and the date of the accident. There is no evidence of intermediate repair. The experts have addressed only two possibilities: the possibility that the cork was improperly installed during overhaul and the possibility it became dislodged and moved during the accident. Dr. Morris acknowledges that the cork could not have moved late in the sequence of events, after the pinion fractured. If it had been installed in the appropriate location, it would have been in the pinion shaft at a point aft of the location of the fracture. Dr. Morris therefore postulates the existence of some mechanical force pushing the cork forward in the pinion before the fracturing of the shaft. It is necessary to suppose a very specific and difficult to explain sequence of events in order to account for the movement of the cork in a manner consistent with Dr. Morris' theory. The cork would have to be heated, to loosen the seal that held it in its initial position. It would have had to "pop," in Dr. Morris' words, and move forward into the wider section of the middle of the pinion while being forced further forward by torsion as the pinion twisted. It must initially have moved as result of forces sufficient to cause what he considered to be a fracture of the walls of the cork.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Until destructive testing was conducted in this case, the cork remained in position at the narrow neck of the pinion close to the beveled gear at the front of the shaft. Although there was some evidence with respect to damage to the sides and the aft end of the cork it was more or less intact. Epoxy covered its forward surface, and some of the epoxy adhered to the inside wall of the pinion, holding the cork in position. The theory that the cork moved to this position as a consequence of the failure that led to the crash would have to explain the movement of the cork through the pinion, the preservation of most of the substance of the cork and the adhesion of the epoxy to the side of the pinion at its forward edge.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Dr. Morris suggests that the cork might have moved easily because it had been operating in hot oil for 500 hours and "what that does to this particular epoxy is a question that, so far as I know, no one has accurately addressed." The suggestion by Dr. Morris that over time the cork in the pinion might become movable seems to disregard the fact that it is designed to remain fixed in place by that epoxy in that environment. He says, in my view without apparent justification, referring to the cork in the pinion: "It does not have to have any structural integrity" to seal the 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Dr. Morris suggests that the cork might have moved easily because it might have been undersized; it might have relaxed over time; and heat over a long period might have caused the epoxy to lose its structural integrity. Dr. Morris was quick to speculate with respect to potential reasons why the cork might not have adhered to the wall of the pinion and too quick to discount the obvious reasons why cork would not easily have moved against pressure from the position in which it was initially installed, if it had been installed correctly.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Dr. Morris acknowledges there was some bonding of the epoxy to the wall of the pinion in the position in which was found after the accident. He says, however, that was very weak re-bonding and that can happen at high temperature. That is the point of the experiment he performed at his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The plaintiffs concede there is some evidence of slight movement of the cork. There is some evidence, in Dr. Morris' experiment, to suggest the epoxy might re-bond to adjacent surfaces in a very hot environment (although in my view, as I have noted, that did not establish that the epoxy could re-bond after being heated to a point where it lost its adhesive character). They say, however, it is unlikely the cork could have travelled the distance suggested by Dr. Morris and come to rest at the position in which it was found and re-bond, at it appears to have done, to the wall of the pinion bore. There is no good explanation that would account for the movement of the cork within the core of the pinion as result of the forces that might have been exerted in the accident. There is very little evidence to suggest that any significant force could be exerted upon the pinion emanating from the rear of the helicopter. Dr. Morris suggests that the deformation of the shaft was the result of a torsional force and the squeezing of the pinion would have tended to push the cork forward. This is conjecture. There was some clear deformation of the pinion at the point where it came into contact with the duplex bearing and aft of that point. There was no evidence to suggest squeezing, torsional deformation of the pinion forward of that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In my view it is unlikely that the cork moved forward in the pinion while oil was being forced under pressure against its forward face. There is no reason to conclude that large mechanical forces were exerted upon the cork, and in weighing the opinion of Dr. Morris, I must bear in mind that the cork was designed to remain fixed in place within the shaft of the pinion in normal, high operating temperatures.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Having considered the evidence of the condition of the cork, the surface of the pinion, the appearance, color, and edges of the epoxy surface of the forward edge of the cork, I am of the view that the cork in the pinion of this helicopter was improperly installed at or very close to the location which was found after the accident when the overhaul was conducted by Heliponents.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This conclusion is, in my view, borne out by the evidence with respect to the manner in which the accident occurred, and the damage to the components of the helicopter discussed below.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Failure Sequence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There are two competing theories to account for the loss of tail rotor authority and the crash in this case. The first theory, that advanced by the plaintiffs, is that improper placement of the cork led to oil starvation, overheating, and failure of the pinion at the point where it rubbed against the duplex bearing. The defence theory is that some event aft of the tail rotor quill fractured the tail rotor drive shaft leading to uncontrolled flailing of a broken section of the drive shaft behind the tail rotor drive quill. Dr. Morris says a mechanical load was applied from the rear down the tail rotor shaft causing it to bear severely against the corner of the bearing set, splaying it's inner race. He says that torsional load caused the shaft to heat and extrude along its length, weakening it until it broke. In Dr. Morris' view, the damage to the components of the duplex bearing was initially mechanical rather than a result of fiction or heat.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The plaintiffs say there are no means by which the tail rotor drive shaft can displace the axis of revolution of the pinion. The drive shaft is hollow and made of an aluminum copper alloy. The pinion shaft is steel and much stronger than the rotor drive shaft. When it was suggested to Dr. Morris that it is more likely that off-axis rotation of the pinion caused damage to the drive shaft, than a problem originating in the drive shaft affecting the pinion,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Well, let's be clear here. It's my position that the quill was off axis because there was a problem in the tail rotor drive shaft. Now, if you're asking me to assume that there was no problem in the tail rotor drive shaft and the quill is slightly off axis for some other reason, then how much wobble would go into the drive shaft really depends on how much of it is accommodated by the splines in the elastomeric seal between the inner and outer coupling, which is intended to sort of insulate those two pieces from one another.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Dr. Morris suggested that off-axis rotation of the lighter drive shaft, which has to pass through the splines and couplings and should be accommodated by them, can cause the pinion to rotate off-axis. However, as indicated in the above passage and the following exchange, he seemed reluctant to concede that damage to the tail rotor drive shaft could be caused by deformation and wobbling of the 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if you assume that at that point the pinion was cocked, there would be an off axis centre of rotation in the pinion that would create a sympathetic misalignment with the tail rotor drive shaft aft of that point, would it not?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I'm not certain that's true, because you have the inner and outer couplings and the elastomeric seal to kind of cushion that alignment. The thing is designed so it can get slightly out of line without causing any problem. That's part of the design of that unit. The wobble back in this unit, in my opinion, was due to the fact it was already broken, and I think that's clear from the evidence. So it's not at that point so much that the pinion is out of line as that the tail rotor drive shaft is broken and, therefore, flopping around.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Dr. Morris was reluctant to agree that the splined coupling is designed to absorb movement and pressure. Initially he said it was not designed to absorb radial movements; when pressed he said was designed to resist but not to absorb radial movement. Initially he indicated that it has limited tolerance to absorb radial movement but he did not argue when it was suggested to him that the stop is at quite an extreme position. He did not attempt to analyze the forces that might be necessary to cause misalignment of the drive shaft 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It does not stand to reason that a force applied from the rear down the tail rotor shaft could cause the evident damage to the pinion and drive quill assembly that occurred in this case. On this point, I accept the expert opinion of Dr. Cepu that a force applied down the drive shaft to the pinion would not transmit a load to the duplex bearing because there is a splined connection between the drive shaft and the pinion. Those splines will transmit torque but not axial load.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No plausible potential cause of the accident, other than overheating of the duplex bearing, was specifically identified. Although there is some evidence that the helicopter had been used to lift logs of a weight that would cause it to exceed its maximum lift capacity, the evidence does not establish that doing so caused the accident in this case. The experts did not testify to any theory that would attribute the failure of the tail rotor drive shaft or the quill assembly to the lifting of a heavy load.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The defendant notes that there is no record of the performance of an engine-to-transmission main drive shaft alignment check having been performed when the transmission was installed in June 2007. Mr. Partridge has no specific recollection of such an alignment check being conducted. Mr. Rupert and Mr. Partridge in cross-examination, acknowledged that the failure to perform an alignment might result in damage to the input drive shaft. It was not suggested such damage had occurred in this case, nor was there any evidence with respect to the consequences of damage to the input drive shaft. If that was a significant potential cause, I expect it would have been addressed and considered by Dr. Morris. The only apparent reference by Dr. Morris to misalignment appears on p. 17 of his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failure appears to have resulted from a tensile load that broke the shroud covering the driveshaft and created a misalignment at the coupling between the driveshaft and the main gearbox, resulting in severe mechanical damage at the joint.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When examined in chief at trial with respect to misalignment of the coupling between the drive shaft and the main gearbox,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analyzing that damage, it looks like the shaft kind of came apart and then, rotating, went back together. So I photographed this and included it in the report. It did not play a major part in my analysis, because we're concerned about the drive quill and going back from the drive quill. But, you know, it's at least possible that this played some role in the initiation of the accident. I don't know.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It was not further explored.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While I recognize there is no onus upon the defendant to establish any competing cause of the accident to that proposed by the plaintiffs, acceptance or rejection of the plaintiffs' hypothesis may be a matter of weighing competing hypotheses.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Both theories of causation have weaknesses. The defence says there is no explanation why the lubrication to the duplex bearing should have become suddenly inadequate. The defence expert says that long, slow degeneration of the lubrication should have resulted in signs of metal fatigue, rather than sudden failure. The plaintiffs say there is no explanation for the sudden failure of the tail rotor drive shaft that is at the heart of the defence theory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The plaintiffs' theory is consistent with and supported by the evidence of the pilot. Mr. Batty's evidence was that he noted a burning smell, suggestive of significant unusual heat, before he noted the loss of tail rotor control. That failure sequence describes a rapid accumulation of significant heat followed by an incident that disrupted the tail rotor drive shaft. That suggests that there was a problem that preceded the fracture of the tail rotor drive shaft rather than a problem emanating from a fracture of the tail rotor drive shaft, the theory propounded by Dr. Morris. It is significant that the pilot experienced no loss of control or power before noting signs of heat or burning. It is also significant, in my view, that there were no indicator lights or alarms before the loss of tail rotor control. This is supportive of the theory that the incident occurred because of a lack of lubrication fluid.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The strength of the plaintiffs' theory of causation, in my view, was reflected by the difficulty Dr. Morris had in addressing the pilot's evidence and instead suggesting that the pilot's evidence might not be reliable. The plaintiffs say, and I agree, it is significant that, when Dr. Morris developed his hypothesis, he had no knowledge of the pilot's description of the sequence of events that led to the crash.</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Damage to the Duplex Bearing and 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There are conflicting descriptions of the extent of the damage to the duplex bearing and the pinion. Dr. Morris testified that the bearing has become more difficult to rotate over the years since he first examined it. He says it was initially easy to move the balls with finger pressure but that cannot now be done. Even initially, however, the rotation was limited. Dr. Morris attributed this difficulty on initial examination to "geometric constraints due to external and mechanical damage" rather than heat damage to the balls or the races. Even on initial examination the bearing was not functional. That damage was sufficient to cause the inner race of the bearing to break free of its compression fitting on the pinion and to rotate against the surface of the pinion. Dr. Morris agrees there was some separation and friction between the pinion and the aft inner ring of the duplex bearing. That friction clearly contributed to the development of significant heat at the location of the pinion fracture. The broken segment of the pinion was so hot when the fracture occurred, that it scorched the floor of the fan bay. The question is not whether that occured but whether it was a precursor to or consequence of the failure of the tail rotor drive assembly.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Dr. Morris' evidence with respect to heat damage to the duplex bearing is qualitative and vague. In response, the plaintiffs have adduced quantitative evidence of the temperatures to which the bearing components were exposed. There is good, reliable evidence of the bearing being exposed to very significant heat. The microscopic examination of the balls demonstrates evidence the failure of the bearing was due to heat. Using an electron microscope, Dr. Cepu identified significant damage to the balls in the duplex bearing; all of them have skid-marks, there are numerous flat spots, and there is a "scalloping" of the surface of the balls. Electron spectroscopy demonstrates the presence of copper, the source of which must have been the bearing cage, smeared on the surface of the balls in the bearing. Hardness testing demonstrates that the balls were very significantly heated, to a temperature Dr. Cepu estimates at 2000[degrees]C. There was clearly disintegration of the cage.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There is no doubt there was accumulation of sufficient heat at the bearing/pinion interface to cause the pinion to overheat to the point where the steel pinion became malleable and it was deformed. There is no doubt the pinion was deformed at the point where it came into contact with the inner race of the duplex bearing. There is a dispute on the evidence with respect to the extent of the damage to the pinion at that point, but there is some evidence of damage due to abrasion of the pinion by the inner race of the bearing. Dr. Cepu points to the presence of portions of the inner race that appear to have broken off the race and become welded to the pinion. In my view that evidence is persuasive proof the bearing/pinion interface became so hot that the inner ring was at least momentarily welded to the 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Dr. Morris agrees that the inner ring of the aft bearing in the duplex set has been scoured out by one part of the pinion. This could only have occurred if it was held in a fixed position while the pinion was rotating. Dr. Morris says the scouring occurred after the fracture. The inner race was still turning with the shaft under power for at least some time before it became frozen. Dr. Morris's conclusion that the shaft and inner race do not show signs of rotation against each other for a lengthy period of time is inconsistent with his evidence that the pinion was extruded and became thin as result of the overheating of the inner ring of the aft member of the duplex bearing.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In cross-examination of Dr. Morris there was a long exchange with respect to how the scouring incurred on the inside edge of the aft bearing in the duplex set. It was suggested to Dr. Morris that the most probable cause of the scouring was rotation of the pinion against the bearing after it had become fixed. In response Dr. Morris asked: "What are you hypothesizing made it stationary? The balls didn't. It rotates to this day." That response was argumentative and is inconsistent with Dr. Morris's own evidence that, at some point, as a result of the balls riding up on the races, the bearing overheated, stopped functioning and separated from the 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In summary, there is evidence of the accumulation of sufficient heat on the surfaces of the duplex bearing to cause erosion of and damage to the balls and to cause the duplex bearing to cease functioning as a bearing. There is evidence of heat damage to the cork, but more significantly to the races and balls in the duplex bearing and, particularly significantly, to the steel pinion itself. I find persuasive the plaintiffs' argument that mechanical forces alone or primarily mechanical forces exerted by the rotation of a broken section of the drive shaft are unlikely to have caused the significant distortion to the steel of the pinion if the pinion had not been weakened and deformed by heat before the fracture of the tail rotor drive shaft.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Dr. Cepu, in my view, adequately explains the evidence of damage aft of the quill assembly as damage caused by the rotating components before and after failure of the 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On the other hand, the defendant's expert had difficulty explaining how a fracture of any segment of the tail rotor drive shaft could produce forces of such significance as to twist off the steel pinion at the point at which it fractured and to cause the evidence damage to the duplex bearing. It stands to reason, in my view, that the off-kilter rotation of the pinion caused the tail rotor drive shaft to rub against the walls of the aperture and firewall and fracture. It is difficult to conceive of a means by which off kilter rotation of the tail rotor drive shaft can in any way had been transmitted through the assembly in such a manner as to cause the obvious damage to the aft duplex bearing and, in particular, the much more limited damage to the forward bearing that occurred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It should be borne in mind that Dr. Morris posits a sequence of events that is not very dissimilar from the plaintiffs' theory. In cross-examination he put it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Bearing failures tend to have rather similar features, whatever their source was, in general ... If you're talking about pinion failure, the pinion failed, largely because the bearing failed. A failure sequence was initiated, which resulted in the fracture of the pinion and damage to the bearing ... The nature of that failure appears to be a misalignment of the pinion, which caused it, and the bearing to come out of misalignment, and then they failed together... So -- and you really can't separate the pinion failure and the bearing failure... when you characterize what I am saying, you have to be a bit specific on what you mean by "failure." The initiating event of the failure sequence appears to be some cocking or misalignment of the pinion which caused a misalignment of the bearing, and then caused it to fail... So the initiating event was the misalignment of the pinion, right, but not the fracture of the pinion. That came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Damage to the drive shaft aft of the quill, in Dr. Morris's view, caused off-axis rotation of the pinion. That led to accumulation of heat at the interface between the pinion and the duplex bearing. The heated pinion fractured under torsional load. According to this scenario, there was a period during which excessive heat was generated in the duplex bearing. At a certain point, the bearing stopped functioning normally and the pressure fitting between the bearing and the pinion failed. For a very brief period of time, before the fracture of the pinion, a broken piece of the tail rotor drive shaft would have flailed about in the transmission bay.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The plaintiffs' theory is that the sequence of events leading to failure began with overheating of the duplex bearing. When it stopped functioning normally, the pressure fitting between the bearing and the pinion was broken. That led to the generation of excessive heat, and the extrusion and wobbling of the pinion. That in turn led to the fracture of the tail rotor drive shaft, which would have flailed about in the transmission bay, briefly, before the crash. Where Dr. Morris' theory departs substantially from the plaintiffs' theory there is, however, little support for Dr. Morris' view. The principal frailties in this theory, in my view, are:</w:t>
      </w:r>
      <w:r>
        <w:rPr>
          <w:rFonts w:ascii="arial" w:eastAsia="arial" w:hAnsi="arial" w:cs="arial"/>
          <w:sz w:val="20"/>
          <w:lang w:val="en-US" w:eastAsia="en-US" w:bidi="ar-SA"/>
        </w:rPr>
        <w:cr/>
      </w:r>
    </w:p>
    <w:p>
      <w:pPr>
        <w:numPr>
          <w:numId w:val="2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inconsistent with the accident sequence as described by the pilot;</w:t>
      </w:r>
    </w:p>
    <w:p>
      <w:pPr>
        <w:numPr>
          <w:numId w:val="2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it leaves unresolved the question of what type of event caused the initial failure of the drive shaft; and</w:t>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 apparent means by which what he describes as impact damage was inflicted upon the duplex bearing, and no accounting for the force that drove the cork forward in the 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Dr. Morris did not address these frailties in his theory. He agreed that he formed the opinion that the duplex bearing was unable to withstand the radial and the moment forces that were exerted on the splined end of the pinion without doing any calculation of those forces, and without looking at the load rating of the bearing. He agreed with the proposition that the only way one can transfer the bending moment to the duplex bearing in this assembly is if the angle of the off axis rotation exceeds the ability of the coupling assembly to absorb some off axis rotation in the aft segments of the tail rotor shaft. At some point in the failure sequence, the keys of the splines and the outer coupling assembly bore against the steel shaft quite severely. This was a hypothesis that was not subjected to any particular engineering analysis by Dr. Morris.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Criticism of the Plaintiffs' Theory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The plaintiffs, on the other hand, did attempt to grapple with the principal criticism of their theory of causation, the argument that the helicopter could not have flown for over 500 hours with an inadequately lubricated duplex bearing. The plaintiffs' response to this criticism is that the failure sequence is complex and will differ from case to case. Helicopter components are manufactured with various degrees of tolerance and some equipment may be more forgiving of a lack of lubrication than other equipment. There is some supply of lubrication to the duplex bearing through the roller bearing, even where the cork is in the wrong location. Last, the plaintiffs say it is probable that there was some leakage of oil through the improperly placed cork.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Some effort was made to confirm this last theory by testing the cork after the accident to see if it properly sealed the pinion shaft. Water was able to leak past the cork, suggesting that some oil may have traveled to the duplex bearing past its incomplete epoxy seal. The theory was further validated by the vacuum test conducted by Dr. Cepu. I accept the evidence of the plaintiffs' experts to the effect that insufficient, rather than nonexistent, lubrication caused this accident and that their theory is not inconsistent with the helicopter operating for significant period of time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The evidence and opinions expressed in relation to the Cobra accident are, to a certain extent, supportive of the plaintiffs' theory. The differences between the accidents are not such as to convince me that the Advantage accident had a different cause. The Cobra accident is cogent evidence of the fact that inappropriate placement of the cork in this helicopter's tail rotor drive quill can lead to overheating of the duplex bearing, failure of the pinion, and loss of tail rotor control. It is noteworthy that the pinion was distorted at the same location and similarly twisted in both the Cobra and Advantage helicopters.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It was clear from the photographs that the Advantage bearing was not as significantly damaged as the bearing removed from the Cobra helicopter after the 1991 accident. However the Advantage pinion was more significantly deformed. In my view, Dr. Cepu' explanation of the difference is plausible. The failure sequence in the case at bar clearly differed from the failure sequence in the Cobra case. There is evidence in this case that the pinion was only briefly welded to the inner race of the bearing. Dr. Cepu says the pinion appears to have overheated quickly and extruded. Once it lost contact with the inner race, the heat source was removed from the bearing and the heat destruction of the duplex bearing came to an early end. Dr. Cepu points out that the pinion was welded to the inner race in the Cobra accident and the heat damage appears to have been greater because the duration of exposure to heat must have been longer.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In my view, the plaintiffs' theory of causation is most consistent with the failure sequence described by the pilot. That theory is supported by physical evidence, particularly the position of the cork, the damage to the duplex bearing, the indication that the bearing became welded to the pinion, and the nature of the damage to the pinion. The theory is not inconsistent with any significant physical evidence and further, it occurred in a fashion that bears some significant similarity to a previous incident arising from the same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238</w:t>
      </w:r>
      <w:r>
        <w:rPr>
          <w:rFonts w:ascii="arial" w:eastAsia="arial" w:hAnsi="arial" w:cs="arial"/>
          <w:color w:val="000000"/>
          <w:sz w:val="20"/>
          <w:lang w:val="en-US" w:eastAsia="en-US" w:bidi="ar-SA"/>
        </w:rPr>
        <w:t>  The plaintiffs, in my view, have adequately addressed objections to their theory, principally the lengthy time it took for the problem to develop after the transmission overhaul and the differences in the physical damage that occurred in the Cobra accident and the damage that occurred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239</w:t>
      </w:r>
      <w:r>
        <w:rPr>
          <w:rFonts w:ascii="arial" w:eastAsia="arial" w:hAnsi="arial" w:cs="arial"/>
          <w:color w:val="000000"/>
          <w:sz w:val="20"/>
          <w:lang w:val="en-US" w:eastAsia="en-US" w:bidi="ar-SA"/>
        </w:rPr>
        <w:t>  Last, I must note that there is little in the evidence of Heliponents to cause me to believe it was unlikely that the cork was misplaced at the time of the overhaul of the transmission. I am of the view that it is highly improbable the cork moved to the location at which was found as result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240</w:t>
      </w:r>
      <w:r>
        <w:rPr>
          <w:rFonts w:ascii="arial" w:eastAsia="arial" w:hAnsi="arial" w:cs="arial"/>
          <w:color w:val="000000"/>
          <w:sz w:val="20"/>
          <w:lang w:val="en-US" w:eastAsia="en-US" w:bidi="ar-SA"/>
        </w:rPr>
        <w:t>  Despite the complex evidence in this case, the causation analysis ultimately amounted to a choice between two competing explanations of the physical evidence. The loss of tail rotor authority might have been a result of damage to the tail rotor drive quill that resulted in off axis rotation of the tail rotor drive shaft, leading to breakage of the shaft and loss of power to the tail rotor. Alternatively, overheating of the duplex bearing and then the pinion leading, in turn, to its distortion might have led to serial fractures of the shaft, cocking of the remaining stub end of the shaft in the transmission bay, and ultimately the failure of the pinion. There is an evident cause of the pinion malfunction, the presence of a cork at the forward end of the pinion shaft. There is evidence, the Cobra accident, that placement of a cork in that position can lead to overheating of the bearing and the failure, bearing the hallmarks that are seen in this accident. On the other hand, there is no apparent explanation for a sudden fracture of the drive shaft as an initiating cause of the accident and an obvious explanation of how that damage could have occurred as a result of off-axis rotation of the pinion. Further, that theory of causation is inconsistent with the pilot's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241</w:t>
      </w:r>
      <w:r>
        <w:rPr>
          <w:rFonts w:ascii="arial" w:eastAsia="arial" w:hAnsi="arial" w:cs="arial"/>
          <w:color w:val="000000"/>
          <w:sz w:val="20"/>
          <w:lang w:val="en-US" w:eastAsia="en-US" w:bidi="ar-SA"/>
        </w:rPr>
        <w:t xml:space="preserve">  I am satisfied that the plaintiffs have established on the balance of probabilities that this accident occurred as result of the misplacement of the cork in the shaft of the pinion of the tail rotor drive quill when the helicopter was serviced at the Heliponents facility in May 2007. It is acknowledged that this placement could only have occurred as a result of a breach of the standard of care owed by the defendant to the plaintiffs. I find the defendant liable to the plaintiffs for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242</w:t>
      </w:r>
      <w:r>
        <w:rPr>
          <w:rFonts w:ascii="arial" w:eastAsia="arial" w:hAnsi="arial" w:cs="arial"/>
          <w:color w:val="000000"/>
          <w:sz w:val="20"/>
          <w:lang w:val="en-US" w:eastAsia="en-US" w:bidi="ar-SA"/>
        </w:rPr>
        <w:t>  The action is allowed; there will be judgment in favor of the plaintiffs. The parties may speak to any matters that are not been addressed in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P.M. WILLCOCK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APPENDIX "A"</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 id="_x0000_i1199" type="#_x0000_t75" style="width:369pt;height:286.5pt">
            <v:imagedata r:id="rId939" o:title=""/>
          </v:shape>
        </w:pict>
      </w:r>
      <w:r>
        <w:rPr>
          <w:rFonts w:ascii="arial" w:eastAsia="arial" w:hAnsi="arial" w:cs="arial"/>
          <w:sz w:val="20"/>
          <w:lang w:val="en-US" w:eastAsia="en-US" w:bidi="ar-SA"/>
        </w:rPr>
        <w:t xml:space="preserve">  </w:t>
      </w:r>
      <w:r>
        <w:pict>
          <v:shape id="_x0000_i1200" type="#_x0000_t75" style="width:362.25pt;height:300.75pt">
            <v:imagedata r:id="rId940" o:title=""/>
          </v:shape>
        </w:pict>
      </w:r>
      <w:r>
        <w:pict>
          <v:shape id="_x0000_i1201" type="#_x0000_t75" style="width:390pt;height:306.75pt">
            <v:imagedata r:id="rId941" o:title=""/>
          </v:shape>
        </w:pict>
      </w:r>
      <w:r>
        <w:pict>
          <v:shape id="_x0000_i1202" type="#_x0000_t75" style="width:400.5pt;height:334.5pt">
            <v:imagedata r:id="rId942" o:title=""/>
          </v:shape>
        </w:pic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APPENDIX "B"</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 id="_x0000_i1203" type="#_x0000_t75" style="width:372.75pt;height:404.25pt">
            <v:imagedata r:id="rId943" o:title=""/>
          </v:shape>
        </w:pict>
      </w:r>
      <w:r>
        <w:rPr>
          <w:rFonts w:ascii="arial" w:eastAsia="arial" w:hAnsi="arial" w:cs="arial"/>
          <w:sz w:val="20"/>
          <w:lang w:val="en-US" w:eastAsia="en-US" w:bidi="ar-SA"/>
        </w:rPr>
        <w:t xml:space="preserve">  </w:t>
      </w:r>
      <w:r>
        <w:pict>
          <v:shape id="_x0000_i1204" type="#_x0000_t75" style="width:371.25pt;height:393.75pt">
            <v:imagedata r:id="rId944" o:title=""/>
          </v:shape>
        </w:pic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05" style="position:absolute;z-index:2518466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45"/>
          <w:headerReference w:type="default" r:id="rId946"/>
          <w:footerReference w:type="even" r:id="rId947"/>
          <w:footerReference w:type="default" r:id="rId948"/>
          <w:headerReference w:type="first" r:id="rId949"/>
          <w:footerReference w:type="first" r:id="rId95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951" w:history="1">
        <w:r>
          <w:rPr>
            <w:rFonts w:ascii="arial" w:eastAsia="arial" w:hAnsi="arial" w:cs="arial"/>
            <w:b/>
            <w:bCs/>
            <w:i/>
            <w:color w:val="0077CC"/>
            <w:kern w:val="32"/>
            <w:sz w:val="28"/>
            <w:szCs w:val="32"/>
            <w:u w:val="single"/>
            <w:shd w:val="clear" w:color="auto" w:fill="FFFFFF"/>
            <w:lang w:val="en-US" w:eastAsia="en-US" w:bidi="ar-SA"/>
          </w:rPr>
          <w:t>Agno (Guardian ad Litem of) v. Wilson, 2008 CHFL para. 15,495</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Health Facilities Law Guide</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Before: Brooke J.</w:t>
      </w:r>
    </w:p>
    <w:p>
      <w:pPr>
        <w:spacing w:before="120" w:line="260" w:lineRule="atLeast"/>
        <w:jc w:val="center"/>
        <w:rPr>
          <w:lang w:val="en-US" w:eastAsia="en-US" w:bidi="ar-SA"/>
        </w:rPr>
      </w:pPr>
      <w:r>
        <w:rPr>
          <w:rFonts w:ascii="arial" w:eastAsia="arial" w:hAnsi="arial" w:cs="arial"/>
          <w:color w:val="000000"/>
          <w:sz w:val="20"/>
          <w:lang w:val="en-US" w:eastAsia="en-US" w:bidi="ar-SA"/>
        </w:rPr>
        <w:t>Decision: July 31, 2007.</w:t>
      </w:r>
    </w:p>
    <w:p>
      <w:pPr>
        <w:spacing w:before="120" w:line="260" w:lineRule="atLeast"/>
        <w:jc w:val="center"/>
        <w:rPr>
          <w:lang w:val="en-US" w:eastAsia="en-US" w:bidi="ar-SA"/>
        </w:rPr>
      </w:pPr>
      <w:r>
        <w:rPr>
          <w:rFonts w:ascii="arial" w:eastAsia="arial" w:hAnsi="arial" w:cs="arial"/>
          <w:color w:val="000000"/>
          <w:sz w:val="20"/>
          <w:lang w:val="en-US" w:eastAsia="en-US" w:bidi="ar-SA"/>
        </w:rPr>
        <w:t>Docket No. 69739</w:t>
      </w:r>
    </w:p>
    <w:p>
      <w:pPr>
        <w:rPr>
          <w:lang w:val="en-US" w:eastAsia="en-US" w:bidi="ar-SA"/>
        </w:rPr>
      </w:pPr>
    </w:p>
    <w:p>
      <w:pPr>
        <w:spacing w:before="120" w:after="120" w:line="280" w:lineRule="atLeast"/>
        <w:rPr>
          <w:lang w:val="en-US" w:eastAsia="en-US" w:bidi="ar-SA"/>
        </w:rPr>
      </w:pPr>
      <w:r>
        <w:rPr>
          <w:rFonts w:ascii="arial" w:eastAsia="arial" w:hAnsi="arial" w:cs="arial"/>
          <w:b/>
          <w:i/>
          <w:color w:val="000000"/>
          <w:sz w:val="22"/>
          <w:lang w:val="en-US" w:eastAsia="en-US" w:bidi="ar-SA"/>
        </w:rPr>
        <w:t xml:space="preserve">Canadian Health Facilities Law Guide  </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Cases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2000s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2007</w:t>
      </w:r>
    </w:p>
    <w:p>
      <w:pPr>
        <w:spacing w:before="12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2008 CHFL para. 15,495</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hyperlink r:id="rId952" w:history="1">
        <w:r>
          <w:rPr>
            <w:rFonts w:ascii="arial" w:eastAsia="arial" w:hAnsi="arial" w:cs="arial"/>
            <w:i/>
            <w:color w:val="0077CC"/>
            <w:sz w:val="20"/>
            <w:u w:val="single"/>
            <w:shd w:val="clear" w:color="auto" w:fill="FFFFFF"/>
            <w:lang w:val="en-US" w:eastAsia="en-US" w:bidi="ar-SA"/>
          </w:rPr>
          <w:t>2007 BCSC 1160</w:t>
        </w:r>
      </w:hyperlink>
    </w:p>
    <w:p>
      <w:pPr>
        <w:spacing w:before="120" w:line="260" w:lineRule="atLeast"/>
        <w:rPr>
          <w:lang w:val="en-US" w:eastAsia="en-US" w:bidi="ar-SA"/>
        </w:rPr>
      </w:pPr>
      <w:r>
        <w:rPr>
          <w:rFonts w:ascii="arial" w:eastAsia="arial" w:hAnsi="arial" w:cs="arial"/>
          <w:color w:val="000000"/>
          <w:sz w:val="20"/>
          <w:lang w:val="en-US" w:eastAsia="en-US" w:bidi="ar-SA"/>
        </w:rPr>
        <w:t>Agno (Guardian ad Litem of) v. Wilson</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206" style="position:absolute;z-index:251695104"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236" w:name="Keywords_34"/>
      <w:bookmarkEnd w:id="236"/>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Action against obstetrician who performed emergency Caesarean section to deliver plaintiff's twins — One twin stillborn and other significantly compromised — Action dismissed — While risk of death of twin and resulting grievous harm to other twin were known risks, risks could not have been avoided other than by happenstance.</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237" w:name="Case Summary_32"/>
            <w:bookmarkEnd w:id="237"/>
          </w:p>
          <w:p>
            <w:pPr>
              <w:spacing w:before="120" w:line="260" w:lineRule="atLeast"/>
              <w:ind w:left="240"/>
              <w:jc w:val="both"/>
              <w:rPr>
                <w:lang w:val="en-US" w:eastAsia="en-US" w:bidi="ar-SA"/>
              </w:rPr>
            </w:pPr>
            <w:r>
              <w:rPr>
                <w:rFonts w:ascii="arial" w:eastAsia="arial" w:hAnsi="arial" w:cs="arial"/>
                <w:b/>
                <w:color w:val="000000"/>
                <w:sz w:val="20"/>
                <w:lang w:val="en-US" w:eastAsia="en-US" w:bidi="ar-SA"/>
              </w:rPr>
              <w:t>Facts:</w:t>
            </w:r>
            <w:r>
              <w:rPr>
                <w:rFonts w:ascii="arial" w:eastAsia="arial" w:hAnsi="arial" w:cs="arial"/>
                <w:color w:val="000000"/>
                <w:sz w:val="20"/>
                <w:lang w:val="en-US" w:eastAsia="en-US" w:bidi="ar-SA"/>
              </w:rPr>
              <w:t xml:space="preserve"> In September 2001, an emergency Caesarean section was performed on the plaintiff Bigsot, who was 34 weeks pregnant with twins. One twin, the plaintiff Agno, was born significantly compromised. The other twin ("Twin B") was stillborn. The Caesarean was performed by the defendant, Dr. Wilson, an obstetrician practising at the defendant Kelowna General Hospital ("Hospital"). Bigsot had been under the care of Dr. Wilson since July 2001. Bigsot sued Dr. Wilson and the Hospital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monitoring the twins' condition prior to the Caesarean. Prior to her admission to hospital, Bigsot had an ultrasound that revealed a monochorionic pregnancy. A recognized risk in a monochorionic pregnancy is twin-to-twin transfusion, in which rather than the blood exchange occurring between each twin and the placenta, an unequal blood transfer from one twin to the other occurs, often with catastrophic consequences. Bigsot had been admitted to the Hospital two weeks prior to the Caesarean for bed rest and observation. Following her admission, a series of non-stress tests was performed and these, together with ultrasound reports, were used to assess her status and the status of the twins. A non-stress test monitors fetal heart rate, uterine activity, and fetal movement. Dr. Wilson ordered an emergency Caesarean section when an ultrasound revealed that Twin B was dead. The fetal heart baseline rate on Agno indicated "limited variability". Bigsot maintained that the Hospital and Dr. Wilson (or either of them) had failed to exercise the heightened vigilance demanded by the situation and failed to identify or respond to non-reassuring signs indicating a lack of fetal well-being. </w:t>
            </w:r>
            <w:r>
              <w:rPr>
                <w:lang w:val="en-US" w:eastAsia="en-US" w:bidi="ar-SA"/>
              </w:rPr>
              <w:cr/>
            </w:r>
          </w:p>
          <w:p>
            <w:pPr>
              <w:spacing w:before="120" w:line="260" w:lineRule="atLeast"/>
              <w:ind w:left="240"/>
              <w:jc w:val="both"/>
              <w:rPr>
                <w:lang w:val="en-US" w:eastAsia="en-US" w:bidi="ar-SA"/>
              </w:rPr>
            </w:pPr>
            <w:bookmarkStart w:id="238" w:name="Holdings of Court_28"/>
            <w:bookmarkEnd w:id="238"/>
            <w:r>
              <w:rPr>
                <w:rFonts w:ascii="arial" w:eastAsia="arial" w:hAnsi="arial" w:cs="arial"/>
                <w:color w:val="000000"/>
                <w:sz w:val="20"/>
                <w:lang w:val="en-US" w:eastAsia="en-US" w:bidi="ar-SA"/>
              </w:rPr>
              <w:t>HELD: The action was dismissed.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It was conceded that Dr. Wilson and the Hospital owed Bigsot a duty of care. It was appropriate for Dr. Wilson to admit Bigsot for rest and observation as he did. It was appropriate for him to order non-stress tests to be performed two times a week. A non-stress test provides a skilled interpreter with a snapshot of approximately 30 minutes, which is relevant to fetal well-being at that time. It says nothing of fetal well-being during the other 23.5 hours of the day. A non-stress test is not predictive. In the instant case, the nurse's interpretation of the non-stress test was reasonable. Moreover, it was reasonable not to call Dr. Wilson in the circumstances. It could not be said that but for the failure to call Dr. Wilson, Twin B would not have died and Agno would not have sustained the catastrophic injuries he did. The death of Twin B was the precipitating event for the consequential injuries to Agno. However, it could not be said with any certainty when Twin B died. The evidence indicated that the time of death was 12 to 24 hours before delivery. The evidence also indicated that the precipitating cause of death of Twin B was a cord event--the cord became compressed and hypoxia occurred. This occurred suddenly and was an acute rather than a chronic or progressive event. While the risk of death of Twin B and the resulting grievous harm to Agno was a known risk, it could not have been avoided other than by happenstance. </w:t>
            </w:r>
            <w:r>
              <w:rPr>
                <w:lang w:val="en-US" w:eastAsia="en-US" w:bidi="ar-SA"/>
              </w:rPr>
              <w:cr/>
            </w:r>
          </w:p>
          <w:p>
            <w:pPr>
              <w:rPr>
                <w:lang w:val="en-US" w:eastAsia="en-US" w:bidi="ar-SA"/>
              </w:rPr>
            </w:pPr>
          </w:p>
        </w:tc>
      </w:tr>
    </w:tbl>
    <w:p>
      <w:pPr>
        <w:jc w:val="both"/>
        <w:rPr>
          <w:lang w:val="en-US" w:eastAsia="en-US" w:bidi="ar-SA"/>
        </w:rPr>
      </w:pPr>
      <w:bookmarkStart w:id="239" w:name="Counsel_35"/>
      <w:bookmarkEnd w:id="239"/>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207" style="position:absolute;z-index:251746304"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D.H. Pihl, Q.C., V. May, Q.C. and O. Ho for the plaintiffs; J.M. Lepp, Q.C. and K. Jakeman for Dr. Wilson; J.C. Grauer and E.J. Stanger for the Hospital.</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8" style="position:absolute;z-index:25179750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53"/>
          <w:headerReference w:type="default" r:id="rId954"/>
          <w:footerReference w:type="even" r:id="rId955"/>
          <w:footerReference w:type="default" r:id="rId956"/>
          <w:headerReference w:type="first" r:id="rId957"/>
          <w:footerReference w:type="first" r:id="rId95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59" w:history="1">
        <w:r>
          <w:rPr>
            <w:rFonts w:ascii="arial" w:eastAsia="arial" w:hAnsi="arial" w:cs="arial"/>
            <w:b/>
            <w:bCs/>
            <w:i/>
            <w:color w:val="0077CC"/>
            <w:kern w:val="32"/>
            <w:sz w:val="28"/>
            <w:szCs w:val="32"/>
            <w:u w:val="single"/>
            <w:shd w:val="clear" w:color="auto" w:fill="FFFFFF"/>
            <w:lang w:val="en-US" w:eastAsia="en-US" w:bidi="ar-SA"/>
          </w:rPr>
          <w:t>Brar v. Insurance Corp. of British Columbia, [2009] B.C.J. No. 1937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W.B. Scarth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6-10 and 15,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30,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M053495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[2009] B.C.J. No. 1937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BCSC 876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78 C.C.L.I. (4th) 82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CarswellBC 2601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181 A.C.W.S. (3d) 185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Gurtej Brar and Lakhbir Brar, Plaintiffs, and Insurance Corporation of British Columbia, Coast Capital Equipment Finance, formerly known as Metro Leasing &amp; Finance, a division of Coast Capital Savings Credit Union, formerly known as Surrey Metro Savings Credit Union, and the said, Coast Capital Savings Credit Union, CTI Central Transport Inc., JIT Transport Ltd., Surinder Pal Singh Toor,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09" style="position:absolute;z-index:2516961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40" w:name="Keywords_35"/>
      <w:bookmarkEnd w:id="240"/>
      <w:r>
        <w:rPr>
          <w:rFonts w:ascii="arial" w:eastAsia="arial" w:hAnsi="arial" w:cs="arial"/>
          <w:b/>
          <w:color w:val="000000"/>
          <w:sz w:val="20"/>
          <w:lang w:val="en-US" w:eastAsia="en-US" w:bidi="ar-SA"/>
        </w:rPr>
        <w:t xml:space="preserve">Insurance law — Automobile insurance — Property damage policy — Exclusions — Risk — Action for indemnity under an insurance contract dismissed and for damages in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allowed in part — The plaintiffs leased a commercial trailer which they allowed a friend to drive — The defedant's licence was under suspension when he was involved in a single vehicle accident — The insurer bore no liability to the plaintiffs due to the suspended licence — The plaintiffs rather than the commercial carriers bore responsibility for ensuring the driver's qualifications — The friend's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caused the accident so he was liable to the plaintiffs for the property damage arising from the accident.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41" w:name="Case Summary_33"/>
            <w:bookmarkEnd w:id="24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plaintiffs, the Brars, against the defendant, ICBC, for indemnity for a loss arriving in a motor vehicle accident, and against the defendants, CTI Central Transport, JTI Transport and Toor, for damages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business loss. The plaintiffs were brothers. Bob Brar leased a highway tractor that was operated with CTI, a carrier and haulage business. CTI was added as lessee for the purpose of insurance with ICBC. The owner's certificate showed JTI, another carrier, as lessee and Lucky Brar as principal operator. The balance of the lease was paid by the plaintiffs in February 2004. Due to accumulation of demerit points, Lucky's driver's licence was suspended in the United States until March 2004. Nonetheless, Lucky drove to the United States on two occasions, during which time he was made aware of the suspension. In January, the plaintiffs arranged for Toor to drive for CTI on Lucky's behalf. He passed a drug test and began driving. The parties disagreed as to whether CTI had communicated its approval of Toor as a driver. In February 2004, Toor was involved in a single vehicle accident when he lost control while attempting to avoid an animal on the roadway. At the time of the accident, Toor's driver's licence was under cancellation due to a failure to undertake a requested medical examination. Toor testified that he was unaware of the suspension, as he believed his licence had been reinstated upon his undergoing the requested examination. At issue was who was responsible for the brothers' loss.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42" w:name="Holdings of Court_29"/>
            <w:bookmarkEnd w:id="242"/>
            <w:r>
              <w:rPr>
                <w:rFonts w:ascii="arial" w:eastAsia="arial" w:hAnsi="arial" w:cs="arial"/>
                <w:color w:val="000000"/>
                <w:sz w:val="20"/>
                <w:lang w:val="en-US" w:eastAsia="en-US" w:bidi="ar-SA"/>
              </w:rPr>
              <w:t>HELD: Action allowed as against Toor and otherwise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At the time of the accident, Toor did not hold a valid and subsisting licence to drive a commercial vehicle. Toor did not have a reasonable basis for his assertion that his driver's licence had been reinstated prior to the accident. CTI was not aware that Toor was driving the vehicle at the time of the accident. ICBC was not liable to the plaintiffs for their loss. Lucky was the beneficial owner of the tractor at the time of the accident. The transfer in ownership upon payment under the lease had not been reduced to writing and thus Lucky was not an insured under the contract of insurance. Although Bob, as legal owner of the tractor, was an insured under the contract with ICBC, he was not entitled to indemnity because Toor did not have a valid licence when he drove the vehicle. CTI and JTI did not bear responsibility for screening Toor's qualifications, but the plaintiffs, as the insured, did. The plaintiffs did not meet that obligation. Toor thus bore sole responsibility for the accident and related damages. The claim for business loss was dismissed.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43" w:name="Legislation Cited_23"/>
      <w:bookmarkEnd w:id="24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10" style="position:absolute;z-index:2517473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Insurance (Motor Vehicle) Act, B.C. Reg. 447/83, s. 37.29, s. 55, s. 113, s. 113(c)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Motor Vehicle Act, </w:t>
      </w:r>
      <w:hyperlink r:id="rId960" w:history="1">
        <w:r>
          <w:rPr>
            <w:rFonts w:ascii="arial" w:eastAsia="arial" w:hAnsi="arial" w:cs="arial"/>
            <w:i/>
            <w:color w:val="0077CC"/>
            <w:sz w:val="20"/>
            <w:u w:val="single"/>
            <w:shd w:val="clear" w:color="auto" w:fill="FFFFFF"/>
            <w:lang w:val="en-US" w:eastAsia="en-US" w:bidi="ar-SA"/>
          </w:rPr>
          <w:t>R.S.B.C. 1996 Chapter 318, s. 17</w:t>
        </w:r>
      </w:hyperlink>
      <w:r>
        <w:rPr>
          <w:rFonts w:ascii="arial" w:eastAsia="arial" w:hAnsi="arial" w:cs="arial"/>
          <w:color w:val="000000"/>
          <w:sz w:val="20"/>
          <w:lang w:val="en-US" w:eastAsia="en-US" w:bidi="ar-SA"/>
        </w:rPr>
        <w:t>(1)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44" w:name="Counsel_36"/>
      <w:bookmarkEnd w:id="24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11" style="position:absolute;z-index:2517985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Stephen E. Gibson.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Insurance Corporation of British Columbia: Robert Hodgins and Jennifer S. Frahm (articled student).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No one else appearing.</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45" w:name="Judgment_35"/>
      <w:bookmarkEnd w:id="245"/>
      <w:r>
        <w:pict>
          <v:line id="_x0000_s1212" style="position:absolute;z-index:25184768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0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46" w:name="W.B. SCARTH J."/>
            <w:bookmarkEnd w:id="246"/>
            <w:r>
              <w:rPr>
                <w:rFonts w:ascii="arial" w:eastAsia="arial" w:hAnsi="arial" w:cs="arial"/>
                <w:b/>
                <w:color w:val="000000"/>
                <w:sz w:val="30"/>
                <w:lang w:val="en-US" w:eastAsia="en-US" w:bidi="ar-SA"/>
              </w:rPr>
              <w:t>W.B. SCARTH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 Nature of the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plaintiffs, Gurtej Brar (commonly referred to in these proceedings as "Bob Brar") and Lakhbir Brar (commonly referred to as "Lucky Brar"), claim as against the defendant Insurance Corporation of British Columbia ("ICBC"), indemnity under a certain contract of insurance covering a white 1998 Volvo Highway Tractor, owned by the plaintiffs or one of them, for loss arising from a single vehicle accident on 9 February 2004, in the state of Washington. As against the defendants CTI Central Transport Inc. ("CTI"), JIT Transport Ltd. ("JIT"), and Surinder Pal Singh Toor, the plaintiffs claim damages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In essence, Mr. Gibson, on behalf of the plaintiffs, seeks a declaration that the plaintiff, Lucky Brar, is entitled to be indemnified by ICBC in the sum of $56,058.00. This claim is made up of the declared value of the Volvo, namely $50,000, less the deductible of $2,500 and the value of the salvage recovered of $5,000. As well, the claim includes the cost of towing and storage fees amounting to $6,625.72, plus the pre-trial interest from 10 February 2004 to 8 October 2008 on the damages associated solely with the vehicle loss amounting to $7,032.28. ICBC denies that it is liable to either of the plaintiffs. In the event the claim as against ICBC is dismissed, Mr. Gibson submits that the amount of the claim ought to be recovered against the defendants CTI, JIT, and Mr. Toor. Judgment is also sought as against CTI, JIT and Mr. Toor for the value of the plaintiffs' business loss in the amount of $123,712.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factual background is that on 10 December 2001, the plaintiff Bob Brar entered into a lease purchase agreement with the defendant Coast Capital Savings Credit Union ("Coast Capital") in respect of the Volvo. Shortly after, Bob Brar began operating the Volvo with the defendant, CTI. CTI is a carrier and operates a haulage business in Canada and the United States. As is common in the industry, and for the purposes of prorating the insurance on the fleet of vehicles, CTI was added as the lessee on the Owner's Certificate for the purposes of licensing and insurance. Neither plaintiff was named as an insured under the contract of insurance.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Owner's Certificate date stamped 28 August 2003 in respect of the Volvo shows Coast Capital as lessor, JIT as lessee, and Lucky Brar as principal operator of the Volvo. JIT was also a carrier. I find that neither plaintiff was aware prior to the accident on 9 February 2004 of the transfer of the Volvo from CTI to JIT.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Bob Brar testified that he was in India from 29 November 2003 to 19 January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On 5 February 2004, the balance outstanding of $15,500 under the lease purchase agreement regarding the Volvo was paid to Coast Capital. There is a conflict in the evidence as to whether the plaintiff Bob Brar made this payment or whether the plaintiff Lucky Brar made the payment.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According to Bob Brar, his brother Lucky Brar gave him a cheque for the outstanding balance, which he in turn delivered to Coast Capital on 5 February 2004. On the payout invoice dated 5 February 2004 these words appear: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Title will pass upon clearance of full and final payment through the banking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 cross-examination Bob Brar testified that his brother Lucky Brar took over the Volvo as owner/operator in 2003. He stated that Lucky Brar took over the lease payments in August 2003 and deposited the money to his account. However, Coast Capital was not given notice that Lucky Brar had taken over the payments in 2003. Lucky Brar, Bob Brar stated, took over responsibility and duties for repairs to and maintenance of the Volvo, finding drivers and paying premiums for Workers' Compensation. Nonetheless, according to the plaintiffs, responsibility for checking the qualifications of drivers rested with CTI.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Lucky Brar confirmed in his evidence that in the summer of 2003 he took over the lease payments and was essentially the owner/operator of the Volvo, and that his brother Bob Brar was no longer involved. Lucky Brar testified that prior to the motor vehicle accident on 9 February 2004, neither ICBC nor Coast Capital was notified that it was the intention of his brother, Bob Brar and him that the Volvo would be transferred to him, Lucky Brar. On the other hand, Raj Dhami, a 50% owner of CTI in 2004, testified that in January 2004 he understood Lucky Brar to be the owner of the Volvo.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Under date of 20 February 2004, Coast Capital wrote "To whom it may concern"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Please be advised that as of February 5, 2004 Coast Capital Savings Credit Union has no further interest in the above mentioned vehicle [ie. the Volvo].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question is, as between Bob Brar and Lucky Brar, which of them was owner/operator of the Volvo after 5 February 2004. The documentary evidence relating to the payment of the balance outstanding to Coast Capital does not indicate who made the payment. Nonetheless, on the basis of the documentary evidence regarding ownership, Bob Brar remained the owner of the Volvo. On the basis of the testimony of Bob Brar and Lucky Brar, I find that Lucky Brar was the beneficial owner of the Volvo as of 5 February 2004, albeit, no document evidencing a transfer of ownership to Lucky Brar or written proof that he is the beneficial owner of the Volvo has been tendered in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Between August 2003 and the end of December 2003 Lucky Brar was the sole driver of the Volvo. He was dispatched to haul loads to points in Canada and the United States by CTI. On 7 September 2003, Lucky Brar's licence was suspended for six months, that is until 6 March 2004, in the United States due to having accumulated too many points in California and as a result he was legally unable to haul in the United States until that suspension expired. Under date of 15 October 2003 the Department of Motor Vehicles Licensing Operations Division San Francisco wrote Mr. Brar at his home in Surrey, British Columbia, notifying him that his driving privilege remains suspended as of the effective date on this notice, namely, 7 September 2003 through 6 March 2004. Between 7 September 2003 and the end of December 2003 Mr. Brar drove a load to the United States on two occasions, one of which was on 16 October 2003 to Texas. During this trip, whilst stopped at a weigh scale, Mr. Brar was informed that his licence had been cancelled. At the time, Mr. Brar testified, that he was unaware of the suspension of his licence in the United States. Upon his return to Surrey he received the letter from the authorities in San Francisco notifying him of the six months' suspension. Following receipt of this notification Mr. Brar was confined to driving the Volvo in Canada. Mr. Dhami, whose evidence I accept on this point, testified in effect that he was aware in late 2003 of Lucky Brar's licence suspension in the United States, but stated that he was assured by Mr. Brar over the telephone in early January 2004 that "he clear up his mess in States, good to go, to run in the States."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Bob Brar and Lucky Brar had known Surinder Pal Singh Toor as a friend for over 25 years. Surinder Toor had been in India from June 2003 until 23 December 2003. Following his return from India he and Lucky Brar discussed the notion of Surinder Toor driving the Volvo on haulage trips to the United States. Lucky Brar sent Surinder Toor to CTI for the necessary drug test. The results of the drug test came back from the laboratory to CTI on 7 January 2004 and were satisfactory. No other documents, including a driver's abstract, were provided by Surinder Toor to CTI; nor did CTI request such documents. According to Surinder Toor, he told CTI that he was going to drive for Lucky Brar. Surinder Toor also stated he was called by Raj Dhami on 6 or 7 January and told the result of the drug test. Surinder Toor testified that Raj Dhami also said to him: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results came good, are you ready to go ... told me that result came and that it was fine and you can drive, are you ready to go?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 note parenthetically that Lucky Brar testified that he was telephoned by Raj Dhami before 7 January and told it was okay for Surinder Toor to drive. Raj Dhami, on the other hand, testified that he did not call Lucky Brar and state that Surinder Toor was approved by CTI for driving; nor did he approve Surinder Toor as a driver or dispatch him on a route. Raj Dhami also testified that he was not aware Surinder Toor was driving the Volvo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 find that the probabilities are that Mr. Dhami did not indicate to either Mr. Toor or Mr. Lucky Brar that Mr. Toor was approved by CTI for the purpose of driving the Volvo on 6 or 7 January 2004. Given Mr. Dhami's knowledge and experience with respect to a carrier's responsibilities regarding the approval of drivers for hauling loads, the probabilities, I find, are that Mr. Dhami indicated to Lucky Brar and Mr. Toor that the required drug tests had been received, but the other requirements relating to the approval of Mr. Toor as a driver were outstanding.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Between 7 January 2004 and 9 February 2004 Surinder Toor stated he made 5 or 6 haulage trips to the United Sates. According to his evidence, Mr. Toor drove the Volvo on each occasion. According to Lucky Brar, a load was picked up from CTI's yard on 8 February 2004, and parked near Lucky Brar's residence so that he and Surinder Toor could get an early start the following morning. On 9 February 2004, Mr. Brar was stopped at the border and told that he could not enter the United States because of a long-standing conviction for a criminal offence. After arranging for his brother-in-law, Mr. Kang, to accompany Mr. Toor on the trip, Mr. Brar returned to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According to Mr. Toor, on 9 February 2004, between 3:00 p.m. and 4:00 p.m., while driving in an easterly direction on Highway I-90, he encountered a dead animal in the middle of the right traffic lane of the highway. There was a vehicle in the lane to his left. He tried to avoid the animal by driving onto the shoulder. He lost control of the Volvo and it turned over on its side. Mr. Toor suffered injuries and was taken first to the Spokane Hospital where he remained for 9 days, and was then airlifted to Surrey Memorial Hospital where he remained for 2 1/2 to 3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 find that Mr. Toor was solely responsible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At the time of the accident, Mr. Toor's British Columbia driver's licence was under suspension. In both his direct testimony to the court and cross-examination by Mr. Hodgins, Mr. Toor testified that at the time of the accident he was unaware that his licence was under suspension or cancellation.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Under date of 21 September 2002, a member of the Driver Fitness Unit of the Office of the Superintendent of Motor Vehicles, Ministry of Transportation, wrote Mr. Toor at his home in Surrey, British Columbia, requesting certain medical information regarding details concerning treatment of sleep apnea. The letter contained the following words: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this information is not received at the Office of the Superintendent of Motor Vehicles within 30 days, your driver's licence may be cancelled under section 92 of the </w:t>
      </w:r>
      <w:r>
        <w:rPr>
          <w:rFonts w:ascii="arial" w:eastAsia="arial" w:hAnsi="arial" w:cs="arial"/>
          <w:i/>
          <w:color w:val="000000"/>
          <w:sz w:val="20"/>
          <w:lang w:val="en-US" w:eastAsia="en-US" w:bidi="ar-SA"/>
        </w:rPr>
        <w:t>Motor Vehicle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On 13 May 2003 Mr. Toor renewed his class 1 (commercial) driver's licence for a further 5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On 26 May 2003 ICBC sent a letter addressed to Mr. Toor in part stating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Superintendent of Motor Vehicles asked you to have an exam under Section 29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to verify you are fit to drive. You have not met this requirement. The Superintendent has directed me to cancel your driver's licence under Section 92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This cancellation begins on the date you receive this letter or 14 days from the date of this letter.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cancellation means that you cannot drive, and that any driver's licence in your possession is no longer valid. Your driver's licence will remain cancelled until you meet the requirement, and have been issued a new driver's licence.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Mr. Toor testified that he did not receive this letter; ICBC did not take issue with this, but takes the position that as of 9 June 2003, Mr. Toor's driver's licence was effectively cancelled.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Toor acknowledged in cross-examination that he knew the importance of a commercial driver holding a valid driver's licence. However, he stated that he did not become aware that his licence had been cancelled until after he returned from India at the end of December. Mr. Toor received a letter dated 8 January 2003 (sic 2004) from ICBC informing him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reviewing your driving history, we saw that your driver's licence was cancelled June 9, 2003, and that this cancellation is in effect until June 9, 2007. As such you should not be driving and should not be listed as the principal operator of any vehicles.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After receiving the letter of 8 January 2004, Mr. Toor telephoned the Superintendent's Office on 16 January 2004. As a result of his discussion with that office, Mr. Toor, on 23 January had a sleep apnea test which showed he did not have sleep apnea. On 2 February he arranged to have his doctor fax a medical certificate to the Superintendent's Office indicating that sleep apnea was not a concern for him. The following day he spoke with one "Ken" of the Superintendent's Office and, according to Mr. Toor, was told by him "that's all we need." Mr. Toor told the court that he interpreted this to mean that his licence was reinstated.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Toor wrote ICBC under date of 19 February 2004, in part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writing to you regarding the status of my above driver license. I was speaking to Beth at ICBC this morning who advised me to fax you this formal request to do an investigation into the validity of my license. I had renewed my license on May 13, 2003 upon which time I was not informed of any medical reports required. I left the country on June 8, 2003 and returned on December 23, 2003. Amongst all my mail collected at home in my absence, there was no correspondence from your department advising me of any suspension of my license.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went back on the road as a long haul truck driver on January 7, 2004. Upon my return from my first trip, I received a letter from ICBC about my upcoming insurance renewal for my personal vehicle, in which there was a mention of my license being under suspension. Of course this came as a big surprise (not to mention grave concern) to me being the first time being notified. I immediately contacted the MLO department in person (the Surrey office) and was told to provide a sleep apnea and a medical report which were duly provided on February 2, 2004. I also spoke to your Victoria office and I was told at that time that a letter had been sent to me in May 2003, advising me of this issue which I now find out from ICBC (Beth) that it was mailed to the wrong address. Apparently, you sent us a letter of 'suspension/cancellation' on May 26, 2003 to '204B-19945 56th Avenue, Langley, BC'. This address is unknown to me as I have never resided there. My address since 1989 has always been 12335 67 A Avenue, Surrey, B.C. V3W 0Z1. I also understand that this letter was returned undeliverable by the Canada post office to you. This means that I was never officially notified of any suspensions on my license. As soon as I found out in early January 2004 that you needed some additional medical information, I complied with all your office asked for immediately as having a current and valid license (class 1) was vital to my being able to earn a living .... I wasn't giving any indication that I was prohibited from driving. I was under assumption that all was okay as long as I provided you with the necessary medical information I could continue driving as there were no apparent reason for my driving privileges to be revoked and also I had not heard from you otherwise. I understood that my license was under review pending receipt of the medical reports, therefore I continued driving as usual.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 essence, Mr. Toor confirmed the substance of this letter in his testimony.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Following the accident, under date of 13 March 2004, the Office of the Superintendent of Motor Vehicles replied to Mr. Toor. The letter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office sent you a letter September 21, 2002 requesting further details regarding treatment for your sleep apnea condition as reported on your Driver's Medical Examination Report (DMER) by your attending physician.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Your licence was cancelled on June 9, 2003 for failure to comply with this request. In your letter dated February 19, 2004, you indicate that you were never officially notified of the cancellation of your driver's licence. You also advised that you were involved in a serious motor vehicle accident on February 9, 2004.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Insurance Corporation of British Columbia (ICBC) staff follow a process when a driver's licence is cancelled by the Superintendent for failure to comply with additional information. When the cancelled driver contacts ICBC to discuss the status of their licence, ICBC calls the Superintendent's office to determine what is required of the driver before relicencing. ICBC then relays this information to the driver.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January 16th and February 2, 2004 an enquiry was made to this office by ICBC on your behalf, to determine what was required from you before your licence could be reinstated. On both occasions, staff from this office informed ICBC that further details were required regarding the treatment of your sleep apnea condition, as outlined to you in the September 21, 2002 letter. It was also determined that a DMER was needed.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your February 19th letter, you state that after returning to long haul driving on January 7, 2004 you received a letter from ICBC for insurance renewal of your personal vehicle, at which time the letter also mentioned your licence was under "suspension." This came as a surprise and you immediately contacted the "MLO" (formerly Motor Vehicle Licencing office) department at the Surrey office. It was then that you were notified to provide a sleep apnea report and a DMER.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Your letter goes on further to say that as soon you found out in early January 2004 that you needed additional medical information, you complied with this request.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February 20, 2004 case manager Lynette Pineau reviewed your DMER and Sleep Study report and determined that an exercise stress test would be required. A letter was sent to you requesting this information.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Although ICBC is responsible for sending the formal notice of cancellation to drivers, the only explanation I can offer you is that this notice may have been sent to your unofficial address. Regardless, based on the contents of your case, and including your February 19th letter, I am satisfied that you were made aware that your licence was cancelled prior to February 9, 2004.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date, your licence is currently cancelled pending additional medical information. You need to submit an exercise stress test and your physician's comments regarding any residual affects [sic] that you may have as a result of your motor vehicle accident February 9, 2004 and how this might affect your ability to operate class 1 vehicles.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sum I find:</w:t>
      </w:r>
      <w:r>
        <w:rPr>
          <w:rFonts w:ascii="arial" w:eastAsia="arial" w:hAnsi="arial" w:cs="arial"/>
          <w:sz w:val="20"/>
          <w:lang w:val="en-US" w:eastAsia="en-US" w:bidi="ar-SA"/>
        </w:rPr>
        <w:cr/>
      </w:r>
    </w:p>
    <w:p>
      <w:pPr>
        <w:numPr>
          <w:numId w:val="29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neither notice of nor intention to cancel Mr. Toor's commercial driver's licence, nor the cancellation in fact of his licence was properly given to Mr. Toor until 8 January 2004, at which time ICBC informed him that his licence had been cancelled on 9 June 2003.</w:t>
      </w:r>
    </w:p>
    <w:p>
      <w:pPr>
        <w:numPr>
          <w:numId w:val="29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time of the accident Mr. Toor did not hold a valid and subsisting British Columbia licence to drive a commercial vehicle.</w:t>
      </w:r>
    </w:p>
    <w:p>
      <w:pPr>
        <w:numPr>
          <w:numId w:val="29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Toor did not have a reasonable basis for his assertion that he believed his class 1 commercial driver's licence had been reinstated on 3 February 2004, or was valid and subsisting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evidence establishes that Surinder Toor went with Lucky Brar to the premises of CTI on two occasions between 7 January 2004 and the date of the accident to pick up loads. Lucky Brar went alone on each of the other occasions. Apart from his initial attendance on 2 January to arrange the drug test, Mr. Toor went into the CTI office on 2 or 3 occasions to have coffee and a chat with members of the CTI staff. Mr. Toor testified that CTI "100% knew" that he was driving the Volvo. The logbooks kept in the Volvo were supposed to be completed by the driver. However, it appears that the logbooks tendered in evidence were completed by Lucky Brar, and delivered by him to CTI. In his testimony Lucky Brar confirmed this. Mr. Dhami, in his testimony denied knowing that Mr. Toor was driving the Volvo until Bob Brar notified him that the accident had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On this point I prefer the evidence of Mr. Dhami that he was unaware prior to the accident that Mr. Toor was driving the Volvo. In reaching this conclusion I apply the principles set out by Mr. Justice O'Halloran in </w:t>
      </w:r>
      <w:r>
        <w:rPr>
          <w:rFonts w:ascii="arial" w:eastAsia="arial" w:hAnsi="arial" w:cs="arial"/>
          <w:i/>
          <w:color w:val="000000"/>
          <w:sz w:val="20"/>
          <w:lang w:val="en-US" w:eastAsia="en-US" w:bidi="ar-SA"/>
        </w:rPr>
        <w:t>Faryna v. Chorny</w:t>
      </w:r>
      <w:r>
        <w:rPr>
          <w:rFonts w:ascii="arial" w:eastAsia="arial" w:hAnsi="arial" w:cs="arial"/>
          <w:color w:val="000000"/>
          <w:sz w:val="20"/>
          <w:lang w:val="en-US" w:eastAsia="en-US" w:bidi="ar-SA"/>
        </w:rPr>
        <w:t xml:space="preserve">, </w:t>
      </w:r>
      <w:hyperlink r:id="rId184" w:history="1">
        <w:r>
          <w:rPr>
            <w:rFonts w:ascii="arial" w:eastAsia="arial" w:hAnsi="arial" w:cs="arial"/>
            <w:i/>
            <w:color w:val="0077CC"/>
            <w:sz w:val="20"/>
            <w:u w:val="single"/>
            <w:shd w:val="clear" w:color="auto" w:fill="FFFFFF"/>
            <w:lang w:val="en-US" w:eastAsia="en-US" w:bidi="ar-SA"/>
          </w:rPr>
          <w:t>[1952] 2 D.L.R. 354</w:t>
        </w:r>
      </w:hyperlink>
      <w:r>
        <w:rPr>
          <w:rFonts w:ascii="arial" w:eastAsia="arial" w:hAnsi="arial" w:cs="arial"/>
          <w:color w:val="000000"/>
          <w:sz w:val="20"/>
          <w:lang w:val="en-US" w:eastAsia="en-US" w:bidi="ar-SA"/>
        </w:rPr>
        <w:t xml:space="preserve"> (B.C.C.A.), at page 357: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credibility of interested witnesses, particularly in cases of conflict of evidence, cannot be gauged solely by the test of whether the personal demeanour of the particular witness carried conviction of the truth. The test must reasonably subject his story to an examination of its consistency with the probabilities that surround the current existing conditions. In short, the real test of the truth of the story of a witness in such a case must be its harmony with the preponderance of the probabilities which a practical and informed person would readily recognize as reasonable in that place and in those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 Is ICBC liable to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The contract of insurance issued by ICBC in effect at the time of the accident showed Coast Capital as owner/lessor, JIT as lessee and Lucky Brar as principle driver of the Volvo. Lucky Brar, I have found, was the beneficial owner of the Volvo at the time of the accident. Payment of the balance outstanding under the lease purchase agreement between Bob Brar and Coast Capital had been made on 5 February 2004, and the necessary transfer from Coast Capital to Bob Brar, and from Bob Brar to Lucky Brar, had not been reduced to writing under the requirements of section 113(c) of the </w:t>
      </w:r>
      <w:r>
        <w:rPr>
          <w:rFonts w:ascii="arial" w:eastAsia="arial" w:hAnsi="arial" w:cs="arial"/>
          <w:i/>
          <w:color w:val="000000"/>
          <w:sz w:val="20"/>
          <w:lang w:val="en-US" w:eastAsia="en-US" w:bidi="ar-SA"/>
        </w:rPr>
        <w:t>Insurance (Motor Vehicle) Act</w:t>
      </w:r>
      <w:r>
        <w:rPr>
          <w:rFonts w:ascii="arial" w:eastAsia="arial" w:hAnsi="arial" w:cs="arial"/>
          <w:color w:val="000000"/>
          <w:sz w:val="20"/>
          <w:lang w:val="en-US" w:eastAsia="en-US" w:bidi="ar-SA"/>
        </w:rPr>
        <w:t xml:space="preserve">, </w:t>
      </w:r>
      <w:hyperlink r:id="rId961" w:history="1">
        <w:r>
          <w:rPr>
            <w:rFonts w:ascii="arial" w:eastAsia="arial" w:hAnsi="arial" w:cs="arial"/>
            <w:i/>
            <w:color w:val="0077CC"/>
            <w:sz w:val="20"/>
            <w:u w:val="single"/>
            <w:shd w:val="clear" w:color="auto" w:fill="FFFFFF"/>
            <w:lang w:val="en-US" w:eastAsia="en-US" w:bidi="ar-SA"/>
          </w:rPr>
          <w:t>B.C. Reg. 447/83</w:t>
        </w:r>
      </w:hyperlink>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Regulations</w:t>
      </w:r>
      <w:r>
        <w:rPr>
          <w:rFonts w:ascii="arial" w:eastAsia="arial" w:hAnsi="arial" w:cs="arial"/>
          <w:color w:val="000000"/>
          <w:sz w:val="20"/>
          <w:lang w:val="en-US" w:eastAsia="en-US" w:bidi="ar-SA"/>
        </w:rPr>
        <w:t xml:space="preserve">") by the time of the accident. Section 113 of the </w:t>
      </w:r>
      <w:r>
        <w:rPr>
          <w:rFonts w:ascii="arial" w:eastAsia="arial" w:hAnsi="arial" w:cs="arial"/>
          <w:i/>
          <w:color w:val="000000"/>
          <w:sz w:val="20"/>
          <w:lang w:val="en-US" w:eastAsia="en-US" w:bidi="ar-SA"/>
        </w:rPr>
        <w:t>Regulations</w:t>
      </w:r>
      <w:r>
        <w:rPr>
          <w:rFonts w:ascii="arial" w:eastAsia="arial" w:hAnsi="arial" w:cs="arial"/>
          <w:color w:val="000000"/>
          <w:sz w:val="20"/>
          <w:lang w:val="en-US" w:eastAsia="en-US" w:bidi="ar-SA"/>
        </w:rPr>
        <w:t xml:space="preserve"> defines who is an "insured", section 113(c) provides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person who can supply written proof that he is the beneficial owner of a commercial vehicle described in an owner certificate but because its licencing requirements of interprovincial or interstate trade is not named as the owner on the certificate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effect of this provision is that Lucky Brar was denied coverage as an insured under the contract of insurance.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Nonetheless, in considering whether this provision prevents Lucky Brar from claiming indemnity from ICBC under the contract of insurance, regard must be had to section 17(1)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[R.S.B.C. 1996] Chapter 318, which provides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the title or interest of a person in a motor vehicle or trailer registered under section 3 is transferred, whether by gift, exchange, barter, or sale, the transferor and the transferee of the title or interest must immediately sign a notice of the transfer in the form required by the Insurance Corporation of British Columbia, and the transferee must within 10 days from the day of the transfer deliver the notice to the corporation for registration by the corporation, accompanied by the prescribed fee and the insurance premium in respect of the transfer and the amount of tax owing in respect of the motor vehicle under the </w:t>
      </w:r>
      <w:r>
        <w:rPr>
          <w:rFonts w:ascii="arial" w:eastAsia="arial" w:hAnsi="arial" w:cs="arial"/>
          <w:i/>
          <w:color w:val="000000"/>
          <w:sz w:val="20"/>
          <w:lang w:val="en-US" w:eastAsia="en-US" w:bidi="ar-SA"/>
        </w:rPr>
        <w:t>Social Service Tax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Plainly, at the time of the accident on 9 February 2004, the 10 day period from 5 February 2004, the earliest date upon which Bob Brar became entitled to a transfer of ownership from Coast Capital, had not elapsed. I find attractive the argument that at the time of the accident section 113(c) of the </w:t>
      </w:r>
      <w:r>
        <w:rPr>
          <w:rFonts w:ascii="arial" w:eastAsia="arial" w:hAnsi="arial" w:cs="arial"/>
          <w:i/>
          <w:color w:val="000000"/>
          <w:sz w:val="20"/>
          <w:lang w:val="en-US" w:eastAsia="en-US" w:bidi="ar-SA"/>
        </w:rPr>
        <w:t>Regulations</w:t>
      </w:r>
      <w:r>
        <w:rPr>
          <w:rFonts w:ascii="arial" w:eastAsia="arial" w:hAnsi="arial" w:cs="arial"/>
          <w:color w:val="000000"/>
          <w:sz w:val="20"/>
          <w:lang w:val="en-US" w:eastAsia="en-US" w:bidi="ar-SA"/>
        </w:rPr>
        <w:t xml:space="preserve"> did not apply in the circumstances of this case, and that Lucky Brar was an insured under the contract of insurance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However, authority in this Court exists for the proposition that the 10-day grace period provided for by section 17(1)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does not operate to abrogate the requirements of section 113(c) of the </w:t>
      </w:r>
      <w:r>
        <w:rPr>
          <w:rFonts w:ascii="arial" w:eastAsia="arial" w:hAnsi="arial" w:cs="arial"/>
          <w:i/>
          <w:color w:val="000000"/>
          <w:sz w:val="20"/>
          <w:lang w:val="en-US" w:eastAsia="en-US" w:bidi="ar-SA"/>
        </w:rPr>
        <w:t>Regulations.</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Overload Tractor Services Ltd. v. British Columbia (Insurance Corp. of British Columbia)</w:t>
      </w:r>
      <w:r>
        <w:rPr>
          <w:rFonts w:ascii="arial" w:eastAsia="arial" w:hAnsi="arial" w:cs="arial"/>
          <w:color w:val="000000"/>
          <w:sz w:val="20"/>
          <w:lang w:val="en-US" w:eastAsia="en-US" w:bidi="ar-SA"/>
        </w:rPr>
        <w:t xml:space="preserve">, </w:t>
      </w:r>
      <w:hyperlink r:id="rId962" w:history="1">
        <w:r>
          <w:rPr>
            <w:rFonts w:ascii="arial" w:eastAsia="arial" w:hAnsi="arial" w:cs="arial"/>
            <w:i/>
            <w:color w:val="0077CC"/>
            <w:sz w:val="20"/>
            <w:u w:val="single"/>
            <w:shd w:val="clear" w:color="auto" w:fill="FFFFFF"/>
            <w:lang w:val="en-US" w:eastAsia="en-US" w:bidi="ar-SA"/>
          </w:rPr>
          <w:t>[1988] B.C.J. No. 94</w:t>
        </w:r>
      </w:hyperlink>
      <w:r>
        <w:rPr>
          <w:rFonts w:ascii="arial" w:eastAsia="arial" w:hAnsi="arial" w:cs="arial"/>
          <w:color w:val="000000"/>
          <w:sz w:val="20"/>
          <w:lang w:val="en-US" w:eastAsia="en-US" w:bidi="ar-SA"/>
        </w:rPr>
        <w:t xml:space="preserve"> (B.C.S.C.), Mr. Justice Boyle, on an application by the defendant ICBC to strike out the plaintiff's action, held that failure to submit the Transfer Tax Form to ICBC does not entitle one to legal title or any contractual relationship with ICBC under an insurance contract, despite the 10-day grace period provided in section 17(1)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At page 5, Boyle J., after referring to Regulation 2.07(a)(ii) of the </w:t>
      </w:r>
      <w:r>
        <w:rPr>
          <w:rFonts w:ascii="arial" w:eastAsia="arial" w:hAnsi="arial" w:cs="arial"/>
          <w:i/>
          <w:color w:val="000000"/>
          <w:sz w:val="20"/>
          <w:lang w:val="en-US" w:eastAsia="en-US" w:bidi="ar-SA"/>
        </w:rPr>
        <w:t>Insurance (Motor Vehicle) Act 1983</w:t>
      </w:r>
      <w:r>
        <w:rPr>
          <w:rFonts w:ascii="arial" w:eastAsia="arial" w:hAnsi="arial" w:cs="arial"/>
          <w:color w:val="000000"/>
          <w:sz w:val="20"/>
          <w:lang w:val="en-US" w:eastAsia="en-US" w:bidi="ar-SA"/>
        </w:rPr>
        <w:t xml:space="preserve">, which is to similar effect as section 17(1)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states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no evidence that the owner did anything at all toward advising the Defendant of the lease to the Plaintiff. Nevertheless, the Plaintiff argues, Regulation 2.07 provides a 10-day grace period in which a "contractual-like" status is effective, although not yet crystallized by writing on the certificate. That is to say, because the owner has ten days in which to report a change, here the lease, then, during the ten-day period, it is an implied term that the lessee is an insured.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 says this argument is given force by the Law &amp; Equity Act which provides for relief against forfeiture in Section 21 and by Section 34 of the Insurance Corporation Act which provides for relief where an insured has omitted to do something about a loss.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Is there any merit in this argument? Does Regulation 2.07 extend status by necessary implication to the Plaintiff?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first response is to say that Regulation 2.07 is directed to the subject matter of coverage and loss, not to the question: Who is insured? That being so, no foundation for this argument of 10 days grace exists.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Overload Tractor</w:t>
      </w:r>
      <w:r>
        <w:rPr>
          <w:rFonts w:ascii="arial" w:eastAsia="arial" w:hAnsi="arial" w:cs="arial"/>
          <w:color w:val="000000"/>
          <w:sz w:val="20"/>
          <w:lang w:val="en-US" w:eastAsia="en-US" w:bidi="ar-SA"/>
        </w:rPr>
        <w:t xml:space="preserve"> was appealed to the Court of Appeal on other grounds, and upheld: </w:t>
      </w:r>
      <w:hyperlink r:id="rId963" w:history="1">
        <w:r>
          <w:rPr>
            <w:rFonts w:ascii="arial" w:eastAsia="arial" w:hAnsi="arial" w:cs="arial"/>
            <w:i/>
            <w:color w:val="0077CC"/>
            <w:sz w:val="20"/>
            <w:u w:val="single"/>
            <w:shd w:val="clear" w:color="auto" w:fill="FFFFFF"/>
            <w:lang w:val="en-US" w:eastAsia="en-US" w:bidi="ar-SA"/>
          </w:rPr>
          <w:t>[1989] B.C.J. No. 1445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Applying the principles set out in </w:t>
      </w:r>
      <w:r>
        <w:rPr>
          <w:rFonts w:ascii="arial" w:eastAsia="arial" w:hAnsi="arial" w:cs="arial"/>
          <w:i/>
          <w:color w:val="000000"/>
          <w:sz w:val="20"/>
          <w:lang w:val="en-US" w:eastAsia="en-US" w:bidi="ar-SA"/>
        </w:rPr>
        <w:t>Re. Hansard Spruce Mills Ltd.</w:t>
      </w:r>
      <w:r>
        <w:rPr>
          <w:rFonts w:ascii="arial" w:eastAsia="arial" w:hAnsi="arial" w:cs="arial"/>
          <w:color w:val="000000"/>
          <w:sz w:val="20"/>
          <w:lang w:val="en-US" w:eastAsia="en-US" w:bidi="ar-SA"/>
        </w:rPr>
        <w:t xml:space="preserve">, </w:t>
      </w:r>
      <w:hyperlink r:id="rId516" w:history="1">
        <w:r>
          <w:rPr>
            <w:rFonts w:ascii="arial" w:eastAsia="arial" w:hAnsi="arial" w:cs="arial"/>
            <w:i/>
            <w:color w:val="0077CC"/>
            <w:sz w:val="20"/>
            <w:u w:val="single"/>
            <w:shd w:val="clear" w:color="auto" w:fill="FFFFFF"/>
            <w:lang w:val="en-US" w:eastAsia="en-US" w:bidi="ar-SA"/>
          </w:rPr>
          <w:t>[1954] 4 D.L.R. 590</w:t>
        </w:r>
      </w:hyperlink>
      <w:r>
        <w:rPr>
          <w:rFonts w:ascii="arial" w:eastAsia="arial" w:hAnsi="arial" w:cs="arial"/>
          <w:color w:val="000000"/>
          <w:sz w:val="20"/>
          <w:lang w:val="en-US" w:eastAsia="en-US" w:bidi="ar-SA"/>
        </w:rPr>
        <w:t xml:space="preserve"> (B.C.S.C.), I conclude that </w:t>
      </w:r>
      <w:r>
        <w:rPr>
          <w:rFonts w:ascii="arial" w:eastAsia="arial" w:hAnsi="arial" w:cs="arial"/>
          <w:i/>
          <w:color w:val="000000"/>
          <w:sz w:val="20"/>
          <w:lang w:val="en-US" w:eastAsia="en-US" w:bidi="ar-SA"/>
        </w:rPr>
        <w:t>Overland Tractor</w:t>
      </w:r>
      <w:r>
        <w:rPr>
          <w:rFonts w:ascii="arial" w:eastAsia="arial" w:hAnsi="arial" w:cs="arial"/>
          <w:color w:val="000000"/>
          <w:sz w:val="20"/>
          <w:lang w:val="en-US" w:eastAsia="en-US" w:bidi="ar-SA"/>
        </w:rPr>
        <w:t xml:space="preserve"> applies and that at the time of the accident Lucky Brar was not an insured under the contract of insurance within the meaning of section 113(c) of the </w:t>
      </w:r>
      <w:r>
        <w:rPr>
          <w:rFonts w:ascii="arial" w:eastAsia="arial" w:hAnsi="arial" w:cs="arial"/>
          <w:i/>
          <w:color w:val="000000"/>
          <w:sz w:val="20"/>
          <w:lang w:val="en-US" w:eastAsia="en-US" w:bidi="ar-SA"/>
        </w:rPr>
        <w:t>Regulations.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On the other hand, Bob Brar remained as legal owner at the time of the accident and was an insured under the contract of insurance when the accident occurred. In his closing submissions, Mr. Hodgins, on behalf of ICBC, wrote in part as follows:</w:t>
      </w:r>
      <w:r>
        <w:rPr>
          <w:rFonts w:ascii="arial" w:eastAsia="arial" w:hAnsi="arial" w:cs="arial"/>
          <w:sz w:val="20"/>
          <w:lang w:val="en-US" w:eastAsia="en-US" w:bidi="ar-SA"/>
        </w:rPr>
        <w:cr/>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evidence demonstrates that Bob Brar was the lessee under the Lease Agreement with Coast Capital, and at no time did Bob Brar assign the legal obligations under the lease to anyone. Bob Brar's evidence was that the lease payments continued to be made directly from his bank account or by post-dated cheques from the commencement of the lease to the payout of the lease on February 5, 2004. On the documentation, Bob Brar appears as the lessee of the Volvo during the course of the lease, and he became the beneficial owner of the Volvo upon the payout of the lease and the passing of the equitable title from Coast Capital to him.</w:t>
      </w:r>
    </w:p>
    <w:p>
      <w:pPr>
        <w:numPr>
          <w:numId w:val="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Further evidence in support of Bob Brar being the beneficial owner of the Volvo stems from the statements provided to ICBC in March 2004 by both Bob and Lucky Brar, and by Toor. They all stated that the Volvo was owned by Bob Brar, and did not offer any information as to Lucky Brar's interest in the Volvo or the intentions to transfer the Volvo to his name after the payout of the lease.</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event the Court determines that Bob Brar was the beneficial owner of the Volvo at the time of the Accident, there is written documentation in the evidence that satisfies the definition in section 113(c). In other words, Bob Brar may be an "insured" under the Insurance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I agree that Bob Brar satisfied the definition in section 113(c) of the </w:t>
      </w:r>
      <w:r>
        <w:rPr>
          <w:rFonts w:ascii="arial" w:eastAsia="arial" w:hAnsi="arial" w:cs="arial"/>
          <w:i/>
          <w:color w:val="000000"/>
          <w:sz w:val="20"/>
          <w:lang w:val="en-US" w:eastAsia="en-US" w:bidi="ar-SA"/>
        </w:rPr>
        <w:t>Regulations</w:t>
      </w:r>
      <w:r>
        <w:rPr>
          <w:rFonts w:ascii="arial" w:eastAsia="arial" w:hAnsi="arial" w:cs="arial"/>
          <w:color w:val="000000"/>
          <w:sz w:val="20"/>
          <w:lang w:val="en-US" w:eastAsia="en-US" w:bidi="ar-SA"/>
        </w:rPr>
        <w:t xml:space="preserve"> and that he is an insured under the insurance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my judgment neither Bob Brar nor Lucky Brar is entitled to coverage or indemnity under the contract of insurance. The reason for this is that at the time of the accident Surinder Toor, who was driving the Volvo, did not hold a valid and subsisting British Columbia licence to drive a commercial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The plaintiffs rely upon section 37.29 of the </w:t>
      </w:r>
      <w:r>
        <w:rPr>
          <w:rFonts w:ascii="arial" w:eastAsia="arial" w:hAnsi="arial" w:cs="arial"/>
          <w:i/>
          <w:color w:val="000000"/>
          <w:sz w:val="20"/>
          <w:lang w:val="en-US" w:eastAsia="en-US" w:bidi="ar-SA"/>
        </w:rPr>
        <w:t>Regulations</w:t>
      </w:r>
      <w:r>
        <w:rPr>
          <w:rFonts w:ascii="arial" w:eastAsia="arial" w:hAnsi="arial" w:cs="arial"/>
          <w:color w:val="000000"/>
          <w:sz w:val="20"/>
          <w:lang w:val="en-US" w:eastAsia="en-US" w:bidi="ar-SA"/>
        </w:rPr>
        <w:t>, and submit that CTI as carrier bore the responsibility to screen a driver and to ensure that a driver "employed or otherwise engaged" not be permitted to drive unless that driver is legally authorized and qualified to drive. Section 37.29 reads in part as follows:</w:t>
      </w:r>
      <w:r>
        <w:rPr>
          <w:rFonts w:ascii="arial" w:eastAsia="arial" w:hAnsi="arial" w:cs="arial"/>
          <w:sz w:val="20"/>
          <w:lang w:val="en-US" w:eastAsia="en-US" w:bidi="ar-SA"/>
        </w:rPr>
        <w:cr/>
      </w:r>
    </w:p>
    <w:p>
      <w:pPr>
        <w:numPr>
          <w:numId w:val="5"/>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subsection (2), the carrier shall maintain at its principal place of business in the Province or at another place approved by the director</w:t>
      </w:r>
    </w:p>
    <w:p>
      <w:pPr>
        <w:numPr>
          <w:numId w:val="6"/>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transcript of the driving record of each driver employed or otherwise engaged by that carrier within the Province, issued by the responsible agency in the jurisdiction in which the driver received his driver's licence, and dated the later of</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driver's date of employment, and</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one year from the date of the previous transcript,</w:t>
      </w:r>
    </w:p>
    <w:p>
      <w:pPr>
        <w:numPr>
          <w:numId w:val="9"/>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copies of records that are required of the carrier by the laws of any jurisdiction respecting the use of commercial motor vehicles by each driver employed or otherwise engaged by that carrier, including but not limited to</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records required under Parts 3 and 4 of this Division, and</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records of the notification of the carrier of accidents, violations and convictions relative to each driver while in the employ of or engaged by that carrier,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The defendant ICBC argues that the plaintiffs cannot be in a position to gain all the benefits of being an insured under the insurance contract without incurring the statutory legal obligations imposed on an insured under section 55 of the </w:t>
      </w:r>
      <w:r>
        <w:rPr>
          <w:rFonts w:ascii="arial" w:eastAsia="arial" w:hAnsi="arial" w:cs="arial"/>
          <w:i/>
          <w:color w:val="000000"/>
          <w:sz w:val="20"/>
          <w:lang w:val="en-US" w:eastAsia="en-US" w:bidi="ar-SA"/>
        </w:rPr>
        <w:t>Regulations</w:t>
      </w:r>
      <w:r>
        <w:rPr>
          <w:rFonts w:ascii="arial" w:eastAsia="arial" w:hAnsi="arial" w:cs="arial"/>
          <w:color w:val="000000"/>
          <w:sz w:val="20"/>
          <w:lang w:val="en-US" w:eastAsia="en-US" w:bidi="ar-SA"/>
        </w:rPr>
        <w:t>. Section 55 read as follows:</w:t>
      </w:r>
      <w:r>
        <w:rPr>
          <w:rFonts w:ascii="arial" w:eastAsia="arial" w:hAnsi="arial" w:cs="arial"/>
          <w:sz w:val="20"/>
          <w:lang w:val="en-US" w:eastAsia="en-US" w:bidi="ar-SA"/>
        </w:rPr>
        <w:cr/>
      </w:r>
    </w:p>
    <w:p>
      <w:pPr>
        <w:numPr>
          <w:numId w:val="12"/>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this Section, "insured" means</w:t>
      </w:r>
    </w:p>
    <w:p>
      <w:pPr>
        <w:numPr>
          <w:numId w:val="1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 insured as defined in section ... 113 ...</w:t>
      </w:r>
    </w:p>
    <w:p>
      <w:pPr>
        <w:numPr>
          <w:numId w:val="14"/>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 insured shall not operate a vehicle for which coverage is provided under section 49 or 49.3(1)(a) and (c), Part 6, 7 or 9, or Division 2 of Part 10</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he is not authorized and qualified by law to operate the vehicle,</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 insured named in a certificate, policy or endorsement shall not permit the vehicle described in the certificate, policy or endorsement to be operated by a person or for a purpose that breaches a condition of this section ...</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corporation is not liable to an insured who breaches a condition of this section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plaintiffs' coverage under the contract of insurance for the Volvo was dependent upon whether Surinder Toor held a valid and subsisting British Columbia driver's licence at the time of the accident. Lucky Brar cannot rely upon CTI as a carrier to perform a due diligence examination of Surinder Toor's driver's licence in view of the fact that he did not make CTI aware that Toor was driving the Volvo. As of 5 February 2004, Lucky Brar became the beneficial owner of the Volvo and Bob Brar remained an insured under the contract of insurance pursuant to the legislation. Lucky Brar, as the person responsible for hiring Surinder Toor, bore the responsibility to ensure that Toor was duly qualified and authorized to operate the vehicle. I am not convinced by Lucky Brar's testimony that he did not know of Surinder Toor's licence suspension, but in the event either chose to turn a blind eye or disregarded that as a factor.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Border Trucking Ltd v. Insurance Corp. of British Columbia</w:t>
      </w:r>
      <w:r>
        <w:rPr>
          <w:rFonts w:ascii="arial" w:eastAsia="arial" w:hAnsi="arial" w:cs="arial"/>
          <w:color w:val="000000"/>
          <w:sz w:val="20"/>
          <w:lang w:val="en-US" w:eastAsia="en-US" w:bidi="ar-SA"/>
        </w:rPr>
        <w:t xml:space="preserve">, </w:t>
      </w:r>
      <w:hyperlink r:id="rId964" w:history="1">
        <w:r>
          <w:rPr>
            <w:rFonts w:ascii="arial" w:eastAsia="arial" w:hAnsi="arial" w:cs="arial"/>
            <w:i/>
            <w:color w:val="0077CC"/>
            <w:sz w:val="20"/>
            <w:u w:val="single"/>
            <w:shd w:val="clear" w:color="auto" w:fill="FFFFFF"/>
            <w:lang w:val="en-US" w:eastAsia="en-US" w:bidi="ar-SA"/>
          </w:rPr>
          <w:t>[1999] B.C.J. No. 2735</w:t>
        </w:r>
      </w:hyperlink>
      <w:r>
        <w:rPr>
          <w:rFonts w:ascii="arial" w:eastAsia="arial" w:hAnsi="arial" w:cs="arial"/>
          <w:color w:val="000000"/>
          <w:sz w:val="20"/>
          <w:lang w:val="en-US" w:eastAsia="en-US" w:bidi="ar-SA"/>
        </w:rPr>
        <w:t xml:space="preserve"> (B.C.S.C.), the Court cited </w:t>
      </w:r>
      <w:r>
        <w:rPr>
          <w:rFonts w:ascii="arial" w:eastAsia="arial" w:hAnsi="arial" w:cs="arial"/>
          <w:i/>
          <w:color w:val="000000"/>
          <w:sz w:val="20"/>
          <w:lang w:val="en-US" w:eastAsia="en-US" w:bidi="ar-SA"/>
        </w:rPr>
        <w:t>Peters v. Saskatchewan Government Insurance Office</w:t>
      </w:r>
      <w:r>
        <w:rPr>
          <w:rFonts w:ascii="arial" w:eastAsia="arial" w:hAnsi="arial" w:cs="arial"/>
          <w:color w:val="000000"/>
          <w:sz w:val="20"/>
          <w:lang w:val="en-US" w:eastAsia="en-US" w:bidi="ar-SA"/>
        </w:rPr>
        <w:t xml:space="preserve"> </w:t>
      </w:r>
      <w:hyperlink r:id="rId965" w:history="1">
        <w:r>
          <w:rPr>
            <w:rFonts w:ascii="arial" w:eastAsia="arial" w:hAnsi="arial" w:cs="arial"/>
            <w:i/>
            <w:color w:val="0077CC"/>
            <w:sz w:val="20"/>
            <w:u w:val="single"/>
            <w:shd w:val="clear" w:color="auto" w:fill="FFFFFF"/>
            <w:lang w:val="en-US" w:eastAsia="en-US" w:bidi="ar-SA"/>
          </w:rPr>
          <w:t>(1956), 2 D.L.R. (2d) 589</w:t>
        </w:r>
      </w:hyperlink>
      <w:r>
        <w:rPr>
          <w:rFonts w:ascii="arial" w:eastAsia="arial" w:hAnsi="arial" w:cs="arial"/>
          <w:color w:val="000000"/>
          <w:sz w:val="20"/>
          <w:lang w:val="en-US" w:eastAsia="en-US" w:bidi="ar-SA"/>
        </w:rPr>
        <w:t xml:space="preserve"> (C.A.) as authority for the following test: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 may be said to have permitted the use of his vehicle by an unauthorized and unqualified driver within the terms of the statutory condition if the permission were express or unqualified or if he failed to take those precautions which could be considered as reasonable and prudent to avoid a contravention of the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Lucky Brar did not ensure that Surinder Toor was duly qualified to drive a commercial vehicle. Nor did Lucky Brar confirm with CTI that Surinder Toor was authorized before he began driving loads.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Accordingly neither of the plaintiffs is able to claim indemnity from ICBC under the contract of insurance.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 Are CTI and/or JIT liable to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Although CTI filed a statement of defence and counterclaim against the plaintiffs, it did not appear at the trial to prosecute its defence or counterclaim. Mr. Dhami appeared as a witness for the plaintiffs under subpoena, and portions of the examination for discovery of Mr. Dhami's co-partner, Jasbir Dhaliwal, were read into the evidence as part of the plaintiffs' case. The plaintiffs seek judgment in default against CTI as well as an order striking CTI's counterclaim.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In my judgment the plaintiffs' claim cannot succeed as against CTI. The evidence shows that Mr. Dhami was not aware that prior to or at the time of the accident that Surinder Toor was in fact driving the Volvo. Mr. Dhami, whose evidence I accept, testified that he did not know Mr. Toor was driving. Neither Lucky Brar nor Surinder Toor had disclosed that vital fact to Mr. Dhami. Moreover, the plaintiffs read in as part of their case the following question and answer from the examination for discovery of Mr. Dhaliwal, held on 12 January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6"/>
        <w:gridCol w:w="313"/>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130</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 Is it fair to say that you knew Mr. Toor from many years before this accident?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Oh, yeah.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6"/>
        <w:gridCol w:w="313"/>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131</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 And you were aware that he had owned his own company. He had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Yeah.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132 Q He had vast experience driving, correct?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Yeah.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6"/>
        <w:gridCol w:w="313"/>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133</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 Did you have any knowledge that he didn't have a valid driver's licence before this accident?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No.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 essence, CTI was not obliged to perform a due diligence examination of Mr. Toor's driver's licence; nor was CTI aware at the time of the accident that Toor was driving or that he did not have a valid licence.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Similar reasoning must be applied to the claim as against JIT.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claims as against CTI and JIT must be dismissed without costs. CTI's counterclaim must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 Is Surinder Toor liable to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defendant Surinder Toor did not file a defence to the action. He did, however, appear as a witness on behalf of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The accident was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Surinder Toor, and he must bear sole responsibility for the loss which occurred as a result. Judgment will therefore be recovered against him for the total amount of $56,058 with respect to the loss of the Volvo and the incidental haulage and storage costs, and pre-judgment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plaintiffs claim business loss in the amount of $123,712. Given Lucky Brar's awareness that Surinder Toor did not have a valid and subsisting British Columbia driver's licence and yet permitted him to drive the Volvo, I think it would be unjust to make an award in favour of the plaintiffs for loss of the business as against Surinder Toor. Therefore, the claim for business loss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ICBC is entitled to its costs as against the plaintiffs on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plaintiffs were only partially successful as against Surinder Toor, and are therefore only awarded one half of their costs on Scale B as against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W.B. SCARTH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13" style="position:absolute;z-index:2518855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66"/>
          <w:headerReference w:type="default" r:id="rId967"/>
          <w:footerReference w:type="even" r:id="rId968"/>
          <w:footerReference w:type="default" r:id="rId969"/>
          <w:headerReference w:type="first" r:id="rId970"/>
          <w:footerReference w:type="first" r:id="rId97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972" w:history="1">
        <w:r>
          <w:rPr>
            <w:rFonts w:ascii="arial" w:eastAsia="arial" w:hAnsi="arial" w:cs="arial"/>
            <w:b/>
            <w:bCs/>
            <w:i/>
            <w:color w:val="0077CC"/>
            <w:kern w:val="32"/>
            <w:sz w:val="28"/>
            <w:szCs w:val="32"/>
            <w:u w:val="single"/>
            <w:shd w:val="clear" w:color="auto" w:fill="FFFFFF"/>
            <w:lang w:val="en-US" w:eastAsia="en-US" w:bidi="ar-SA"/>
          </w:rPr>
          <w:t>Brook v. Tod Estate, [2012] B.C.J. No. 2710</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Kamloops,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K.N. Affleck J.</w:t>
      </w:r>
    </w:p>
    <w:p>
      <w:pPr>
        <w:spacing w:before="120" w:line="260" w:lineRule="atLeast"/>
        <w:jc w:val="center"/>
        <w:rPr>
          <w:lang w:val="en-US" w:eastAsia="en-US" w:bidi="ar-SA"/>
        </w:rPr>
      </w:pPr>
      <w:r>
        <w:rPr>
          <w:rFonts w:ascii="arial" w:eastAsia="arial" w:hAnsi="arial" w:cs="arial"/>
          <w:color w:val="000000"/>
          <w:sz w:val="20"/>
          <w:lang w:val="en-US" w:eastAsia="en-US" w:bidi="ar-SA"/>
        </w:rPr>
        <w:t>Heard: November 20-22, 2012.</w:t>
      </w:r>
    </w:p>
    <w:p>
      <w:pPr>
        <w:spacing w:before="120" w:line="260" w:lineRule="atLeast"/>
        <w:jc w:val="center"/>
        <w:rPr>
          <w:lang w:val="en-US" w:eastAsia="en-US" w:bidi="ar-SA"/>
        </w:rPr>
      </w:pPr>
      <w:r>
        <w:rPr>
          <w:rFonts w:ascii="arial" w:eastAsia="arial" w:hAnsi="arial" w:cs="arial"/>
          <w:color w:val="000000"/>
          <w:sz w:val="20"/>
          <w:lang w:val="en-US" w:eastAsia="en-US" w:bidi="ar-SA"/>
        </w:rPr>
        <w:t>Oral judgment: November 23, 2012.</w:t>
      </w:r>
    </w:p>
    <w:p>
      <w:pPr>
        <w:spacing w:before="120" w:line="260" w:lineRule="atLeast"/>
        <w:jc w:val="center"/>
        <w:rPr>
          <w:lang w:val="en-US" w:eastAsia="en-US" w:bidi="ar-SA"/>
        </w:rPr>
      </w:pPr>
      <w:r>
        <w:rPr>
          <w:rFonts w:ascii="arial" w:eastAsia="arial" w:hAnsi="arial" w:cs="arial"/>
          <w:color w:val="000000"/>
          <w:sz w:val="20"/>
          <w:lang w:val="en-US" w:eastAsia="en-US" w:bidi="ar-SA"/>
        </w:rPr>
        <w:t>Docket: M44456</w:t>
      </w:r>
    </w:p>
    <w:p>
      <w:pPr>
        <w:spacing w:before="120" w:line="260" w:lineRule="atLeast"/>
        <w:jc w:val="center"/>
        <w:rPr>
          <w:lang w:val="en-US" w:eastAsia="en-US" w:bidi="ar-SA"/>
        </w:rPr>
      </w:pPr>
      <w:r>
        <w:rPr>
          <w:rFonts w:ascii="arial" w:eastAsia="arial" w:hAnsi="arial" w:cs="arial"/>
          <w:color w:val="000000"/>
          <w:sz w:val="20"/>
          <w:lang w:val="en-US" w:eastAsia="en-US" w:bidi="ar-SA"/>
        </w:rPr>
        <w:t>Registry: Kamloops</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[2012] B.C.J. No. 2710</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2012 BCSC 1947</w:t>
      </w:r>
    </w:p>
    <w:p>
      <w:pPr>
        <w:spacing w:before="120" w:line="260" w:lineRule="atLeast"/>
        <w:rPr>
          <w:lang w:val="en-US" w:eastAsia="en-US" w:bidi="ar-SA"/>
        </w:rPr>
      </w:pPr>
      <w:r>
        <w:rPr>
          <w:rFonts w:ascii="arial" w:eastAsia="arial" w:hAnsi="arial" w:cs="arial"/>
          <w:color w:val="000000"/>
          <w:sz w:val="20"/>
          <w:lang w:val="en-US" w:eastAsia="en-US" w:bidi="ar-SA"/>
        </w:rPr>
        <w:t>Between Shawna Rae Brook, Plaintiff, and Mona Ruth Tod as executor of the estate of James Francis Tod, deceased, and Kora Goodrick,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(43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214" style="position:absolute;z-index:251697152"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247" w:name="Keywords_36"/>
      <w:bookmarkEnd w:id="247"/>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and standard of care — Motor vehicles — Rules of the road — Action for personal injuries suffered in a motor vehicle accident allowed against Goodrick — Plaintiff was a passenger in vehicle driven by her husband when their vehicle collided with vehicle driven by defendant Tod — Goodrick drove in same direction as Tod and attempted to change lanes — She then saw Tod's vehicle behind her swerve to left to avoid collision with Goodrick, thereby colliding with plaintiff's vehicle — Goodrick was solely liable for the accident — Goodrick had moved into lane already occupied by Tod's vehicle to pass and failed to take reasonable care when she changed lanes.</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248" w:name="Case Summary_34"/>
            <w:bookmarkEnd w:id="248"/>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Action for personal injuries suffered in a 2008 motor vehicle accident. The plaintiff was a passenger in a vehicle driven by her husband when their vehicle collided with a vehicle driven by the defendant Tod. Tod died as a result of the collision. The plaintiff's vehicle was driving westbound when it collided with the Tod vehicle which was partially in the westbound lane. On realizing the danger, the plaintiff's husband braked and turned his vehicle to the left in the hope of avoiding a collision. The Tod vehicle travelled across the westbound lane of travel while also moving eastward and then sliding partially sideways. Despite the efforts of both drivers, the two vehicles collided essentially head on, but at an angle. Goodrick also drove eastwards and wanted to overtake a slower moving vehicle. After turning on her signal to change into the fast lane, Goodrick noticed the Tod vehicle almost next to her and then making an abrupt swerve into the westbound lane of travel. At the scene of the accident, Goodrick told two witnesses that she caused the accident. She now denied those statements. </w:t>
            </w:r>
            <w:r>
              <w:rPr>
                <w:lang w:val="en-US" w:eastAsia="en-US" w:bidi="ar-SA"/>
              </w:rPr>
              <w:cr/>
            </w:r>
          </w:p>
          <w:p>
            <w:pPr>
              <w:spacing w:before="120" w:line="260" w:lineRule="atLeast"/>
              <w:ind w:left="240"/>
              <w:jc w:val="both"/>
              <w:rPr>
                <w:lang w:val="en-US" w:eastAsia="en-US" w:bidi="ar-SA"/>
              </w:rPr>
            </w:pPr>
            <w:bookmarkStart w:id="249" w:name="Holdings of Court_30"/>
            <w:bookmarkEnd w:id="249"/>
            <w:r>
              <w:rPr>
                <w:rFonts w:ascii="arial" w:eastAsia="arial" w:hAnsi="arial" w:cs="arial"/>
                <w:color w:val="000000"/>
                <w:sz w:val="20"/>
                <w:lang w:val="en-US" w:eastAsia="en-US" w:bidi="ar-SA"/>
              </w:rPr>
              <w:t>HELD: Action against Goodrick allowed, Goodrick was solely liable for the accident.</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Goodrick's vehicle did intrude into the fast eastbound lane at least to some extent. Goodrick had moved into the lane already occupied by the Tod vehicle to pass and failed to take reasonable care when she changed lanes. It was negligent on her part not to have seen the Tod vehicle earlier. If she had been alert to his presence, she could have avoided presenting the danger to him that led to his evasive actions. Tod's presence in her blind spot did not excuse her failure to see his car. She had a legal obligation to be aware of the traffic near her. It was not realistic to expect Tod to make an instantaneous decision to accept a collision, no matter how minor it might in retrospect have been, with Goodrick's vehicle. He did not create the danger that caused him to react in the agony of the moment. </w:t>
            </w:r>
            <w:r>
              <w:rPr>
                <w:lang w:val="en-US" w:eastAsia="en-US" w:bidi="ar-SA"/>
              </w:rPr>
              <w:cr/>
            </w:r>
          </w:p>
          <w:p>
            <w:pPr>
              <w:rPr>
                <w:lang w:val="en-US" w:eastAsia="en-US" w:bidi="ar-SA"/>
              </w:rPr>
            </w:pPr>
          </w:p>
        </w:tc>
      </w:tr>
    </w:tbl>
    <w:p>
      <w:pPr>
        <w:jc w:val="both"/>
        <w:rPr>
          <w:lang w:val="en-US" w:eastAsia="en-US" w:bidi="ar-SA"/>
        </w:rPr>
      </w:pPr>
      <w:bookmarkStart w:id="250" w:name="Legislation Cited_24"/>
      <w:bookmarkEnd w:id="250"/>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lang w:val="en-US" w:eastAsia="en-US" w:bidi="ar-SA"/>
        </w:rPr>
      </w:pPr>
      <w:r>
        <w:pict>
          <v:line id="_x0000_s1215" style="position:absolute;z-index:251748352"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Motor Vehicle Act, </w:t>
      </w:r>
      <w:hyperlink r:id="rId973" w:history="1">
        <w:r>
          <w:rPr>
            <w:rFonts w:ascii="arial" w:eastAsia="arial" w:hAnsi="arial" w:cs="arial"/>
            <w:i/>
            <w:color w:val="0077CC"/>
            <w:sz w:val="20"/>
            <w:u w:val="single"/>
            <w:shd w:val="clear" w:color="auto" w:fill="FFFFFF"/>
            <w:lang w:val="en-US" w:eastAsia="en-US" w:bidi="ar-SA"/>
          </w:rPr>
          <w:t>RSBC 1996, CHAPTER 318, s. 151</w:t>
        </w:r>
      </w:hyperlink>
      <w:r>
        <w:rPr>
          <w:rFonts w:ascii="arial" w:eastAsia="arial" w:hAnsi="arial" w:cs="arial"/>
          <w:color w:val="000000"/>
          <w:sz w:val="20"/>
          <w:lang w:val="en-US" w:eastAsia="en-US" w:bidi="ar-SA"/>
        </w:rPr>
        <w:t>(a), s. 155</w:t>
      </w:r>
      <w:r>
        <w:rPr>
          <w:lang w:val="en-US" w:eastAsia="en-US" w:bidi="ar-SA"/>
        </w:rPr>
        <w:cr/>
      </w:r>
    </w:p>
    <w:p>
      <w:pPr>
        <w:keepNext/>
        <w:spacing w:before="240" w:line="340" w:lineRule="atLeast"/>
        <w:rPr>
          <w:lang w:val="en-US" w:eastAsia="en-US" w:bidi="ar-SA"/>
        </w:rPr>
      </w:pPr>
      <w:bookmarkStart w:id="251" w:name="Counsel_37"/>
      <w:bookmarkEnd w:id="251"/>
      <w:r>
        <w:rPr>
          <w:rFonts w:ascii="arial" w:eastAsia="arial" w:hAnsi="arial" w:cs="arial"/>
          <w:b/>
          <w:color w:val="000000"/>
          <w:sz w:val="28"/>
          <w:lang w:val="en-US" w:eastAsia="en-US" w:bidi="ar-SA"/>
        </w:rPr>
        <w:t>Counsel</w:t>
      </w:r>
    </w:p>
    <w:p>
      <w:pPr>
        <w:spacing w:line="60" w:lineRule="exact"/>
        <w:rPr>
          <w:lang w:val="en-US" w:eastAsia="en-US" w:bidi="ar-SA"/>
        </w:rPr>
      </w:pPr>
      <w:r>
        <w:pict>
          <v:line id="_x0000_s1216" style="position:absolute;z-index:251799552"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the Plaintiff: R.L. Garner.</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 Tod: J.D. Morin and R.N. Beckmann.</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 Goodrick: S.M. Moring and J.A. Hemmerling.</w:t>
      </w:r>
      <w:r>
        <w:rPr>
          <w:lang w:val="en-US" w:eastAsia="en-US" w:bidi="ar-SA"/>
        </w:rPr>
        <w:cr/>
      </w:r>
    </w:p>
    <w:p>
      <w:pPr>
        <w:spacing w:after="240"/>
        <w:rPr>
          <w:lang w:val="en-US" w:eastAsia="en-US" w:bidi="ar-SA"/>
        </w:rPr>
      </w:pPr>
      <w:bookmarkStart w:id="252" w:name="Judgment_36"/>
      <w:bookmarkEnd w:id="252"/>
      <w:r>
        <w:pict>
          <v:line id="_x0000_s1217" style="position:absolute;z-index:251848704" from="0,12pt" to="512pt,12pt" strokecolor="#009ddb" strokeweight="1.5pt">
            <v:stroke linestyle="single"/>
          </v:line>
        </w:pict>
      </w:r>
    </w:p>
    <w:p>
      <w:pPr>
        <w:spacing w:before="120" w:line="260" w:lineRule="atLeast"/>
        <w:jc w:val="center"/>
        <w:rPr>
          <w:lang w:val="en-US" w:eastAsia="en-US" w:bidi="ar-SA"/>
        </w:rPr>
      </w:pPr>
      <w:r>
        <w:rPr>
          <w:rFonts w:ascii="arial" w:eastAsia="arial" w:hAnsi="arial" w:cs="arial"/>
          <w:b/>
          <w:color w:val="000000"/>
          <w:sz w:val="20"/>
          <w:lang w:val="en-US" w:eastAsia="en-US" w:bidi="ar-SA"/>
        </w:rPr>
        <w:t>Oral Reasons for Judgment</w:t>
      </w:r>
      <w:r>
        <w:rPr>
          <w:lang w:val="en-US" w:eastAsia="en-US" w:bidi="ar-SA"/>
        </w:rPr>
        <w:cr/>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7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253" w:name="K.N. AFFLECK J. (orally)"/>
            <w:bookmarkEnd w:id="253"/>
            <w:r>
              <w:rPr>
                <w:rFonts w:ascii="arial" w:eastAsia="arial" w:hAnsi="arial" w:cs="arial"/>
                <w:b/>
                <w:color w:val="000000"/>
                <w:sz w:val="30"/>
                <w:lang w:val="en-US" w:eastAsia="en-US" w:bidi="ar-SA"/>
              </w:rPr>
              <w:t>K.N. AFFLECK J. (orally)</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On July 2, 2008, at about 8:30 in the morning, a collision occurred on the Trans-Canada Highway at a location known as Kault Hill near Salmon Arm between a Toyota Camry driven by James Francis Tod and a Dodge pickup truck driven by Colin James Brook. Mr. Tod was killed in the collision. The plaintiff was a passenger in the Dodge pickup driven by her husband. In response to a notice to admit delivered by the plaintiff to the defendant, Mona Ruth Tod, as executor of the estate of the late Mr. Tod and to the defendant, Kora Goodrick, both those defendants admit that the accident occurred as a result of one or both of their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that they are, in the language of the notice to admit, individually or jointly and severally 100 percent liable for the injuries and loss suffered by the plaintiff as a result of the accident. By consent, the action has been dismissed against Mr. Brook and he has been removed from the style of cause. The trial of liability as between the remaining defendants was severed from the damage claim with that assessment to be addressed at a later date. The hearing this week has been conducted for the purpose of determining the respective degrees of fault of the defendants.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On July 2, 2008, Mr. Brook was travelling west on Highway Number 1 when he approached a long downward incline for his direction of travel on Kault Hill. Mr. Brook was travelling in the single westbound lane. There were two eastbound lanes for traffic coming up the hill. The right lane for uphill traffic was for slower vehicles and the left lane closest to the centre line was for the use of vehicles overtaking those in the slower lane. The two uphill lanes were marked with the typically painted broken line. The road surface was bare and in good condition. The weather was bright and clear.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As Mr. Brook arrived at the top of the hill looking west, the plaintiff was sitting in the front passenger seat and their two young children were in the back seats of the Dodge pickup. The plaintiff called Mr. Brook's name to get his attention and he was immediately alerted to several vehicles travelling eastbound towards his vehicle. He described one vehicle in the slow uphill lane as a red pickup truck with a camper and another smaller vehicle in the fast lane adjacent to the red truck and a third vehicle, which he described as out of control as it was turned partially to its right and was, in part, in the westbound lane at about a 45-degree angle across that lane. Mr. Brook testified that he could see most of the vehicle which was moving east in the westbound lane, but its front end was partially obscured from his sight by the smaller vehicle which Mr. Brook testified was in the fast lane. The vehicle which was partially in the westbound lane was the Toyota driven by Mr. Tod. Mr. Brook described the Toyota as giving off smoke from all four tires when he first saw 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 Brook's recollection is probably in part incorrect. The reconstruction of the accident using physical evidence of skid marks indicates that the Toyota had first turned sharply to its left towards a concrete barrier at the edge of the highway, which barrier would have been to Mr. Brook's right going down the hill and had then turned back to its right in what was described as a yawing motion. In that motion, its tires would have begun to smoke. Mr. Brook had not seen the initial swerve to the left. He first saw the Toyota when it began to yaw back towards the centre of the highway.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Brook had little time to react. From the moment he recognized the danger until his collision with the Toyota, perhaps no more than about two seconds elapsed. Mr. Brook's vehicle was equipped with a crash data retrieval system which supplied considerable information to those experts who have done their best to reconstruct how the accident happened. On realizing the danger, Mr. Brook braked and turned his vehicle to the left in the hope, as he put it at the trial, to thread the needle between the approaching vehicles. It is not certain why he believed this turn would be beneficial, but he cannot be faulted given the negligible time available to react.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Toyota travelled across the westbound lane of travel while also moving eastward and then yawed, which is a word used by Mr. Leggett, an engineer, who gave expert evidence that the yaw means it was sliding partially sideways. It yawed towards the centre line of the highway. Despite the efforts of Mr. Brook and the efforts of Mr. Tod, the two vehicles collided essentially head on, but at an angle. The front of both vehicles was heavily damaged. The Dodge pickup was a much heavier and higher vehicle than the Toyota and the latter suffered catastrophic damage which caused Mr. Tod's death.</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At the trial, there was some dispute about the number of vehicles which were travelling eastbound on Kault Hill as Mr. Brook's vehicle began its descent. There is no doubt there were at least three, but the defendant Ms. Goodrick, gave evidence of a fourth vehicle which she could not identify.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Ms. Goodrick testified that she left home that morning to drive to work. She travelled east on the Trans-Canada Highway eventually driving up Kault Hill. She described a camper van ahead of her in the slow lane and behind it another vehicle which she could not describe by make or model. She thought it might have been a light colour of a rather unspecified variety. She testified this unknown vehicle turned into the fast lane and overtook the camper. She did not see the unknown vehicle again.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Ms. Goodrick testified that she decided to overtake the camper herself. She gave a detailed description of checking her mirrors, doing a shoulder check, and then activating her turn signal before beginning to move her vehicle to its left to begin to overtake the camper. She gave some confusing evidence about moving her vehicle from side to side within the slow lane, but I do not attribute causal effects to this movement. Ms. Goodrick testified that at no time while driving up Kault Hill before activating her turn signal to change lanes to the left had she seen the Toyota in her mirrors or otherwise.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After turning on her signal, she glanced to her left doing what is called a shoulder check and, for the first time, saw the Toyota in the fast lane. Its front bumper was adjacent to the area just forward of her left rear wheel. This was described as her blind spot. Simultaneously with noticing the Toyota, Ms. Goodrick said it made an abrupt swerve into the westbound lane of travel. The expert, Mr. Leggett, said the physical evidence revealed an eight-degree turn which he described as extreme and not a sign of inattention, but an avoidance manoeuvre. Ms. Goodrick testified she saw the Toyota travel across the westbound lane and then travel back towards the centre of the highway. Ms. Goodrick did not see the collision which she testified was masked from her view by the camper van. Ms. Goodrick testified that her car at no time crossed over the broken line marking the change between the two eastbound lanes.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Ms. Goodrick stopped her vehicle beyond the accident scene and walked back down the hill. She spoke to a woman who was present and also spoke to Mr. Brook who was now out of his vehicle. Both of those witnesses gave evidence that Ms. Goodrick acknowledged that she was responsible for the accident. Ms. Goodrick denies she did so.</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Nancy Begin is the woman to whom Ms. Goodrick spoke when she walked back down the hill. Ms. Begin was an eastbound driver who testified she arrived at the accident scene immediately after the collision, which she did not see, just before the two colliding vehicles had come to rest. Ms. Begin stopped her vehicle and called 911 on her mobile phone. She requested ambulances and remained on the phone with the 911 dispatcher for a few moments while she gave information. Ms. Begin walked towards the Dodge pickup and saw it had occupants. By that time, other drivers were arriving and began to help the occupants. Ms. Begin intended to go to the Toyota to assist, but was dissuaded by a person who told her not to do so and that the driver of the Toyota was dead. Mr. Tod had been the only occupant of the Toyota.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Very shortly after that, Ms. Goodrick walked up to Ms. Begin. Ms. Goodrick acknowledges she was very upset and was crying. Ms. Begin described Ms. Goodrick as hysterical. Ms. Begin's evidence was that Ms. Goodrick said: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I think I caused the accident. I pulled out to pass and I did not see the Toyota.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Ms. Begin attempted to comfort Ms. Goodrick, but shortly thereafter began to assist the passengers in the Dodge pickup including Brody Brook who was then 18 months old. Ms. Begin carried Brody to attempt to calm him. Ms. Begin spoke to a paramedic who had arrived and mentioned what Ms. Goodrick had said to Ms. Begin about her involvement in the accident. The paramedic suggested Ms. Begin wait to tell the police. By this time, it appears Ms. Goodrick had driven away from the accident scene.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cross-examination, the transcript of a conversation within about two hours of the accident between Ms. Begin and one of the police constables who arrived at the scene of the accident was shown to Ms. Begin. In answer to a request from the constable to, "Just tell me the circumstances," Ms. Begin agrees she said the following:</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Um, I pulled up and it had happened in front of me, uh, a little while later I was out of my vehicle, um, near the truck that was involved in the collision and a lady, a young lady in her 20s, I would guess, um, was crying and I asked her if she was in the truck and she said no, um, but she was sort of involved in the accident, um, she was passing a vehicle and the -- she pulled out and did not see the Toyota behind her and it came flying up behind her so it -- to avoid her swerving into the oncoming lane and hit the truck.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Also in cross-examination, a written statement which Ms. Begin acknowledged was hers, dated November 16, 2011, was shown to her. She is recorded as saying that:</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Ms. Goodrick told me that she was not in the accident, but thought she might have caused it. I tried to reassure her that it would be all right. She then said something to the effect that she was in the process of passing or about to pass and did not see the Toyota. I was patting her back and calming her down. She was still very upset crying. I would only have spoken to her for a few minutes. She did say she was on her way to work.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Counsel for Ms. Goodrick suggested to Ms. Begin that she had made assumptions that may not conform with the actual events. Ms. Begin insisted she had heard Ms. Goodrick acknowledge that she had not seen the Toyota before she began to overtake the camper van. Later in her November 2011 statement, Ms. Begin is recorded as saying, "When she," that is Ms. Goodrick:</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told me this, I came to my own assumption as to how the accident happened. I assumed that the Toyota was also going eastbound and was passing the young female's vehicle in the fast lane when she either pulled out or was in the process of pulling out in the fast lane which made the Toyota go into the oncoming lane and hit the truck which was heading west. I never saw what led up to the accident and, again, only made those assumptions based on what the young female told me. Things were quite chaotic at some point. I was helping with the young child from the truck. I was holding the child and comforting him. I recall at some point speaking to someone and mentioning about the young female, what she had told me. I think it might have been a paramedic I mentioned it to. I said the young female had come up to me and told me she might have caused the accident. Whoever this person was told me that I should mention it to the police. By that time, the police were at the scene, as well, and I approached a female officer. The reason I wanted to speak to the officer is because I had noticed the young female was gone and I wanted to let the officer know what she had told me. I thought the young female had left the scene and did not speak to police before they arrived. At the time I spoke to the police, at least one to two hours had passed. One of the officers eventually had me sit in a police vehicle and she interviewed me. She took a recorded statement.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Brook testified that Ms. Goodrick also spoke to him at the accident scene. He testified she told him that she had caused the accident. Mr. Brook noticed that Ms. Goodrick was uninjured and he asked her, "You mean you were in the other car?" to which Ms. Goodrick replied: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I did not see him coming and I cut him off.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An important question is whether Ms. Goodrick remained in her lane of travel or whether she moved into the fast lane causing Mr. Tod to make a hard swerve to his left into the westbound lane. Two pieces of evidence persuade me that her car did intrude into the fast lane at least to some extent. The first is the evidence of Mr. Brook that when he first saw the Toyota it was next to a car in the fast lane close to the red camper van which was in the slow lane. This could have been the unknown car described by Ms. Goodrick, but I do not accept that it was. If there had been another car present which behaved as Ms. Goodrick described, it had already overtaken the camper before Ms. Goodrick decided to do the same thing.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Furthermore, I am generally sceptical of Ms. Goodrick's recollections. She could say nothing to identify the unknown car in any useful way and her memory of other detail was very poor except when she described checking her mirrors and the precautions she took before turning on her signal indicator to move into the fast lane. I conclude much of her evidence about these precautions was a reconstruction. I do not say she was trying to mislead the court. She may by now actually believe she can remember some of the details of her conduct immediately before the collision. Unfortunately, the details she remembers are those that now suit her once she has lost the spontaneity that prevailed immediately after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second part of the evidence that persuades me Ms. Goodrick's vehicle at least intruded into the fast lane is her own statements to Ms. Begin and Mr. Brook. I find she told Mr. Brook that she had not seen the Toyota and had cut it off. That expression tells me that she recognized that she had moved into the lane already occupied by Mr. Tod's vehicle. I also find she told Ms. Begin that she had pulled out to pass.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There is a duty imposed on drivers by s. 151(a)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not to change lanes unless that movement can be safely made and without affecting the travel of other vehicles. Even if that subsection did not exist, the common law duty to take reasonable care to conduct oneself so as to avoid injury to one's neighbour would apply. I find Ms. Goodrick failed to take reasonable care when she changed lanes.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 will add that it was negligent on her part not to have seen Mr. Tod's vehicle earlier as she travelled up the hill. If she had been alert to his presence, she could have avoided presenting the danger to him that led to his evasive actions. I do not accept Mr. Tod's presence in her blind spot excuses her failure to see his car. She had a legal obligation to be aware of the traffic near her.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The question remains about Mr. Tod's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which may also have caused the collision. It is urged on me by Mr. Hemmerling in a forceful argument on behalf of Ms. Goodrick that the accident was solely the fault of Mr. Tod who was driving in a manner which should be characterized as negligent. I have rejected that argument, but that does not provide the answer to whether Mr. Tod was also at fault. Mr. Hemmerling submits that Ms. Goodrick did not drive into the fast lane at all. I have also rejected that argument.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Nevertheless, Mr. Hemmerling submits that even if Ms. Goodrick appeared to Mr. Tod to present a danger, there was no agony of collision with which Mr. Tod was faced. It is said that all he had to do was to tap his brakes and his car would then have fallen back behind that of Ms. Goodrick and no collision would have occurred. Mr. Garner for the plaintiff submits that Mr. Tod ought not to have turned into the oncoming westbound lane because to do so would be certain to come to no good. Mr. Garner suggests that Mr. Tod ought to have accepted there would be contact between his car and that of Ms. Goodrick and the risks that would have arisen from that contact would be acceptable in comparison to those that came from swerving to the left across the double solid line into the westbound lane. Mr. Hemmerling reinforces his argument by reference to s. 155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which requires a driver to remain to the right of the double solid line as there was on Kault Hill and across which Mr. Tod obviously veered.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Mr. Tod's counsel stresses the law in relation to the agony of collision which would exonerate Mr. Tod of mistakes which he made in an emergency situation. In </w:t>
      </w:r>
      <w:r>
        <w:rPr>
          <w:rFonts w:ascii="arial" w:eastAsia="arial" w:hAnsi="arial" w:cs="arial"/>
          <w:i/>
          <w:color w:val="000000"/>
          <w:sz w:val="20"/>
          <w:lang w:val="en-US" w:eastAsia="en-US" w:bidi="ar-SA"/>
        </w:rPr>
        <w:t>Van Zanten v. Bruhs</w:t>
      </w:r>
      <w:r>
        <w:rPr>
          <w:rFonts w:ascii="arial" w:eastAsia="arial" w:hAnsi="arial" w:cs="arial"/>
          <w:color w:val="000000"/>
          <w:sz w:val="20"/>
          <w:lang w:val="en-US" w:eastAsia="en-US" w:bidi="ar-SA"/>
        </w:rPr>
        <w:t xml:space="preserve">, </w:t>
      </w:r>
      <w:hyperlink r:id="rId974" w:history="1">
        <w:r>
          <w:rPr>
            <w:rFonts w:ascii="arial" w:eastAsia="arial" w:hAnsi="arial" w:cs="arial"/>
            <w:i/>
            <w:color w:val="0077CC"/>
            <w:sz w:val="20"/>
            <w:u w:val="single"/>
            <w:shd w:val="clear" w:color="auto" w:fill="FFFFFF"/>
            <w:lang w:val="en-US" w:eastAsia="en-US" w:bidi="ar-SA"/>
          </w:rPr>
          <w:t>[1991] B.C.J. No. 1045</w:t>
        </w:r>
      </w:hyperlink>
      <w:r>
        <w:rPr>
          <w:rFonts w:ascii="arial" w:eastAsia="arial" w:hAnsi="arial" w:cs="arial"/>
          <w:color w:val="000000"/>
          <w:sz w:val="20"/>
          <w:lang w:val="en-US" w:eastAsia="en-US" w:bidi="ar-SA"/>
        </w:rPr>
        <w:t xml:space="preserve">, </w:t>
      </w:r>
      <w:hyperlink r:id="rId974" w:history="1">
        <w:r>
          <w:rPr>
            <w:rFonts w:ascii="arial" w:eastAsia="arial" w:hAnsi="arial" w:cs="arial"/>
            <w:i/>
            <w:color w:val="0077CC"/>
            <w:sz w:val="20"/>
            <w:u w:val="single"/>
            <w:shd w:val="clear" w:color="auto" w:fill="FFFFFF"/>
            <w:lang w:val="en-US" w:eastAsia="en-US" w:bidi="ar-SA"/>
          </w:rPr>
          <w:t>1991 CanLII 1023</w:t>
        </w:r>
      </w:hyperlink>
      <w:r>
        <w:rPr>
          <w:rFonts w:ascii="arial" w:eastAsia="arial" w:hAnsi="arial" w:cs="arial"/>
          <w:color w:val="000000"/>
          <w:sz w:val="20"/>
          <w:lang w:val="en-US" w:eastAsia="en-US" w:bidi="ar-SA"/>
        </w:rPr>
        <w:t xml:space="preserve"> (BCSC), Mr. Justice A.G. Mackinnon referred to </w:t>
      </w:r>
      <w:r>
        <w:rPr>
          <w:rFonts w:ascii="arial" w:eastAsia="arial" w:hAnsi="arial" w:cs="arial"/>
          <w:i/>
          <w:color w:val="000000"/>
          <w:sz w:val="20"/>
          <w:lang w:val="en-US" w:eastAsia="en-US" w:bidi="ar-SA"/>
        </w:rPr>
        <w:t>Carswell's Manual of Motor Vehicle Law</w:t>
      </w:r>
      <w:r>
        <w:rPr>
          <w:rFonts w:ascii="arial" w:eastAsia="arial" w:hAnsi="arial" w:cs="arial"/>
          <w:color w:val="000000"/>
          <w:sz w:val="20"/>
          <w:lang w:val="en-US" w:eastAsia="en-US" w:bidi="ar-SA"/>
        </w:rPr>
        <w:t>, Volume III, 3rd edition, at page 22, where there is a discussion of agony of collision. These words are found: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In a number of cases concerning what is commonly called 'agony of the collision,' it has been pointed out that a driver acting in an emergency created by another vehicle or by some extraneous fact cannot be expected to exercise nice judgment and prompt decision, and mere errors of judgment in such circumstances may often be excusable ... Where an emergency arises, it is not necessary for a driver to possess extraordinary skill, presence of mind, poise or self-control, and his failure to act as an ordinary person in an emergency is not held to be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He is not necessarily required to adopt the most prudent course and is entitled to a reasonable time, depending on the circumstances, to exercise his judgment as to what steps should be taken to avoid a collision [citations ommitted.]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Counsel has submitted that it was Mr. Brook who faced the agony of collision and yet his evasive efforts, although fruitless, have not been characterized as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On the other hand it is argued Mr. Tod had choices available to him and his circumstances cannot be properly characterized as the agony of collision. Notwithstanding the able arguments of Ms. Goodrick's counsel, I do not agree that Mr. Tod did not face an agonizing choice with no time to make a considered decision. I have found Ms. Goodrick's vehicle intruded into the fast lane already occupied by Mr. Tod's vehicle. She began her lane change and simultaneously saw Mr. Tod's vehicle overlapping hers by several feet. It was not realistic to expect Mr. Tod to make an instantaneous decision to accept a collision, no matter how minor it might in retrospect have been, with Ms. Goodrick's vehicle. In the negligible time available to Mr. Tod, he cannot have been expected to weigh that fine calculation. It is true he could have braked. One difficulty with that proposition is that it cannot be now known if he both braked and swerved. What we do know from the evidence of Mr. Leggett is that Mr. Tod was travelling at a safe speed. He did not create the danger that caused him to react in the agony of the moment. If there had been a collision between his car and Ms. Goodrick's car, we cannot know if one or both of those cars would have lost control leading to this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Mr. Garner for the plaintiff submits Mr. Tod had a higher standard of care imposed on him because Ms. Goodrick's car had an "N" plate on the back indicating she was a novice driver. I doubt if the presence of that letter on a car changes the standard of care of other drivers, but in any event, Mr. Tod was driving with reasonable care before he was cut off by Ms. Goodrick's failure to see his car before beginning her lane change. It is not open to this Court to criticize the agonizing choice made by Mr. Tod in the last two or three seconds of his life as he attempted to avoid an accident which I find was caused solely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Ms. Goodrick.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action against Mr. Tod is dismissed.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Is there anything else, counsel?</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[SUBMISSIONS RE COSTS]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COURT: What I wish to have happen is that this matter be dealt with in writing. So I will hear counsel's suggestions about the timing of submitting written submissions. Mr. Garner, how long do you need to say whatever you want to say?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 GARNER: I can have something ready tomorrow -- or Monday.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COURT: Well, all right. Well, you, Mr. Garner, can deliver a written submission by November 28 and, counsel for Mr. Tod, how long do you wish to have to respond to make your own submissions?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 MORIN: My Lord, one week following that.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COURT: All right. That takes us to December 5 for your response and, Mr. Moring, do you want more time than a week?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 MORING: Both Mr. Hemmerling and I are in trial in the first week of December, so --</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COURT: I do not think there is any rush about this, particularly, so how much time do you want? Do you want two weeks?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MR. MORING: Yes, two weeks would be [indiscernible].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COURT: 19th of December, is that acceptable?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MR. MORING: Yes, thank you, My Lord.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COURT: All right, and if there is any reply from Mr. Tod's counsel, that can be provided by the 24th --</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MR. MORIN: Thank you, My Lord.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COURT: -- on or before the 24th.</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K.N. AFFLECK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8" style="position:absolute;z-index:25188659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75"/>
          <w:headerReference w:type="default" r:id="rId976"/>
          <w:footerReference w:type="even" r:id="rId977"/>
          <w:footerReference w:type="default" r:id="rId978"/>
          <w:headerReference w:type="first" r:id="rId979"/>
          <w:footerReference w:type="first" r:id="rId98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81" w:history="1">
        <w:r>
          <w:rPr>
            <w:rFonts w:ascii="arial" w:eastAsia="arial" w:hAnsi="arial" w:cs="arial"/>
            <w:b/>
            <w:bCs/>
            <w:i/>
            <w:color w:val="0077CC"/>
            <w:kern w:val="32"/>
            <w:sz w:val="28"/>
            <w:szCs w:val="32"/>
            <w:u w:val="single"/>
            <w:shd w:val="clear" w:color="auto" w:fill="FFFFFF"/>
            <w:lang w:val="en-US" w:eastAsia="en-US" w:bidi="ar-SA"/>
          </w:rPr>
          <w:t>Burnett v. Took Engineering Inc., [2000] B.C.J. No. 2302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Ralph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July 4 - 6 and 10 - 13,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November 20,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C974694</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[2000] B.C.J. No. 2302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2000 BCSC 1630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101 A.C.W.S. (3d) 167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[2000] B.C.T.C. 869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2000 CarswellBC 2316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Norval Adrian Burnett, plaintiff, and Took Engineering Inc., Gary Steven McKinney, Tri Star Homes Ltd., C.A. Boom Engineering (1985) Ltd. and Bores Klarich, defendants, and Took Engineering Inc., Gary Steven McKinney, Tri Star Homes Ltd., C.A. Boom Engineering (1985) Ltd. and Bores Klarich,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19" style="position:absolute;z-index:2516981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54" w:name="Keywords_37"/>
      <w:bookmarkEnd w:id="254"/>
      <w:r>
        <w:rPr>
          <w:rFonts w:ascii="arial" w:eastAsia="arial" w:hAnsi="arial" w:cs="arial"/>
          <w:b/>
          <w:color w:val="000000"/>
          <w:sz w:val="20"/>
          <w:lang w:val="en-US" w:eastAsia="en-US" w:bidi="ar-SA"/>
        </w:rPr>
        <w:t>Building contracts — Architects and engineers — Duties to owner — Soil suitability.</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55" w:name="Case Summary_35"/>
            <w:bookmarkEnd w:id="25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Burnett for damages arising from the faulty construction of his home. The house settled in an uneven manner causing damage. Goertzen was the principal of the builder, Tri Star, which had gone out of business. Burnett's home was designed with masonry chimneys. Goertzen hired McKinney, a geotechnical and structural engineer employed by Took Engineering, to do a soil investigation report. McKinney's report stated that if masonry chimneys were used, the peat soil below them would have to be removed and replaced with sand. McKinney certified that if his recommendations were implemented, the structure would meet the Building Code. McKinney testified that Goertzen told him that the property had been pre-loaded to compact the peat. There was no mention of any pre-loading assumptions in McKinney's report. The site was not pre-loaded. Based on the report, a building permit was issued. Goertzen told Burnett that the report was good news and that the masonry chimneys could be kept. Peat was removed and replaced from below the chimneys. As the property had not been pre-loaded, the removal of the peat actually increased the differential settlement. Klarich was an engineer, employed by C.A. Boom, who prepared the foundation plan. He did so without referring to McKinney's report, although he knew a soil report was being done. Klarich assumed the house would not have masonry fireplaces. He did not know if the site had been pre-loaded.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56" w:name="Holdings of Court_31"/>
            <w:bookmarkEnd w:id="256"/>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Damages were assessed at $112,073. Klarich and C.A. Boom were 50 per cent liable and McKinney and Took were 50 per cent liable for negligent misrepresentation. There was a sufficiently close relationship between Burnett and McKinney that McKinney would know that carelessness on his part might cause Burnett damage. McKinney's failure to qualify his report by any reference to assumptions about pre-loading was misleading and a breach of the standard of care. Burnett relied on the report to his detriment. Klarich also owed a duty of care to Burnett and breached that duty. Knowing that soil testing was to be done, he was required to revisit his foundation design given the results of the testing.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57" w:name="Legislation Cited_25"/>
      <w:bookmarkEnd w:id="25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20" style="position:absolute;z-index:2517493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R.S.B.C. 1996, s. 4.</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58" w:name="Counsel_38"/>
      <w:bookmarkEnd w:id="258"/>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21" style="position:absolute;z-index:2518005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Ross E. McLarty and Concetta Risi, for the plaintiff. James R. White, for the defendants and third parties, Took Engineering Inc. and Gary Steven McKinney.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59" w:name="Judgment_37"/>
      <w:bookmarkEnd w:id="259"/>
      <w:r>
        <w:pict>
          <v:line id="_x0000_s1222" style="position:absolute;z-index:251849728"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6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60" w:name="RALPH J."/>
            <w:bookmarkEnd w:id="260"/>
            <w:r>
              <w:rPr>
                <w:rFonts w:ascii="arial" w:eastAsia="arial" w:hAnsi="arial" w:cs="arial"/>
                <w:b/>
                <w:color w:val="000000"/>
                <w:sz w:val="30"/>
                <w:lang w:val="en-US" w:eastAsia="en-US" w:bidi="ar-SA"/>
              </w:rPr>
              <w:t>RALPH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In 1987 the Defendant, Tri Star Homes Ltd., built a family home for Mr. Burnett on land which he purchased in Richmond. The sub-soil of the land contained quantities of peat moss and, over time, the home has settled in a differential manner. The uneven settling has resulted in cracking of walls and chimneys, sticking of doors, sticking of windows to the point that they cannot be opened, some cracking of window glass and a leaning of one of the chimneys. Mr. Burnett says that the settling continues and that he is faced with a substantial cost to remedy the settling and to repair the damage that has resulted.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Mr. Burnett seeks compensation against a number of defendants in the action but claims that the evidence also supports a finding that Mr. McKinney and his company, Took Engineering Inc. ("Took") are 100% responsible for the damages he has suffered. Tri-Star Homes Ltd. are no longer in business and a default judgment was obtained against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On June 28, 2000, Mr. Burnett reached a settlement with C.A. Boom Engineering (1985) Ltd. ("C.A. Boom") and Mr. Klarich. Mr. Klarich is an engineer with C.A. Boom and designed the foundation plan for the site. In the settlement agreement Mr. Burnett agreed that he would not seek to recover from the defendants Took and Mr. McKinney any loss which the court might attribute to the fault of C.A. Boom or Mr. Klarich including any loss or damage which Took or Mr. McKinney would be entitled to recover from C.A. Boom or Mr. Klarich by way of third party proceedings. The agreement also provided in paragraph 3:</w:t>
      </w:r>
      <w:r>
        <w:rPr>
          <w:rFonts w:ascii="arial" w:eastAsia="arial" w:hAnsi="arial" w:cs="arial"/>
          <w:sz w:val="20"/>
          <w:lang w:val="en-US" w:eastAsia="en-US" w:bidi="ar-SA"/>
        </w:rPr>
        <w:cr/>
      </w:r>
    </w:p>
    <w:p>
      <w:pPr>
        <w:numPr>
          <w:numId w:val="29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At the first reasonable opportunity, Burnett will advise the Court that they expressly waive any right to recover from Boom and/or Klarich for any portion of the losses which they claim and which the Court may attribute to the fault or responsibility of Boom and/or Klarich, and in particular, any portion of the losses which Took and/or McKinney would be entitled to recover from Boom and/or Klarich by way of Third Party proceedings, contribution indemnity or otherwise including any portion of the damage or losses which Boom and/or Klarich may be liable to Took and/or McKinney by operation of Section 4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R.S.B.C.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agreement between Tri Star Homes Ltd. and Mr. Burnett to build the house was made February 12, 1987. Among the specifications for the home were the foundation which was "to be built as a floating slab to municipality standards", and masonry chimneys for the living room and family room fireplaces. Heating for the lower floor was to be by radiant hot water through pipes imbedded in the floor.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At some point between February 12 and mid-April 1987, Mr. Burnett met with the principal of Tri Star Homes Ltd., Mr. Goertzen, and discussed the presence of peat on the property. It was Mr. Burnett's evidence that they discussed the risks of building on peat and the possibility that it might result in a broken sidewalk or driveway. They also discussed the possibility of a change from masonry chimneys to a lighter weight alternative. During the discussion Mr. Burnett signed a one-page document in which he acknowledged that Tri Star Homes Ltd. could not guarantee to prevent settling of the foundation and chimney footings. In addition he agreed to indemnify Tri Star for any expenses incurred "in connection with any claim made against Tri Star Homes to such settling".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the same discussion Mr. Burnett requested Mr. Goertzen to look into what precautions could be taken to enable the home to retain the masonry chimneys which were part of the design.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On March 11, 1987, Mr. Goertzen submitted plans for review by the Permits and Licences Department of the City of Richmond. On March 23, 1987, Mr. Klarich submitted a letter to the City of Richmond certifying that he would be responsible for supervising the construction of the foundation and certifying that its design conformed to the structural requirements of the National Building Code.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early April Mr. Goertzen informed Mr. Burnett that he had been unable to obtain a building permit. At Mr. Goertzen's request Mr. Burnett phoned the City of Richmond and spoke to Mr. Barter. He was advised that a soils report would be required by the City before a building permit would be issued. Mr. Burnett requested Mr. Goertzen to hire a soils engineer to prepare a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Goetzen contacted Mr. McKinney at Took Engineering Inc. ("Took") by telephone on April 10, 1987. Mr. McKinney is a geotechnical and structural engineer. Although Mr. McKinney's notes on the work order made at the time indicate that the type of test requested was a soil investigation report it was his evidence that what was requested was a report on how to deal with the two fireplaces. It was also Mr. McKinney's evidence that Mr. Goetzen informed him that the property had been "pre-loaded", a process that first places on the land and later removes sand or other material to compress the peat and substantially reduce the settling of structures that are subsequently built on the 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 April 21, 1987, Mr. McKinney wrote to "Mr. Val Brunette c/o Mr. Henry Goetzen". The letter was headed "Report of: SUBSURFACE SOIL INVESTIGATION". The letter referred to a field investigation which included the drilling of three test holes at different locations on the site. It also noted that concrete forms were in place at the site in preparation for casting the proposed monolithic concrete floor slab and footings. Under the "Conclusions and Recommendations" section of the report there was a general description of the soil. The report then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Some settlement of the structure is anticipated even though the residence will be founded on a reinforced, monolithic, concrete slab and footings. Due to stress distribution realized by this type of slab, settlement is expected to be uniform if masonry fireplaces are not used. Masonry fireplaces, due to their high weight tend to cause tilting of monolithic slab foundations. To avoid this tendency to tilt we recommend replacing the masonry fireplaces and chimneys with zero clearance type fireplaces which will not increase the weight of the slab. Alternatively, the fireplaces may be masonry if the peat soil beneath the fireplace is replaced with compacted sand or gravelly sand. The compacted material must extend at least 6 inches beyond edge of fireplace footing for each 12 inches of material beneath the footing. Approval of the excavation and replacement material must be obtained from the Soil Engineer. Inspection and/or testing will be required.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the recommendations presented in this report are implemented then we certify that the structure will satisfactorily support the loads imposed by the National Building Code.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letter did not refer to the presence or absence of any pre-loading of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On April 24, 1987, Mr. Dan Lee, a building inspector with the City of Richmond, noted that he had spoken to Mr. McKinney and been informed that all peat had been removed and an inspection report was to follow. In a letter of May 6, 1987, addressed to "Mr. Val Brunette c/o Mr. Henry Goetzen" Mr. McKinney certified that peat was removed "from beneath both proposed masonry fireplace footings" and replaced with sand in accordance with the recommendations presented in his report of April 21, 1987.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Burnett did not see the soil investigation report of April 21, 1987, or the inspection report of May 6 1987, until after this litigation began. At about the time of the issuing of the building permit, however, he was informed by Mr. Goetzen of "good news" that the building permit had been issued and that the masonry chimneys would not be a problem. Mr. Goetzen informed him that peat would need to be removed from the area where the chimneys would be located and sand loaded in its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foundation plan prepared by Mr. Klarich was first submitted to the City of Richmond on March 11, 1987. On April 8, Mr. Barter, of the City of Richmond, requested Mr. Klarich to submit revised plans that would confirm "acceptance of soil bearing pressure for footing design criteria" and that would note the soil bearing pressure used for the footing design. On April 10 Mr. Barter appears to have added a request that the plans address the engineer's "responsibility accepting preparation of soils and load bearing properties of the soil [required] for footing design as per Part 4 of N.B.C. [National Building Code] 1980 edition."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Klarich submitted a revised plan bearing his seal and the date April 10, 1987. The revision appears to be confined to the addition of "Notes" set out on the plan. One note dealt with the design soil bearing pressure. A further note stated that the contractor had been notified of the design soil bearing pressure and soil characteristics. It further stated that the contractor was: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aware that house is on peat with potential settlement problems. Also, contractor was told that metal fireplace would be better than brick chimney since it is less weight, hence less chance of settlement.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building permit for the house was issued April 23, 1987. The plan bears a note signed by Mr. Barter stating, "Refer to Took Structural Lab Inc for Soils Report, 21 April 87. Recommendations to be carried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It was Mr. Klarich's evidence that, while he had been told by Mr. Goetzen that a soils engineer would be retained, he never spoke to Mr. McKinney around the relevant time nor did he see Mr. McKinney's report until after this action was commenced. He said that he expected to be notified if any changes to his foundation plan were needed as a result of the soils engineer's tests. Mr. Klarich did not know whether the property had been pre-loaded.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Klarich also said that he had assumed that the house would not have masonry fireplaces. It was his evidence that had he known masonry fireplaces were to be built he could have designed an uneven bearing pressure that would have altered stress distributions in the foundation slab.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construction of the house proceeded and Mr. Burnett and his family moved into their home in July 1987. It was the evidence of the building inspector that the construction conformed to the requirements of the Building Code.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the first three to four years after occupancy, however, there were settlement problems involving sticking doors and cracking drywall. Tri-Star Homes Ltd. repaired these. The settlement problems increased. It was Mr. Burnett's evidence that in 1996 the front windows were "popping out" of their frames, there were cracks in one of the chimneys, the living room had moved off level, and the front door had shifted to the point that its lock would not engage.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Burnett was referred by Mr. McKinney to Fowler and Associates Ltd., a company in the business of lifting and stabilizing floors and foundations. Mr. Fowler estimated that the south wall of the home was down close to 4 inches and there was a bowing effect in the area of the front hallway and living room.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September 1996 Fowler and Associates Ltd. carried out repairs which entailed the injection of grout under the floating slab foundation at a cost of $9500. The repairs improved the condition but not completely. Mr. Fowler estimated at that time that further lifting and stabilizing of the foundation would be required at a cost of $25,000. That work was not done and Mr. Burnett says that over time the house subsided to its earlier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David Snead is a geotechnical engineer who inspected the house in November 1996 and February 1999 and wrote opinions in February 1997 and August 1999. He stated that a standard approach to reducing future settlements in peat is to preload the site. In his opinion the Burnett site was not adequately preloaded and with adequate preloading the foundation system used "would have ensured that the future differential settlements would have been acceptable". Based upon measurements taken in 1999, Mr. Snead has concluded that only the north side of the house was preloaded prior to construction and that it caused a differential settling amounting to about 3 inches with respect to the north side. In his opinion the removal of peat under the area where the chimneys were placed and its replacement with sand resulted in the chimney area not settling as much as the rest of the foundation thus contributing to the differential settlement which occurred. He has also concluded that since the repair work was done by Fowler and Associates Ltd. in 1996, the house has again settled by an amount which is likely equivalent to the amount it had been raised.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Two proposals for stabilizing the foundation were presented in evidence. Vickars Developments Co. Ltd. propose the use of 41 "screw piles" placed under the foundation as an underpinning to a depth of approximately 27 feet. This step would be followed by the injecting of grout beneath the slab through holes cored into the foundation. The proposal contains some risk to the heating pipes imbedded in the slab as well as the possibility that a new reinforced slab would need to be poured on top of the existing foundation. The estimated cost of this repair is $69,290 plus G.S.T. If a new slab were added the additional cost is $32,000 plus G.S.T.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second proposal is made by DynaSTAT Systems Inc. (formerly Fowler and Associates Ltd.). It would employ a somewhat similar approach using fewer piles. The company's estimate of the cost of repair is $65,500 plus G.S.T.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addition to the foundation stabilizing cost there are costs to repair the resulting damage to doors, windows, floor tiles and drywall. A cost estimate of these repairs presented at trial was $24,000.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issues to be addressed are:</w:t>
      </w:r>
      <w:r>
        <w:rPr>
          <w:rFonts w:ascii="arial" w:eastAsia="arial" w:hAnsi="arial" w:cs="arial"/>
          <w:sz w:val="20"/>
          <w:lang w:val="en-US" w:eastAsia="en-US" w:bidi="ar-SA"/>
        </w:rPr>
        <w:cr/>
      </w:r>
    </w:p>
    <w:p>
      <w:pPr>
        <w:numPr>
          <w:numId w:val="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Was there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any of the defendants?</w:t>
      </w:r>
    </w:p>
    <w:p>
      <w:pPr>
        <w:numPr>
          <w:numId w:val="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there was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any defendant was there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any other person?</w:t>
      </w:r>
    </w:p>
    <w:p>
      <w:pPr>
        <w:numPr>
          <w:numId w:val="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damages were sustained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In addressing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issues in this case it is necessary to consider the law relating to pure economic loss. In Winnipeg Condominium Corporation No. 36 v. Bird Construction Co., </w:t>
      </w:r>
      <w:hyperlink r:id="rId820" w:history="1">
        <w:r>
          <w:rPr>
            <w:rFonts w:ascii="arial" w:eastAsia="arial" w:hAnsi="arial" w:cs="arial"/>
            <w:i/>
            <w:color w:val="0077CC"/>
            <w:sz w:val="20"/>
            <w:u w:val="single"/>
            <w:shd w:val="clear" w:color="auto" w:fill="FFFFFF"/>
            <w:lang w:val="en-US" w:eastAsia="en-US" w:bidi="ar-SA"/>
          </w:rPr>
          <w:t>[1995] 1 S.C.R. 85</w:t>
        </w:r>
      </w:hyperlink>
      <w:r>
        <w:rPr>
          <w:rFonts w:ascii="arial" w:eastAsia="arial" w:hAnsi="arial" w:cs="arial"/>
          <w:color w:val="000000"/>
          <w:sz w:val="20"/>
          <w:lang w:val="en-US" w:eastAsia="en-US" w:bidi="ar-SA"/>
        </w:rPr>
        <w:t xml:space="preserve">, </w:t>
      </w:r>
      <w:hyperlink r:id="rId820" w:history="1">
        <w:r>
          <w:rPr>
            <w:rFonts w:ascii="arial" w:eastAsia="arial" w:hAnsi="arial" w:cs="arial"/>
            <w:i/>
            <w:color w:val="0077CC"/>
            <w:sz w:val="20"/>
            <w:u w:val="single"/>
            <w:shd w:val="clear" w:color="auto" w:fill="FFFFFF"/>
            <w:lang w:val="en-US" w:eastAsia="en-US" w:bidi="ar-SA"/>
          </w:rPr>
          <w:t>121 D.L.R. (4th) 193</w:t>
        </w:r>
      </w:hyperlink>
      <w:r>
        <w:rPr>
          <w:rFonts w:ascii="arial" w:eastAsia="arial" w:hAnsi="arial" w:cs="arial"/>
          <w:color w:val="000000"/>
          <w:sz w:val="20"/>
          <w:lang w:val="en-US" w:eastAsia="en-US" w:bidi="ar-SA"/>
        </w:rPr>
        <w:t>, the Supreme Court of Canada referred to Professor Feldthusen's five categories of cases where the question of recoverability in tort for economic loss has arisen. The categories are:</w:t>
      </w:r>
      <w:r>
        <w:rPr>
          <w:rFonts w:ascii="arial" w:eastAsia="arial" w:hAnsi="arial" w:cs="arial"/>
          <w:sz w:val="20"/>
          <w:lang w:val="en-US" w:eastAsia="en-US" w:bidi="ar-SA"/>
        </w:rPr>
        <w:cr/>
      </w:r>
    </w:p>
    <w:p>
      <w:pPr>
        <w:numPr>
          <w:numId w:val="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independent liability of statutory public authorities;</w:t>
      </w:r>
    </w:p>
    <w:p>
      <w:pPr>
        <w:numPr>
          <w:numId w:val="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negligent misrepresentation;</w:t>
      </w:r>
    </w:p>
    <w:p>
      <w:pPr>
        <w:numPr>
          <w:numId w:val="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negligent performance of a service;</w:t>
      </w:r>
    </w:p>
    <w:p>
      <w:pPr>
        <w:numPr>
          <w:numId w:val="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negligent supply of shoddy goods or structures; and</w:t>
      </w:r>
    </w:p>
    <w:p>
      <w:pPr>
        <w:numPr>
          <w:numId w:val="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relational economic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 the submissions of counsel, categories two, three and four are engaged in the consideration of the plaintiff's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Negligent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In Queen v Cognos Inc., </w:t>
      </w:r>
      <w:hyperlink r:id="rId14" w:history="1">
        <w:r>
          <w:rPr>
            <w:rFonts w:ascii="arial" w:eastAsia="arial" w:hAnsi="arial" w:cs="arial"/>
            <w:i/>
            <w:color w:val="0077CC"/>
            <w:sz w:val="20"/>
            <w:u w:val="single"/>
            <w:shd w:val="clear" w:color="auto" w:fill="FFFFFF"/>
            <w:lang w:val="en-US" w:eastAsia="en-US" w:bidi="ar-SA"/>
          </w:rPr>
          <w:t>[1993] 1 S.C.R. 87</w:t>
        </w:r>
      </w:hyperlink>
      <w:r>
        <w:rPr>
          <w:rFonts w:ascii="arial" w:eastAsia="arial" w:hAnsi="arial" w:cs="arial"/>
          <w:color w:val="000000"/>
          <w:sz w:val="20"/>
          <w:lang w:val="en-US" w:eastAsia="en-US" w:bidi="ar-SA"/>
        </w:rPr>
        <w:t xml:space="preserve">, </w:t>
      </w:r>
      <w:hyperlink r:id="rId14" w:history="1">
        <w:r>
          <w:rPr>
            <w:rFonts w:ascii="arial" w:eastAsia="arial" w:hAnsi="arial" w:cs="arial"/>
            <w:i/>
            <w:color w:val="0077CC"/>
            <w:sz w:val="20"/>
            <w:u w:val="single"/>
            <w:shd w:val="clear" w:color="auto" w:fill="FFFFFF"/>
            <w:lang w:val="en-US" w:eastAsia="en-US" w:bidi="ar-SA"/>
          </w:rPr>
          <w:t>99 D.L.R. (4th) 626</w:t>
        </w:r>
      </w:hyperlink>
      <w:r>
        <w:rPr>
          <w:rFonts w:ascii="arial" w:eastAsia="arial" w:hAnsi="arial" w:cs="arial"/>
          <w:color w:val="000000"/>
          <w:sz w:val="20"/>
          <w:lang w:val="en-US" w:eastAsia="en-US" w:bidi="ar-SA"/>
        </w:rPr>
        <w:t>, the Supreme Court of Canada identified five elements for a successful negligent misrepresentation claim:</w:t>
      </w:r>
      <w:r>
        <w:rPr>
          <w:rFonts w:ascii="arial" w:eastAsia="arial" w:hAnsi="arial" w:cs="arial"/>
          <w:sz w:val="20"/>
          <w:lang w:val="en-US" w:eastAsia="en-US" w:bidi="ar-SA"/>
        </w:rPr>
        <w:cr/>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must be a duty of care based on a "special relationship" between the representor and the representee;</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representation in question must be untrue, inaccurate, or misleading;</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representor must have acted negligently in making the said misrepresentation;</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representee must have relied, in a reasonable manner, on said negligent misrepresentation; and</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reliance must have been detrimental to the representee in the sense that damages resulted.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In Hercules Managements Ltd. v. Ernst &amp; Young, </w:t>
      </w:r>
      <w:hyperlink r:id="rId982" w:history="1">
        <w:r>
          <w:rPr>
            <w:rFonts w:ascii="arial" w:eastAsia="arial" w:hAnsi="arial" w:cs="arial"/>
            <w:i/>
            <w:color w:val="0077CC"/>
            <w:sz w:val="20"/>
            <w:u w:val="single"/>
            <w:shd w:val="clear" w:color="auto" w:fill="FFFFFF"/>
            <w:lang w:val="en-US" w:eastAsia="en-US" w:bidi="ar-SA"/>
          </w:rPr>
          <w:t>[1997] 2 S.C.R. 165</w:t>
        </w:r>
      </w:hyperlink>
      <w:r>
        <w:rPr>
          <w:rFonts w:ascii="arial" w:eastAsia="arial" w:hAnsi="arial" w:cs="arial"/>
          <w:color w:val="000000"/>
          <w:sz w:val="20"/>
          <w:lang w:val="en-US" w:eastAsia="en-US" w:bidi="ar-SA"/>
        </w:rPr>
        <w:t xml:space="preserve">, </w:t>
      </w:r>
      <w:hyperlink r:id="rId982" w:history="1">
        <w:r>
          <w:rPr>
            <w:rFonts w:ascii="arial" w:eastAsia="arial" w:hAnsi="arial" w:cs="arial"/>
            <w:i/>
            <w:color w:val="0077CC"/>
            <w:sz w:val="20"/>
            <w:u w:val="single"/>
            <w:shd w:val="clear" w:color="auto" w:fill="FFFFFF"/>
            <w:lang w:val="en-US" w:eastAsia="en-US" w:bidi="ar-SA"/>
          </w:rPr>
          <w:t>146 D.L.R. (4th) 577</w:t>
        </w:r>
      </w:hyperlink>
      <w:r>
        <w:rPr>
          <w:rFonts w:ascii="arial" w:eastAsia="arial" w:hAnsi="arial" w:cs="arial"/>
          <w:color w:val="000000"/>
          <w:sz w:val="20"/>
          <w:lang w:val="en-US" w:eastAsia="en-US" w:bidi="ar-SA"/>
        </w:rPr>
        <w:t xml:space="preserve">, the Supreme Court of Canada linked the elements of a "special relationship" and reliance in a reasonable manner on a negligent misrepresentation, to the two part test in Anns v. Merton London Borough Council, [1978] A.C. 728 (H.L.) as restated in Kamloops (City) v. Nielsen, </w:t>
      </w:r>
      <w:hyperlink r:id="rId266" w:history="1">
        <w:r>
          <w:rPr>
            <w:rFonts w:ascii="arial" w:eastAsia="arial" w:hAnsi="arial" w:cs="arial"/>
            <w:i/>
            <w:color w:val="0077CC"/>
            <w:sz w:val="20"/>
            <w:u w:val="single"/>
            <w:shd w:val="clear" w:color="auto" w:fill="FFFFFF"/>
            <w:lang w:val="en-US" w:eastAsia="en-US" w:bidi="ar-SA"/>
          </w:rPr>
          <w:t>[1984] 2 S.C.R. 2</w:t>
        </w:r>
      </w:hyperlink>
      <w:r>
        <w:rPr>
          <w:rFonts w:ascii="arial" w:eastAsia="arial" w:hAnsi="arial" w:cs="arial"/>
          <w:color w:val="000000"/>
          <w:sz w:val="20"/>
          <w:lang w:val="en-US" w:eastAsia="en-US" w:bidi="ar-SA"/>
        </w:rPr>
        <w:t xml:space="preserve">, </w:t>
      </w:r>
      <w:hyperlink r:id="rId266" w:history="1">
        <w:r>
          <w:rPr>
            <w:rFonts w:ascii="arial" w:eastAsia="arial" w:hAnsi="arial" w:cs="arial"/>
            <w:i/>
            <w:color w:val="0077CC"/>
            <w:sz w:val="20"/>
            <w:u w:val="single"/>
            <w:shd w:val="clear" w:color="auto" w:fill="FFFFFF"/>
            <w:lang w:val="en-US" w:eastAsia="en-US" w:bidi="ar-SA"/>
          </w:rPr>
          <w:t>10 D.L.R. (4th) 641</w:t>
        </w:r>
      </w:hyperlink>
      <w:r>
        <w:rPr>
          <w:rFonts w:ascii="arial" w:eastAsia="arial" w:hAnsi="arial" w:cs="arial"/>
          <w:color w:val="000000"/>
          <w:sz w:val="20"/>
          <w:lang w:val="en-US" w:eastAsia="en-US" w:bidi="ar-SA"/>
        </w:rPr>
        <w:t>. The court went on at page 598 (D.L.R.) to adopt Professor Feldthusen's indicia of reasonable reliance:</w:t>
      </w:r>
      <w:r>
        <w:rPr>
          <w:rFonts w:ascii="arial" w:eastAsia="arial" w:hAnsi="arial" w:cs="arial"/>
          <w:sz w:val="20"/>
          <w:lang w:val="en-US" w:eastAsia="en-US" w:bidi="ar-SA"/>
        </w:rPr>
        <w:cr/>
      </w:r>
    </w:p>
    <w:p>
      <w:pPr>
        <w:numPr>
          <w:numId w:val="5"/>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had a direct or indirect financial interest in the transaction in respect of which the representation was made.</w:t>
      </w:r>
    </w:p>
    <w:p>
      <w:pPr>
        <w:numPr>
          <w:numId w:val="5"/>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was a professional or someone who possessed special skill, judgment or knowledge.</w:t>
      </w:r>
    </w:p>
    <w:p>
      <w:pPr>
        <w:numPr>
          <w:numId w:val="5"/>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advice or information was provided in the course of the defendant's business.</w:t>
      </w:r>
    </w:p>
    <w:p>
      <w:pPr>
        <w:numPr>
          <w:numId w:val="5"/>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information or advice was given deliberately, and not on a social occasion.</w:t>
      </w:r>
    </w:p>
    <w:p>
      <w:pPr>
        <w:numPr>
          <w:numId w:val="5"/>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information or advice was given in response to a specific enquiry or request.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applying these considerations to the claim against Mr. McKinney, it is necessary to determine what has caused the differential settling of Mr. Burnett's home. I accept the evidence of Mr. Snead that the site was either not pre-loaded or inadequately pre-loaded and that, if it had been adequately pre-loaded, differential settlement would have been within an acceptable range. I also accept his opinion that the effect of strengthening the support under the chimney area of the foundation in the absence of adequate pre-loading elsewhere was to increase the degree of differential settling. I also accept his evidence that pre-loading a site where peat is present is a standard approach to reducing settlement.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considering the elements which constitute negligent misrepresentation I am satisfied that there was a sufficiently close relationship between Mr. Burnett and Mr. McKinney that Mr. McKinney would know that carelessness on his part might cause damage to Mr. Burnett as the owner of the property. I note that Mr. McKinney's report of April 21, 1987, is addressed to Mr. Burnett in care of Mr. Goetzen as is his letter of May 6, 1987, confirming that his recommendations had been carried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 McKinney agreed in cross-examination that he knew his report of April 21, 1987, was a site investigation report contemplated by Part 4 of the National Building Code. While he recommended replacing the masonry fireplaces and chimneys with lighter zero-clearance type fireplaces, he proposed an alternative soil preparation if masonry chimneys were to be used. He certified that if his recommendations were implemented that the structure would satisfactorily support the loads imposed by the National Building Code. In my view it is clear that the report deals with the impact of the fireplaces upon the settling of the whole of the foundation and not the fireplaces alone. The report makes no mention of pre-loading the site or of any assumptions about pre-loading made by Mr. McKinney in making his recommendations. Mr. McKinney knew that pre-loading was an important concern when dealing with land containing peat.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my view Mr. McKinney's statement concerning the support of the structure unqualified by any reference to assumptions he may have made about pre-loading was misleading. In light of the evidence about the importance of pre-loading of peat soils, Mr. McKinney's failure to state any assumptions he may have made about pre-loading and its effect upon his recommendations was a breach of the standard of care one would expect from a person possessing the special skill and training of Mr. McKinney.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Counsel for Mr. McKinney has submitted that Mr. Burnett cannot be said to have relied on the misleading statement because he never saw the report until long after the house was built. It is clear that the five indicia of reliance noted above were present when Mr. Burnett instructed Mr. Goetzen to proceed to include masonry chimneys and fireplaces in the construction of the home. In Hercules Managments Ltd. v. Ernst &amp; Young, supra, La Forest J. stated at page 598-599: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While these indicia should not be understood to be a strict "test" of reasonableness, they do help to distinguish those situations where reliance on a statement is reasonable from those where it is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 Goetzen conveyed to Mr. Burnett a summary of the conclusion and recommendations of Mr. McKinney's report. It was on the basis of that "good news" that Mr. Burnett decided to proceed with the masonry chimneys and fireplaces. In my view, so long as the contractor's description of the report was not inaccurate, the fact that Mr. Burnett learned of the content of the report from his contractor does not lead to a conclusion that he did not rely on the report as the basis for decision to use masonry chimneys. I am satisfied that Mr. Burnett relied on the essence of the report and did so to his detriment.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 therefore conclude that all of the elements of a claim of negligent misrepresentation have been proven and that Mr. McKinney and his company are liable to Mr. Burnett for the damages sustained.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Negligent Performance of a Service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This type of claim for economic loss is similar to a claim for negligent misrepresentation but appears to extend to circumstances in which there may not have been actual reliance on the negligent act of the provider of the service. Mr. Klarich prepared the foundation plan for Mr. Burnett's home at the request of Mr. Goetzen of Tri Star Homes Ltd. Mr. Klarich had a duty to Tri Star Homes Ltd. to carry out that service with care and skill. Mr. Klarich never met Mr. Burnett. Did Mr. Klarich nevertheless owe a duty of care to Mr. Burnett?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In the recent decision of Earl v. Wilhelm </w:t>
      </w:r>
      <w:hyperlink r:id="rId983" w:history="1">
        <w:r>
          <w:rPr>
            <w:rFonts w:ascii="arial" w:eastAsia="arial" w:hAnsi="arial" w:cs="arial"/>
            <w:i/>
            <w:color w:val="0077CC"/>
            <w:sz w:val="20"/>
            <w:u w:val="single"/>
            <w:shd w:val="clear" w:color="auto" w:fill="FFFFFF"/>
            <w:lang w:val="en-US" w:eastAsia="en-US" w:bidi="ar-SA"/>
          </w:rPr>
          <w:t>(2000), 189 Sask. R. 71</w:t>
        </w:r>
      </w:hyperlink>
      <w:r>
        <w:rPr>
          <w:rFonts w:ascii="arial" w:eastAsia="arial" w:hAnsi="arial" w:cs="arial"/>
          <w:color w:val="000000"/>
          <w:sz w:val="20"/>
          <w:lang w:val="en-US" w:eastAsia="en-US" w:bidi="ar-SA"/>
        </w:rPr>
        <w:t>, 216 W.A.C. 51 (Sask. C.A.), the Saskatchewan Court of Appeal adopted the principle enunciated in White v Jones, [1995] 1 All E.R. 691 (H.L.) to the effect that a lawyer, in drawing and executing a will, owes a duty of care to the beneficiaries named therein. A breach of that duty will give rise to liability to pay damages suffered by the beneficiaries as a result of the breach. The remedy extended to the beneficiaries was characterized as one arising under "the Hedley Byrne principle".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 think that these decisions support a conclusion that where a person provides a professional service, such as that of an engineer, in which it is reasonably foreseeable that a third party may suffer damage as a result of a negligent performance of that service, that professional person may owe a duty of care to the third party. That duty will be limited, however, by the application of the two-part test in Anns v. Merton London Borough Council, supra.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my view, it was within the reasonable contemplation of Mr. Klarich that carelessness on his part would cause damage to a person in the position of Mr. Burnett and I conclude that Mr. Klarich owed a duty of care to Mr. Burnett.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In an expert report entered in evidence at the trial, it is stated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Bob Klarich would have relied on the geotechnical engineer's recommendations for the structural design of the foundation system for bearing and settlement issues. It is common practice by structural engineers to rely on the recommendations from geotechnical engineers for foundation design which is an area of expertise not practised by most structural engineers and instead is within the scope of expertise of geotechnical engineers.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It is clear from the evidence however, that Mr. Klarich completed his design of the foundation before Mr. McKinney was retained and did not rely on the recommendations of Mr. McKinney or any other geotechnical engineer. Mr. Klarich said that he was informed by Mr. Goetzen around the time of or some time after designing the foundation that a soils engineer would be retained. Mr. Klarich appears to have made no inquiries about the existence of Mr. McKinney's report and never saw the report until after the litigation commenced.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his evidence at trial Mr. Klarich stated that he had assumed that masonry chimneys would not be used and did not want them used because they would create an uneven stress distribution. He said that if they were planned he could have designed an uneven bearing pressure that would have altered stress distributions in the slab. Mr. Klarich's notes forming part of the foundation plan, however, are less definite and state only that the "Contractor was told that metal fireplace would be better than brick chimney since it is less weight, hence less chance of settlement". The notes also state that the contractor was "notified of design soil bearing pressure and soil characteristics and is aware that house is on peat with potential settlement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Section 4.2 of the National Building Code of Canada 1980, is applicable to the foundation constructed on the Burnett property. Section 4.2.2.3(1) contemplates that a review will be carried out by the "designer or by another suitably qualified person to ensure that the subsurface conditions are consistent with the design and that construction is carried out in accordance with the design and good engineering practice". I refer to this section for its recognition of the importance of the relationship between the design of a foundation and the subsurface conditions of the land on which the foundation is placed. I recognize that Mr. Klarich was not required to carry out the review himself and that it is common for the review to be carried out by a geotechnical engineer, which Mr. Klarich was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It is my assessment that Mr. Klarich did not meet an appropriate standard of care in his work on this project and that in failing to do so he breached a duty owed to Mr. Burnett. Mr. Klarich's design of the foundation was complete before Mr. McKinney was retained. He could not, therefore, have relied on the opinion of the geotechnical engineer which the expert opinion identified as a common practice. If it was common practice to rely on a geotechnical engineer's recommendations, however, he could and should have made inquiries to learn whether the report which Mr. Goetzen advised him was to be obtained had been prepared. That is particularly the case when the National Building Code requires a review to ensure that the subsurface conditions are consistent with the design. In the circumstances of this case it is my view that it was not sufficient for Mr. Klarich simply to wait to be notified of any changes to be made to his plan and to assume in the absence of notification that there were no clashes between his foundation design and the sub-surface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 therefore conclude that Mr. Klarich breached a duty of care he owed to Mr. Burnett and bears some responsibility for the damage which resulted to Mr. Burnett's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Negligent Supply of Shoddy Goods or Structures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In light of the findings I have made in relation to the allegations of negligent misrepresentation and negligent performance of a service, I do not find it necessary to consider whether the allegations might also come within this category of economic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Contributory </w:t>
      </w: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Counsel for Mr. Burnett submits that Mr. McKinney and his company should be found fully responsible for the damage which has occurred. It is his position that it was Mr. McKinney's inadequate soils investigation and recommendations and not any error on the part of Mr. Klarich that resulted in the failing foundation. Counsel also submits that Tri Star Homes constructed the home according to the building code requirements and also met the standards specified by the structural and geotechnical engineers.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Counsel for Mr. McKinney and his company submits that Mr. Burnett contributed to his own damage by selecting masonry fireplaces and that the repairs done in 1996 were largely necessitated by chimney concerns. Counsel also submits that both Tri Star Homes and Mr. Klarich were negligent. Tri Star Homes is said to have been negligent in misleading both the City of Richmond and Mr. McKinney. Mr. Klarich is said to have been negligent in designing a foundation for a house to be placed on peat with no knowledge of the soil conditions. Counsel argued that subject to Mr. McKinney's argument that there was no claim for economic loss, liability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should be apportioned 50% against Mr. Klarich and his company and 50% against Tri Star Homes.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I am not satisfied on the evidence that Mr. Burnett or Tri Star Homes were negligent and contributed to the damage that occurred. In my view it was the combination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Mr. Klarich and Mr. McKinney described above which lead to the construction of a home which over time settled differentially and resulted in the damage which occurred. As a result I apportion liability as 50% against Mr. McKinney and Took and 50% against Mr. Klarich and C.A. Boom.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It was Mr. Snead's opinion that the remedial measures will require installation of a pile system in the underlying sand about 20 to 30 feet below grade. A further injection of grout under the slab would be used in conjunction with the underpinning piles to achieve re-leveling within an acceptable range. There are a number of direct and indirect expenses connected with that repair.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plaintiff's estimate of total damages is $116,648 without a new slab and $158,909 if a new slab is required. The defendant, Mr. McKinney submits that a reasonable estimate of damages is $99,606.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In carrying out the installation of a pile underpinning there are risks to the heat pipes in the existing slab. It was the evidence of Mr. Vickars, the principal of one of the companies experienced in such work, that if damage results it might be necessary to pour a new slab. His estimate of this cost is $34,240.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In addition to the direct repair cost there are costs related to the expenses occurred for the repair carried out in 1996, accommodation costs for a period of time during the repair of the foundation when it will be necessary for the Burnett family to be out of the home, and costs to repair the damage to windows, doors and other parts of the home that were caused by the settling.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There are two underpinning estimates, one from Mr. Vickar's company and one from Mr. Fowler's company. The Vickars estimate is $74,130. The Fowler estimate is $67,410. The scope of work entails fewer piles in the Fowler estimate. The Vickar's estimate is supported by a geotechnical engineering opinion. I find the Vickar's estimate of $74,130 including G.S.T. to be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possibility that an additional slab will be required because of heating pipe complications must be seen as a risk. That risk varies somewhat with the nature of the repair technology proposed in the Vickar's and Fowler estimates. While there is little evidence to determine the size of that risk I assess it at 10% and would allow a contingency for this risk based on 10% of its total estimated cost of $34,240. That amount is $3424.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Mr. Burnett is also entitled to recover the repair cost incurred in 1996 in the amount of $9519 together with prejudgment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An estimate of the cost of repairing windows, doors, floors and other damage was given by a general contractor, Mr. De Iaco. His estimate was $22,435 plus G.S.T. for a total of $24,005. The estimate assumes that certain repairs to flooring will be required by the remedial work but I do not find the extent of that work to be as clear as the estimate assumed. I therefore reduce that amount to $20,000. In addition there will be an expense to repair concrete work in the area of the front steps in the amount of $1500.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Mr. Burnett and his family will be unable to remain in their home for a portion of the time that repairs are carried out. They will need to seek alternative accommodation during that time and may incur some storage costs as well. I find their estimates of that expense to be high. In my view an appropriate allowance for this expense is $3500.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In summary, I assess damages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6"/>
        <w:gridCol w:w="313"/>
        <w:gridCol w:w="4392"/>
        <w:gridCol w:w="1464"/>
        <w:gridCol w:w="324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30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Installation of the pile system</w:t>
            </w:r>
          </w:p>
        </w:tc>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$74,130</w:t>
            </w:r>
          </w:p>
        </w:tc>
        <w:tc>
          <w:tcPr>
            <w:tcW w:w="317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5"/>
        <w:gridCol w:w="314"/>
        <w:gridCol w:w="4287"/>
        <w:gridCol w:w="1569"/>
        <w:gridCol w:w="324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19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Contingency for a new slab</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3,424</w:t>
            </w:r>
          </w:p>
        </w:tc>
        <w:tc>
          <w:tcPr>
            <w:tcW w:w="317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5"/>
        <w:gridCol w:w="314"/>
        <w:gridCol w:w="3660"/>
        <w:gridCol w:w="2196"/>
        <w:gridCol w:w="324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58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Prior repair cost</w:t>
            </w:r>
          </w:p>
        </w:tc>
        <w:tc>
          <w:tcPr>
            <w:tcW w:w="215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9,519</w:t>
            </w:r>
          </w:p>
        </w:tc>
        <w:tc>
          <w:tcPr>
            <w:tcW w:w="317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6"/>
        <w:gridCol w:w="314"/>
        <w:gridCol w:w="4496"/>
        <w:gridCol w:w="1359"/>
        <w:gridCol w:w="324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40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Incidental repairs to the house</w:t>
            </w:r>
          </w:p>
        </w:tc>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20,000</w:t>
            </w:r>
          </w:p>
        </w:tc>
        <w:tc>
          <w:tcPr>
            <w:tcW w:w="317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6"/>
        <w:gridCol w:w="313"/>
        <w:gridCol w:w="3869"/>
        <w:gridCol w:w="1987"/>
        <w:gridCol w:w="324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78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Concrete repair work</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1,500</w:t>
            </w:r>
          </w:p>
        </w:tc>
        <w:tc>
          <w:tcPr>
            <w:tcW w:w="317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6"/>
        <w:gridCol w:w="313"/>
        <w:gridCol w:w="4392"/>
        <w:gridCol w:w="1464"/>
        <w:gridCol w:w="324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30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Temporary moving and storage</w:t>
            </w:r>
          </w:p>
        </w:tc>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3,500</w:t>
            </w:r>
          </w:p>
        </w:tc>
        <w:tc>
          <w:tcPr>
            <w:tcW w:w="317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60"/>
        <w:gridCol w:w="2718"/>
        <w:gridCol w:w="3137"/>
        <w:gridCol w:w="324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66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w:t>
            </w:r>
          </w:p>
        </w:tc>
        <w:tc>
          <w:tcPr>
            <w:tcW w:w="307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$112,073</w:t>
            </w:r>
          </w:p>
        </w:tc>
        <w:tc>
          <w:tcPr>
            <w:tcW w:w="317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Counsel for Mr. McKinney and Took requested leave to make submissions on costs. In the event that counsel are unable to agree on entitlement to costs, this issue may be spoken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RALPH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23" style="position:absolute;z-index:25188761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84"/>
          <w:headerReference w:type="default" r:id="rId985"/>
          <w:footerReference w:type="even" r:id="rId986"/>
          <w:footerReference w:type="default" r:id="rId987"/>
          <w:headerReference w:type="first" r:id="rId988"/>
          <w:footerReference w:type="first" r:id="rId98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90" w:history="1">
        <w:r>
          <w:rPr>
            <w:rFonts w:ascii="arial" w:eastAsia="arial" w:hAnsi="arial" w:cs="arial"/>
            <w:b/>
            <w:bCs/>
            <w:i/>
            <w:color w:val="0077CC"/>
            <w:kern w:val="32"/>
            <w:sz w:val="28"/>
            <w:szCs w:val="32"/>
            <w:u w:val="single"/>
            <w:shd w:val="clear" w:color="auto" w:fill="FFFFFF"/>
            <w:lang w:val="en-US" w:eastAsia="en-US" w:bidi="ar-SA"/>
          </w:rPr>
          <w:t>Campbell River Indian Band v. WorleyParsons Canada Ltd. (c.o.b. Westmar), [2013] B.C.J. No. 155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L.D. Russell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26,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31,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S093612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[2013] B.C.J. No. 155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2013 BCSC 140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The Campbell River Indian Band, Plaintiff, and WorleyParsons Canada Ltd., doing business as Westmar and Westmar Consultants Inc., Defendant, and Mary Klugherz, Mary Klugherz, doing business as Klugherz and Associates and David Nairne &amp; Associates,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(81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24" style="position:absolute;z-index:2516992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61" w:name="Keywords_38"/>
      <w:bookmarkEnd w:id="261"/>
      <w:r>
        <w:rPr>
          <w:rFonts w:ascii="arial" w:eastAsia="arial" w:hAnsi="arial" w:cs="arial"/>
          <w:b/>
          <w:color w:val="000000"/>
          <w:sz w:val="20"/>
          <w:lang w:val="en-US" w:eastAsia="en-US" w:bidi="ar-SA"/>
        </w:rPr>
        <w:t>Civil litigation — Civil procedure — Parties — Third party procedure — Availability — Striking out or setting aside — Application by third party to strike out third party claim allowed — Plaintiff sued defendant for deficiencies in a cruise ship docking facility — Plaintiff retained third party to provide project planning and economic development of Terminal — Third party claim alleged plaintiff's damages were attributable to advice, fault or neglect of third party — Third party claims were in substance allegations of fault against plaintiff — Third party acted as agent for plaintiff — If defendant was found liable to plaintiff, it could not also obtain relief in third party claim.</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62" w:name="Case Summary_36"/>
            <w:bookmarkEnd w:id="26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third party to strike out the third party claim. The plaintiff Band sued the defendant for loss of profits, loss of opportunity and increased costs caused by deficiencies in a cruise ship docking facility. The defendant had been retained by the plaintiff to provide professional engineering services to the plaintiff. The statement of claim was focused on design deficiencies in the off-shore facilities of the Terminal, including the inconvenience created by a single gangway and problems with the Terminal's design for ship entry and mooring. The third party, a company offering project planning, economic development, engineering and architectural expertise, was retained by the plaintiff to provide professional services with regard to the construction of the Terminal. The defendants alleged in the third party claim that if the plaintiff suffered damages, it was attributable to the advice, fault or neglect of the third party and that but for the faulty advice of the third party, the Terminal would not have been developed. The third party argued that the third party allegations were properly framed as a defence that any loss or damage was the fault of the plaintiff.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63" w:name="Holdings of Court_32"/>
            <w:bookmarkEnd w:id="263"/>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 claim against a third party for contribution or indemnity was inappropriate if it could be raised against the plaintiff by way of defence. The third party claims were in substance allegations of fault against the plaintiff in the main action. Aside from its advisory role, the third party acted as an agent for the Band, most obviously in its liaison role. The pleadings did not indicate the third party owed independent obligations to the defendant that would overcome the principle of vicarious liability. There were no pleadings with respect to any obligations owed by the third party to the defendant beyond contribution and indemnity. All other obligations were owed by the third party to the plaintiff. If the defendant was found liable to the plaintiff, it could not also obtain relief in the third party proceeding as the substance of the third party claims were that the plaintiff was at fault. On a balance of convenience, the third party claim was not properly determined in the main action. Even if the third party claims were properly pursued, the pleadings were deficient as they failed to adequately make out a cause of action for breach of contract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64" w:name="Legislation Cited_26"/>
      <w:bookmarkEnd w:id="26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25" style="position:absolute;z-index:2517504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hyperlink r:id="rId242" w:history="1">
        <w:r>
          <w:rPr>
            <w:rFonts w:ascii="arial" w:eastAsia="arial" w:hAnsi="arial" w:cs="arial"/>
            <w:i/>
            <w:color w:val="0077CC"/>
            <w:sz w:val="20"/>
            <w:u w:val="single"/>
            <w:shd w:val="clear" w:color="auto" w:fill="FFFFFF"/>
            <w:lang w:val="en-US" w:eastAsia="en-US" w:bidi="ar-SA"/>
          </w:rPr>
          <w:t>RSBC 1996, CHAPTER 333, s. 1</w:t>
        </w:r>
      </w:hyperlink>
      <w:r>
        <w:rPr>
          <w:rFonts w:ascii="arial" w:eastAsia="arial" w:hAnsi="arial" w:cs="arial"/>
          <w:color w:val="000000"/>
          <w:sz w:val="20"/>
          <w:lang w:val="en-US" w:eastAsia="en-US" w:bidi="ar-SA"/>
        </w:rPr>
        <w:t>, s.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Supreme Court Civil Rules, </w:t>
      </w:r>
      <w:r>
        <w:rPr>
          <w:rFonts w:ascii="arial" w:eastAsia="arial" w:hAnsi="arial" w:cs="arial"/>
          <w:i/>
          <w:color w:val="000000"/>
          <w:sz w:val="20"/>
          <w:lang w:val="en-US" w:eastAsia="en-US" w:bidi="ar-SA"/>
        </w:rPr>
        <w:t>B.C. Reg. 168/2009, Rule 3-5</w:t>
      </w:r>
      <w:r>
        <w:rPr>
          <w:rFonts w:ascii="arial" w:eastAsia="arial" w:hAnsi="arial" w:cs="arial"/>
          <w:color w:val="000000"/>
          <w:sz w:val="20"/>
          <w:lang w:val="en-US" w:eastAsia="en-US" w:bidi="ar-SA"/>
        </w:rPr>
        <w:t>(1), Rule 3-5(8), Rule 3-5(14), Rule 9-5(a)</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65" w:name="Counsel_39"/>
      <w:bookmarkEnd w:id="265"/>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26" style="position:absolute;z-index:2518016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A.D. Cochran.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S.M. Vorbrodt.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Third Party, David Nairne &amp; Associates: G.S. Miller, M.J. Bryden.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66" w:name="Judgment_38"/>
      <w:bookmarkEnd w:id="266"/>
      <w:r>
        <w:pict>
          <v:line id="_x0000_s1227" style="position:absolute;z-index:25185075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67" w:name="L.D. RUSSELL J."/>
            <w:bookmarkEnd w:id="267"/>
            <w:r>
              <w:rPr>
                <w:rFonts w:ascii="arial" w:eastAsia="arial" w:hAnsi="arial" w:cs="arial"/>
                <w:b/>
                <w:color w:val="000000"/>
                <w:sz w:val="30"/>
                <w:lang w:val="en-US" w:eastAsia="en-US" w:bidi="ar-SA"/>
              </w:rPr>
              <w:t>L.D. RUSSELL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application for a declaration that an amended third party notice is unnecessary in the circumstances and that its claims be struck and dismissed. It is brought by the third party David Nairne &amp; Associates ("DNA"), a company that offers project planning, economic development, engineering and architectural expertise.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grounds for this application are twofold:</w:t>
      </w:r>
      <w:r>
        <w:rPr>
          <w:rFonts w:ascii="arial" w:eastAsia="arial" w:hAnsi="arial" w:cs="arial"/>
          <w:sz w:val="20"/>
          <w:lang w:val="en-US" w:eastAsia="en-US" w:bidi="ar-SA"/>
        </w:rPr>
        <w:cr/>
      </w:r>
    </w:p>
    <w:p>
      <w:pPr>
        <w:numPr>
          <w:numId w:val="29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third party allegations are in respect of matters that properly fall within the scope of s. 1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and therefore cannot properly be construed as claims for contribution or indemnity;</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no material facts were pleaded in support of the third party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third ground, that the third party claims do not come within s. 4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as it is a consecutive tort, has been abandoned.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DNA brings this application pursuant to Rules 3-5(8) and 9-5(a)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168/2009</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which respectively govern the court's discretion to set aside a third party notice and the court's authority to strike or amend the whole or any part of a pleading.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DNA was retained by the plaintiff in the main action, the Campbell River Indian Band (the "Band"), to provide professional services with regard to the construction of a cruise ship docking facility in Campbell River, British Columbia (the "Terminal").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defendant in this action is WorleyParsons Canada Ltd. doing business as Westmar and Westmar Consultants Inc. ("Westmar"). In essence, Westmar's amended third party notice maintains that if the Band did suffer damages, it is attributable to the advice, fault or neglect of DNA, and/or the other named third party, Mary Klugherz ("Klugherz"). Additionally, any loss resulting from the failure to properly advise the Band with respect to the liability limitation terms attached to Westmar's proposal for engineering services is wholly attributable to DNA.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Westmar asks this Court to dismiss DNA's application on the basis that it is not plain and obvious the amended third party notice discloses no reasonable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oral submissions, Westmar added that if the substance of the claim is not sufficiently particularized, the remedy is not to strike the third party notice but, rather, to demand particulars, with the opportunity for Westmar to amend its amended third party notice.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 find that the third party claims against DNA cannot proceed pursuant to any of the enumerated grounds set out under R. 3-5(1). On this basis, I find the appropriate relief is to set aside the amended third party notice pursuant to R. 3-5(8) as it relates to DNA.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 main action that gave rise to the third party proceedings against DNA and Klugherz was commenced by the Band against Westmar for loss of profits, loss of opportunity and increased costs caused by deficiencies in the Terminal. The plaintiff filed its writ of summons on May 15, 2009 and its statement of claim on April 14, 2010, claiming general and special damages as well as costs for breach of contract, breach of fiduciary duty,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negligent misrepresentation in Westmar's professional engineering services provided between 2004 and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Band had originally retained Westmar in 2002 for professional advice on the conversion of an existing cargo terminal into a cruise ship terminal. This project was abandoned until 2004 when the Band again retained Westmar for professional services with regard to the planning, design, construction and promotion of a scratch built cruise ship docking facility in Discovery Passage. The Band alleges Westmar conducted work at all stages of developing the Terminal, including preliminary budgeting, conceptual design, final design, project management, construction supervision and design promotion. Construction was completed in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Terminal, as defined by the Band, consists of four berthing dolphins, four mooring dolphins and catwalks linking the berthing and mooring dolphins to a pontoon, which in turn connects to a gangway.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Band maintains the pontoon is not robust enough to withstand local wave conditions, requiring higher repair and maintenance costs. It is also too small to accommodate a dual gangway, which is favoured for convenience by larger cruise ships. The Terminal lacks a berthing dolphin, as prescribed in the design. Finally, it creates docking challenges for ships that lack thrusters and controls.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Band alleges the Terminal's deficiencies were contrary to Westmar's representations concerning the design and performance of the Terminal, damaging its operational reputation and its economic potential.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On May 20, 2010, Westmar filed its Statement of Defence, which was amended on September 13, 2011. Westmar maintains the Band was the victim of its own expectations about the economic viability of the Terminal, created through the advice of others. It claims these expectations were unrealistic, unreasonable and/or grossly inflated. It further pleads the Band has suffered no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Alternatively, if it did suffer a loss, Westmar says the Band's recovery is limited by the terms and conditions attached to its engineering services' proposals. Finally, Westmar argues this loss is attributable to the Band's own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Westmar filed a third party notice on April 28, 2011, amended on September 30, 2011 pursuant to the case plan order of Madam Justice Gray dated September 6, 2011. It lists Klugherz and DNA as third parties to be added to the main action. Westmar alleges DNA was retained by the Band in 2004 for the following services in respect of the development of the Terminal:</w:t>
      </w:r>
      <w:r>
        <w:rPr>
          <w:rFonts w:ascii="arial" w:eastAsia="arial" w:hAnsi="arial" w:cs="arial"/>
          <w:sz w:val="20"/>
          <w:lang w:val="en-US" w:eastAsia="en-US" w:bidi="ar-SA"/>
        </w:rPr>
        <w:cr/>
      </w:r>
    </w:p>
    <w:p>
      <w:pPr>
        <w:numPr>
          <w:numId w:val="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project advisory services, including project management and assistance in securing funding for the Terminal; and</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construction, consultancy engineering and architectural services with respect to land structures, site infrastructure, a Canada Customs building and outdoor market areas.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DNA was again retained by the Band to provide services in respect of the Terminal, which included:</w:t>
      </w:r>
      <w:r>
        <w:rPr>
          <w:rFonts w:ascii="arial" w:eastAsia="arial" w:hAnsi="arial" w:cs="arial"/>
          <w:sz w:val="20"/>
          <w:lang w:val="en-US" w:eastAsia="en-US" w:bidi="ar-SA"/>
        </w:rPr>
        <w:cr/>
      </w:r>
    </w:p>
    <w:p>
      <w:pPr>
        <w:numPr>
          <w:numId w:val="5"/>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project advice;</w:t>
      </w:r>
    </w:p>
    <w:p>
      <w:pPr>
        <w:numPr>
          <w:numId w:val="6"/>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engineering, planning and architectural services, such as preliminary surveys of the water and upland works;</w:t>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 opportunities assessment for a First Nations-themed cruise ship portal;</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promotion of the Terminal;</w:t>
      </w:r>
    </w:p>
    <w:p>
      <w:pPr>
        <w:numPr>
          <w:numId w:val="9"/>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coordination of strategies for securing funding for the Terminal; and</w:t>
      </w:r>
    </w:p>
    <w:p>
      <w:pPr>
        <w:numPr>
          <w:numId w:val="10"/>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budgeting estimates for funding purposes, which included projections on future benefits and expenses flowing from the Terminal's operation.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Westmar clarifies that it was never retained by the Band to assess the commercial viability of the Terminal, to determine its site placement, to provide financial plans for the Terminal's operations or to assist in funding or marketing. Nor did it perform these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Westmar argues that in the event there was any diminution or impact upon the reputation or economic potential of the Terminal, it is attributable to the "advice, fault or neglect" of Klugherz and/or DNA. The Band's expectations were unrealistic, unreasonable and/or grossly inflated because of their advice.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Westmar further alleges that DNA should have provided the Band with advice in respect of the terms and conditions set out in Westmar's proposals relating to liability limitation. Any damage suffered as a result is wholly attributable to DNA.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Westmar submits that if it is liable to the Band, it is entitled to contribution or indemnity from Klugherz and/or DNA for any damage award. In the alternative, if it is found liable, it is entitled to contribution or indemnity from Klugherz and/or DNA pursuant to s. 4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for any award of damages. Finally, it seeks a declaration on the degree of responsibility that can be attributed to Klugherz and/or DNA as well as judgment against Klugherz and/or DNA.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its response, filed July 6, 2011, DNA specified that it was retained by the Band to provide project management advisory services. It acted as a liaison between the Band and Westmar, monitoring project milestones and the budget. It also acted as a liaison with funding agencies. It provided engineering and architecture services for the on-shore facilities of the Terminal, whereas Westmar was retained to provide engineering services related to the off-shore facilities of the Terminal, the subject matter of the main action. The on-shore facilities DNA defines as including a Canada Custom Revenue Agency building and site services; the off-shore facilities include the wharf.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DNA maintains it has not breached its contractual obligations to the Band; nor has it acted in a negligent manner. In the event of any breach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its part, it did not contribute to the loss or damage alleged by the Band. On this basis, Westmar is not entitled to contribution or indemnity from DNA. Alternatively, if it is liable to the plaintiff, then any claim in contribution or indemnity by Westmar against DNA is limited by contractual terms and conditions pleaded by Westmar in its amended statement of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Notice of application to strike and dismiss the claims against DNA in the amended third party notice was brought on September 24, 2012, with a response filed by Westmar on October 19, 2012. An amended notice of application was filed on October 25,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Position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regard to the facts pleaded in the amended third party notice, DNA submits Westmar adopts a broader interpretation of the scope of the Terminal work than that adopted by the Band in its pleadings. Further, it notes that Westmar does not allege that DNA caused or contributed to any of the Terminal's deficiencies.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In essence, DNA submits that the third party allegations are properly framed as a defence that any loss or damage was the fault of the Band. These allegations come within the meaning of s. 1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from which no contribution or indemnity may lie, making the third party proceeding against DNA unnecessary.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As Westmar has already pleaded that the Band either suffered no damages at all or that these damages were the result of its own unrealistic, unreasonable and/or grossly inflated expectations (its own fault), DNA submits that Westmar is not also entitled to plead that DNA was responsible for the Band's unrealistic, unreasonable and/or grossly inflated expectations. It bases this argument on the well-established principle that no third party claim arises when the subject of the claim can be raised as a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DNA further submits that Westmar's allegation that DNA provided faulty legal advice to the Band concerning the terms and conditions in its proposals is properly characterized as a mitigation defence against the Band.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Finally, DNA alleges the third party claims fail to plead a cause of action. Specifically, Westmar alleges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but fails to plead that DNA owed a duty of care to either the Band or Westmar, that DNA breached the standard of care, or that the alleged breach caused any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In reply, Westmar submits its third party claims are properly brought pursuant to R. 3-5(1)(a) of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It submits that none of the allegations pleaded against DNA can be raised as a defence against the plaintiff directly.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Further, it alleges the third party notice should not be struck where it is conceivable that the third party provided negligent advice to the plaintiff who then relied on that advice to its detriment and for which it cannot be said the plaintiff is in any way responsible. In other words, a third party notice cannot be struck where the court is not satisfied that the third party's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must necessarily be imputed to the plaintiff. I note that this expression of the law stems from jurisprudence that our Court of Appeal has expressly refused to follow: see </w:t>
      </w:r>
      <w:r>
        <w:rPr>
          <w:rFonts w:ascii="arial" w:eastAsia="arial" w:hAnsi="arial" w:cs="arial"/>
          <w:i/>
          <w:color w:val="000000"/>
          <w:sz w:val="20"/>
          <w:lang w:val="en-US" w:eastAsia="en-US" w:bidi="ar-SA"/>
        </w:rPr>
        <w:t>Laidar Holdings Ltd. v. Lindt &amp; Sprungli (Canada) Ltd.</w:t>
      </w:r>
      <w:r>
        <w:rPr>
          <w:rFonts w:ascii="arial" w:eastAsia="arial" w:hAnsi="arial" w:cs="arial"/>
          <w:color w:val="000000"/>
          <w:sz w:val="20"/>
          <w:lang w:val="en-US" w:eastAsia="en-US" w:bidi="ar-SA"/>
        </w:rPr>
        <w:t xml:space="preserve">, </w:t>
      </w:r>
      <w:hyperlink r:id="rId991" w:history="1">
        <w:r>
          <w:rPr>
            <w:rFonts w:ascii="arial" w:eastAsia="arial" w:hAnsi="arial" w:cs="arial"/>
            <w:i/>
            <w:color w:val="0077CC"/>
            <w:sz w:val="20"/>
            <w:u w:val="single"/>
            <w:shd w:val="clear" w:color="auto" w:fill="FFFFFF"/>
            <w:lang w:val="en-US" w:eastAsia="en-US" w:bidi="ar-SA"/>
          </w:rPr>
          <w:t>2012 BCCA 22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Laidar</w:t>
      </w:r>
      <w:r>
        <w:rPr>
          <w:rFonts w:ascii="arial" w:eastAsia="arial" w:hAnsi="arial" w:cs="arial"/>
          <w:color w:val="000000"/>
          <w:sz w:val="20"/>
          <w:lang w:val="en-US" w:eastAsia="en-US" w:bidi="ar-SA"/>
        </w:rPr>
        <w:t>) at para. 36.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Westmar alleges that any losses are not due to deficiencies in the Terminal. Rather, the Band had unrealistic expectations about the Terminal's economic potential, which were caused by DNA's faulty advice. Westmar says the following are DNA's failures to the Band:</w:t>
      </w:r>
      <w:r>
        <w:rPr>
          <w:rFonts w:ascii="arial" w:eastAsia="arial" w:hAnsi="arial" w:cs="arial"/>
          <w:sz w:val="20"/>
          <w:lang w:val="en-US" w:eastAsia="en-US" w:bidi="ar-SA"/>
        </w:rPr>
        <w:cr/>
      </w:r>
    </w:p>
    <w:p>
      <w:pPr>
        <w:numPr>
          <w:numId w:val="11"/>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properly determine whether Campbell River was a suitable port for cruise ships and advising the Band that it was a suitable port of call;</w:t>
      </w:r>
    </w:p>
    <w:p>
      <w:pPr>
        <w:numPr>
          <w:numId w:val="12"/>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properly determine whether the operation of the Terminal would benefit the Band economically and providing advice to the Band that it would be economically beneficial;</w:t>
      </w:r>
    </w:p>
    <w:p>
      <w:pPr>
        <w:numPr>
          <w:numId w:val="1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properly investigate and recommend potential sites for the Terminal;</w:t>
      </w:r>
    </w:p>
    <w:p>
      <w:pPr>
        <w:numPr>
          <w:numId w:val="14"/>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coordinating strategies and activities to secure grant funding and financing for the development and promotion of the Terminal; and</w:t>
      </w:r>
    </w:p>
    <w:p>
      <w:pPr>
        <w:numPr>
          <w:numId w:val="1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promoting potential cultural tourism opportunities for the Terminal.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But for this faulty or inadequate advice, the Terminal would not have been developed by the Band. These failures caused the Band's damages and loss of profits. Westmar emphasizes that this advisory role to the Band cannot be construed as an agency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Westmar says it is not plain and obvious that there is no reasonable cause of action against DNA since the Band alleges it is an unsophisticated party with limited experience and education and thus relied on advice from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Westmar further claims that s. 4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which governs the right to contribution and indemnity among several concurrent tortfeasors, entitles it to contribution and indemnity from the third party DNA. While this provision governs concurrent tortfeasors, Westmar submits there is no policy reason to find this provision does not apply to consecutive tortfeasors, so long as both are necessary causes of an indivisible injury and contribute to the same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Finally, Westmar submits the substance of its claims against DNA have been sufficiently particularized for DNA to comprehend the case it must meet. Westmar notes that this ground was not pleaded in the original notice of application filed by DNA and it argues that DNA is bound to its original application. Nevertheless, it also submits that the pleadings clearly describe the nature of the relationship between DNA and the plaintiff, giving rise to claims in contract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In the event the claims are not sufficiently particularized, the appropriate remedy is for the court to order that Westmar amend the amended third party notice.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Law</w:t>
      </w:r>
      <w:r>
        <w:rPr>
          <w:rFonts w:ascii="arial" w:eastAsia="arial" w:hAnsi="arial" w:cs="arial"/>
          <w:sz w:val="20"/>
          <w:lang w:val="en-US" w:eastAsia="en-US" w:bidi="ar-SA"/>
        </w:rPr>
        <w:cr/>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Principles of liability under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Apportionment of liability when fault is shared by the plaintiff is governed under s. 1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(1) If by the fault of 2 or more persons damage or loss is caused to one or more of them, the liability to make good the damage or loss is in proportion to the degree to which each person was at fault.</w:t>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Despite subsection (1), if, having regard to all the circumstances of the case, it is not possible to establish different degrees of fault, the liability must be apportioned equally.</w:t>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Nothing in this section operates to make a person liable for damage or loss to which the person's fault has not contributed.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The principle of contribution and indemnity between defendant and third party is laid out in s. 4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(1) If damage or loss has been caused by the fault of 2 or more persons, the court must determine the degree to which each person was at fault.</w:t>
      </w:r>
    </w:p>
    <w:p>
      <w:pPr>
        <w:numPr>
          <w:numId w:val="1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Except as provided in section 5 if 2 or more persons are found at fault</w:t>
      </w:r>
    </w:p>
    <w:p>
      <w:pPr>
        <w:numPr>
          <w:numId w:val="1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they are jointly and severally liable to the person suffering the damage or loss, and</w:t>
      </w:r>
    </w:p>
    <w:p>
      <w:pPr>
        <w:numPr>
          <w:numId w:val="1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as between themselves, in the absence of a contract express or implied, they are liable to contribute to and indemnify each other in the degree to which they are respectively found to have been at fault.</w:t>
      </w:r>
    </w:p>
    <w:p>
      <w:pPr>
        <w:numPr>
          <w:numId w:val="1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Making a third party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Third party proceedings are permitted in order to provide for the resolution of related questions in one action to avoid a multiplicity of proceedings. A party against whom an action is brought can issue a third party notice as of right.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xml:space="preserve"> allow for a party (other than the plaintiff) to commence a third party claim, so long as it falls within one of the three enumerated grounds set out under R. 3-5(1):</w:t>
      </w:r>
      <w:r>
        <w:rPr>
          <w:rFonts w:ascii="arial" w:eastAsia="arial" w:hAnsi="arial" w:cs="arial"/>
          <w:sz w:val="20"/>
          <w:lang w:val="en-US" w:eastAsia="en-US" w:bidi="ar-SA"/>
        </w:rPr>
        <w:cr/>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party is entitled to contribution or indemnity from the person in relation to any relief that is being sought against the party in the action,</w:t>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party is entitled to relief against the person and that relief relates to or is connected with the subject matter of the action, or</w:t>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question or issue between the party and the person</w:t>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is substantially the same as a question or issue that relates to or is connected with</w:t>
      </w:r>
    </w:p>
    <w:p>
      <w:pPr>
        <w:numPr>
          <w:numId w:val="2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relief claimed in the action, or</w:t>
      </w:r>
    </w:p>
    <w:p>
      <w:pPr>
        <w:numPr>
          <w:numId w:val="2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subject matter of the action, and</w:t>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should properly be determined in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Relief from third party notice can be obtained under R. 3-5(8), which provides that at any time, on application, the court may set aside a third party notice.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Under subrule 3-5(14), the court may impose terms on any third party procedure to limit or avoid any prejudice or unnecessary delay that may otherwise be suffered by a party as a result of that third party procedure.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Broader entitlement to relief is available under R. 9-5, which provides that:</w:t>
      </w:r>
      <w:r>
        <w:rPr>
          <w:rFonts w:ascii="arial" w:eastAsia="arial" w:hAnsi="arial" w:cs="arial"/>
          <w:sz w:val="20"/>
          <w:lang w:val="en-US" w:eastAsia="en-US" w:bidi="ar-SA"/>
        </w:rPr>
        <w:cr/>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any stage of a proceeding, the court may order to be struck out or amended the whole or any part of a pleading, petition or other document on the ground that</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discloses no reasonable claim or defence, as the case may be,</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unnecessary, scandalous, frivolous or vexatious,</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may prejudice, embarrass or delay the fair trial or hearing of the proceeding, or</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otherwise an abuse of the process of the court,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the court may pronounce judgment or order the proceeding to be stayed or dismissed and may order the costs of the application to be paid as special costs.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(iii) </w:t>
      </w:r>
      <w:r>
        <w:rPr>
          <w:rFonts w:ascii="arial" w:eastAsia="arial" w:hAnsi="arial" w:cs="arial"/>
          <w:b/>
          <w:i/>
          <w:color w:val="000000"/>
          <w:sz w:val="20"/>
          <w:lang w:val="en-US" w:eastAsia="en-US" w:bidi="ar-SA"/>
        </w:rPr>
        <w:t>The court's discretion to set aside or strike a third party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McNaughton v. Baker</w:t>
      </w:r>
      <w:r>
        <w:rPr>
          <w:rFonts w:ascii="arial" w:eastAsia="arial" w:hAnsi="arial" w:cs="arial"/>
          <w:color w:val="000000"/>
          <w:sz w:val="20"/>
          <w:lang w:val="en-US" w:eastAsia="en-US" w:bidi="ar-SA"/>
        </w:rPr>
        <w:t xml:space="preserve"> </w:t>
      </w:r>
      <w:hyperlink r:id="rId258" w:history="1">
        <w:r>
          <w:rPr>
            <w:rFonts w:ascii="arial" w:eastAsia="arial" w:hAnsi="arial" w:cs="arial"/>
            <w:i/>
            <w:color w:val="0077CC"/>
            <w:sz w:val="20"/>
            <w:u w:val="single"/>
            <w:shd w:val="clear" w:color="auto" w:fill="FFFFFF"/>
            <w:lang w:val="en-US" w:eastAsia="en-US" w:bidi="ar-SA"/>
          </w:rPr>
          <w:t>(1988), 25 B.C.L.R. (2d) 17</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McNaughton</w:t>
      </w:r>
      <w:r>
        <w:rPr>
          <w:rFonts w:ascii="arial" w:eastAsia="arial" w:hAnsi="arial" w:cs="arial"/>
          <w:color w:val="000000"/>
          <w:sz w:val="20"/>
          <w:lang w:val="en-US" w:eastAsia="en-US" w:bidi="ar-SA"/>
        </w:rPr>
        <w:t>) at 22, Madam Justice McLachlin (as she then was) identified two grounds for a third party claim to be struck out:</w:t>
      </w:r>
      <w:r>
        <w:rPr>
          <w:rFonts w:ascii="arial" w:eastAsia="arial" w:hAnsi="arial" w:cs="arial"/>
          <w:sz w:val="20"/>
          <w:lang w:val="en-US" w:eastAsia="en-US" w:bidi="ar-SA"/>
        </w:rPr>
        <w:cr/>
      </w:r>
    </w:p>
    <w:p>
      <w:pPr>
        <w:numPr>
          <w:numId w:val="2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claim does not come within one of the enumerated grounds for making a third party claim under R. 3-5(1) of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w:t>
      </w:r>
    </w:p>
    <w:p>
      <w:pPr>
        <w:numPr>
          <w:numId w:val="2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the same basis that a statement of claim may be struck under R. 9-5 which grants the court discretion to strike party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I note that her discussion of the right of a third party to apply for a notice to be struck is in reference to the former R. 22(4), which actually provided for the court's discretion to </w:t>
      </w:r>
      <w:r>
        <w:rPr>
          <w:rFonts w:ascii="arial" w:eastAsia="arial" w:hAnsi="arial" w:cs="arial"/>
          <w:color w:val="000000"/>
          <w:sz w:val="20"/>
          <w:u w:val="single"/>
          <w:lang w:val="en-US" w:eastAsia="en-US" w:bidi="ar-SA"/>
        </w:rPr>
        <w:t>set aside</w:t>
      </w:r>
      <w:r>
        <w:rPr>
          <w:rFonts w:ascii="arial" w:eastAsia="arial" w:hAnsi="arial" w:cs="arial"/>
          <w:color w:val="000000"/>
          <w:sz w:val="20"/>
          <w:lang w:val="en-US" w:eastAsia="en-US" w:bidi="ar-SA"/>
        </w:rPr>
        <w:t xml:space="preserve"> a third party notice, which is now found under R. 3-5(8).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McLachlin J.A. held that an application to strike out or amend a third party claim should be considered on the assumption the facts pleaded can be established (at 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Case authority establishes that once it is found that a third party claim comes within one of the enumerated grounds under R. 3-5(1), it is likely to proceed with the main action. A third party claim will not be set aside merely because the case is weak or unlikely to succeed: </w:t>
      </w:r>
      <w:r>
        <w:rPr>
          <w:rFonts w:ascii="arial" w:eastAsia="arial" w:hAnsi="arial" w:cs="arial"/>
          <w:i/>
          <w:color w:val="000000"/>
          <w:sz w:val="20"/>
          <w:lang w:val="en-US" w:eastAsia="en-US" w:bidi="ar-SA"/>
        </w:rPr>
        <w:t>Skeena-Queen Charlotte (Regional District) v. Fownes Contracting (1980) Ltd.</w:t>
      </w:r>
      <w:r>
        <w:rPr>
          <w:rFonts w:ascii="arial" w:eastAsia="arial" w:hAnsi="arial" w:cs="arial"/>
          <w:color w:val="000000"/>
          <w:sz w:val="20"/>
          <w:lang w:val="en-US" w:eastAsia="en-US" w:bidi="ar-SA"/>
        </w:rPr>
        <w:t xml:space="preserve">, </w:t>
      </w:r>
      <w:hyperlink r:id="rId992" w:history="1">
        <w:r>
          <w:rPr>
            <w:rFonts w:ascii="arial" w:eastAsia="arial" w:hAnsi="arial" w:cs="arial"/>
            <w:i/>
            <w:color w:val="0077CC"/>
            <w:sz w:val="20"/>
            <w:u w:val="single"/>
            <w:shd w:val="clear" w:color="auto" w:fill="FFFFFF"/>
            <w:lang w:val="en-US" w:eastAsia="en-US" w:bidi="ar-SA"/>
          </w:rPr>
          <w:t>[1990] B.C.J. No. 1181</w:t>
        </w:r>
      </w:hyperlink>
      <w:r>
        <w:rPr>
          <w:rFonts w:ascii="arial" w:eastAsia="arial" w:hAnsi="arial" w:cs="arial"/>
          <w:color w:val="000000"/>
          <w:sz w:val="20"/>
          <w:lang w:val="en-US" w:eastAsia="en-US" w:bidi="ar-SA"/>
        </w:rPr>
        <w:t xml:space="preserve"> (S.C.). I also note </w:t>
      </w:r>
      <w:r>
        <w:rPr>
          <w:rFonts w:ascii="arial" w:eastAsia="arial" w:hAnsi="arial" w:cs="arial"/>
          <w:i/>
          <w:color w:val="000000"/>
          <w:sz w:val="20"/>
          <w:lang w:val="en-US" w:eastAsia="en-US" w:bidi="ar-SA"/>
        </w:rPr>
        <w:t>Northmark Mechanical Systems Inc. v. King (Estate)</w:t>
      </w:r>
      <w:r>
        <w:rPr>
          <w:rFonts w:ascii="arial" w:eastAsia="arial" w:hAnsi="arial" w:cs="arial"/>
          <w:color w:val="000000"/>
          <w:sz w:val="20"/>
          <w:lang w:val="en-US" w:eastAsia="en-US" w:bidi="ar-SA"/>
        </w:rPr>
        <w:t xml:space="preserve">, </w:t>
      </w:r>
      <w:hyperlink r:id="rId993" w:history="1">
        <w:r>
          <w:rPr>
            <w:rFonts w:ascii="arial" w:eastAsia="arial" w:hAnsi="arial" w:cs="arial"/>
            <w:i/>
            <w:color w:val="0077CC"/>
            <w:sz w:val="20"/>
            <w:u w:val="single"/>
            <w:shd w:val="clear" w:color="auto" w:fill="FFFFFF"/>
            <w:lang w:val="en-US" w:eastAsia="en-US" w:bidi="ar-SA"/>
          </w:rPr>
          <w:t>2009 BCSC 1237</w:t>
        </w:r>
      </w:hyperlink>
      <w:r>
        <w:rPr>
          <w:rFonts w:ascii="arial" w:eastAsia="arial" w:hAnsi="arial" w:cs="arial"/>
          <w:color w:val="000000"/>
          <w:sz w:val="20"/>
          <w:lang w:val="en-US" w:eastAsia="en-US" w:bidi="ar-SA"/>
        </w:rPr>
        <w:t xml:space="preserve"> at paras. 34 and 37 (</w:t>
      </w:r>
      <w:r>
        <w:rPr>
          <w:rFonts w:ascii="arial" w:eastAsia="arial" w:hAnsi="arial" w:cs="arial"/>
          <w:i/>
          <w:color w:val="000000"/>
          <w:sz w:val="20"/>
          <w:lang w:val="en-US" w:eastAsia="en-US" w:bidi="ar-SA"/>
        </w:rPr>
        <w:t>Northmark</w:t>
      </w:r>
      <w:r>
        <w:rPr>
          <w:rFonts w:ascii="arial" w:eastAsia="arial" w:hAnsi="arial" w:cs="arial"/>
          <w:color w:val="000000"/>
          <w:sz w:val="20"/>
          <w:lang w:val="en-US" w:eastAsia="en-US" w:bidi="ar-SA"/>
        </w:rPr>
        <w:t xml:space="preserve">) (discussing the former rules, which I have updated here), where the court held that when relief is sought under R. 3-5(1)(a) or (b), the third party notice should not be set aside under R. 3-5(8) unless it can be established beyond any doubt that the pleadings disclose no cause of action. In regard to R. 3-5(1)(c), the third party claim should only be set aside if (i) there is no serious question to be determined; (ii) the question raised in the third party notice is not substantially the same as a question in the original action; or (iii) the question should not properly be determined in the original action. Frederick Irvine's manual </w:t>
      </w:r>
      <w:r>
        <w:rPr>
          <w:rFonts w:ascii="arial" w:eastAsia="arial" w:hAnsi="arial" w:cs="arial"/>
          <w:i/>
          <w:color w:val="000000"/>
          <w:sz w:val="20"/>
          <w:lang w:val="en-US" w:eastAsia="en-US" w:bidi="ar-SA"/>
        </w:rPr>
        <w:t>McLachlin &amp; Taylor: British Columbia Practice</w:t>
      </w:r>
      <w:r>
        <w:rPr>
          <w:rFonts w:ascii="arial" w:eastAsia="arial" w:hAnsi="arial" w:cs="arial"/>
          <w:color w:val="000000"/>
          <w:sz w:val="20"/>
          <w:lang w:val="en-US" w:eastAsia="en-US" w:bidi="ar-SA"/>
        </w:rPr>
        <w:t xml:space="preserve">, 3rd ed., vol. 1 (Markham: LexisNexis Canada, 2006) at 3-65 confirms the rules summarized in </w:t>
      </w:r>
      <w:r>
        <w:rPr>
          <w:rFonts w:ascii="arial" w:eastAsia="arial" w:hAnsi="arial" w:cs="arial"/>
          <w:i/>
          <w:color w:val="000000"/>
          <w:sz w:val="20"/>
          <w:lang w:val="en-US" w:eastAsia="en-US" w:bidi="ar-SA"/>
        </w:rPr>
        <w:t>Northmark</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(iv) Principles governing third party claims for contribution or indemnity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A claim for contribution or indemnity means the defendant, if liable to the plaintiff, may recover from the third party the whole or part of the damages awarded in the main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The right to contribution and indemnity is set out in s. 4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Although this provision applies to concurrent tortious acts, consecutive torts will also come within s. 4 if they are both necessary causes of an indivisible injury: </w:t>
      </w:r>
      <w:r>
        <w:rPr>
          <w:rFonts w:ascii="arial" w:eastAsia="arial" w:hAnsi="arial" w:cs="arial"/>
          <w:i/>
          <w:color w:val="000000"/>
          <w:sz w:val="20"/>
          <w:lang w:val="en-US" w:eastAsia="en-US" w:bidi="ar-SA"/>
        </w:rPr>
        <w:t>Ashcroft v. Dhaliwal</w:t>
      </w:r>
      <w:r>
        <w:rPr>
          <w:rFonts w:ascii="arial" w:eastAsia="arial" w:hAnsi="arial" w:cs="arial"/>
          <w:color w:val="000000"/>
          <w:sz w:val="20"/>
          <w:lang w:val="en-US" w:eastAsia="en-US" w:bidi="ar-SA"/>
        </w:rPr>
        <w:t xml:space="preserve">, </w:t>
      </w:r>
      <w:hyperlink r:id="rId994" w:history="1">
        <w:r>
          <w:rPr>
            <w:rFonts w:ascii="arial" w:eastAsia="arial" w:hAnsi="arial" w:cs="arial"/>
            <w:i/>
            <w:color w:val="0077CC"/>
            <w:sz w:val="20"/>
            <w:u w:val="single"/>
            <w:shd w:val="clear" w:color="auto" w:fill="FFFFFF"/>
            <w:lang w:val="en-US" w:eastAsia="en-US" w:bidi="ar-SA"/>
          </w:rPr>
          <w:t>2008 BCCA 352</w:t>
        </w:r>
      </w:hyperlink>
      <w:r>
        <w:rPr>
          <w:rFonts w:ascii="arial" w:eastAsia="arial" w:hAnsi="arial" w:cs="arial"/>
          <w:color w:val="000000"/>
          <w:sz w:val="20"/>
          <w:lang w:val="en-US" w:eastAsia="en-US" w:bidi="ar-SA"/>
        </w:rPr>
        <w:t xml:space="preserve"> at para. 35, leave to appeal refused </w:t>
      </w:r>
      <w:hyperlink r:id="rId995" w:history="1">
        <w:r>
          <w:rPr>
            <w:rFonts w:ascii="arial" w:eastAsia="arial" w:hAnsi="arial" w:cs="arial"/>
            <w:i/>
            <w:color w:val="0077CC"/>
            <w:sz w:val="20"/>
            <w:u w:val="single"/>
            <w:shd w:val="clear" w:color="auto" w:fill="FFFFFF"/>
            <w:lang w:val="en-US" w:eastAsia="en-US" w:bidi="ar-SA"/>
          </w:rPr>
          <w:t>[2008] S.C.C.A. No. 488</w:t>
        </w:r>
      </w:hyperlink>
      <w:r>
        <w:rPr>
          <w:rFonts w:ascii="arial" w:eastAsia="arial" w:hAnsi="arial" w:cs="arial"/>
          <w:color w:val="000000"/>
          <w:sz w:val="20"/>
          <w:lang w:val="en-US" w:eastAsia="en-US" w:bidi="ar-SA"/>
        </w:rPr>
        <w:t xml:space="preserve"> (S.C.C.). In other words, in order to make a third party claim under R. 3-5(1)(a), it must come within the scope of s. 4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When will a third party claim for contribution or indemnity not come within the scope of s. 4? It is well established that a claim against a third party for contribution or indemnity is inappropriate if it can be raised against the plaintiff by way of defence. On the other hand, if the pleadings raise the possibility of a claim against the third party for which the plaintiff may not be responsible, the third party claim should be allowed to stand. These principles were set out in </w:t>
      </w:r>
      <w:r>
        <w:rPr>
          <w:rFonts w:ascii="arial" w:eastAsia="arial" w:hAnsi="arial" w:cs="arial"/>
          <w:i/>
          <w:color w:val="000000"/>
          <w:sz w:val="20"/>
          <w:lang w:val="en-US" w:eastAsia="en-US" w:bidi="ar-SA"/>
        </w:rPr>
        <w:t>Adams v. Thompson, Berwick, Pratt &amp; Partners</w:t>
      </w:r>
      <w:r>
        <w:rPr>
          <w:rFonts w:ascii="arial" w:eastAsia="arial" w:hAnsi="arial" w:cs="arial"/>
          <w:color w:val="000000"/>
          <w:sz w:val="20"/>
          <w:lang w:val="en-US" w:eastAsia="en-US" w:bidi="ar-SA"/>
        </w:rPr>
        <w:t xml:space="preserve"> </w:t>
      </w:r>
      <w:hyperlink r:id="rId996" w:history="1">
        <w:r>
          <w:rPr>
            <w:rFonts w:ascii="arial" w:eastAsia="arial" w:hAnsi="arial" w:cs="arial"/>
            <w:i/>
            <w:color w:val="0077CC"/>
            <w:sz w:val="20"/>
            <w:u w:val="single"/>
            <w:shd w:val="clear" w:color="auto" w:fill="FFFFFF"/>
            <w:lang w:val="en-US" w:eastAsia="en-US" w:bidi="ar-SA"/>
          </w:rPr>
          <w:t>(1987), 15 B.C.L.R. (2d) 51</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Adams</w:t>
      </w:r>
      <w:r>
        <w:rPr>
          <w:rFonts w:ascii="arial" w:eastAsia="arial" w:hAnsi="arial" w:cs="arial"/>
          <w:color w:val="000000"/>
          <w:sz w:val="20"/>
          <w:lang w:val="en-US" w:eastAsia="en-US" w:bidi="ar-SA"/>
        </w:rPr>
        <w:t xml:space="preserve">) at 54. Recently, the Court of Appeal in </w:t>
      </w:r>
      <w:r>
        <w:rPr>
          <w:rFonts w:ascii="arial" w:eastAsia="arial" w:hAnsi="arial" w:cs="arial"/>
          <w:i/>
          <w:color w:val="000000"/>
          <w:sz w:val="20"/>
          <w:lang w:val="en-US" w:eastAsia="en-US" w:bidi="ar-SA"/>
        </w:rPr>
        <w:t>Laidar</w:t>
      </w:r>
      <w:r>
        <w:rPr>
          <w:rFonts w:ascii="arial" w:eastAsia="arial" w:hAnsi="arial" w:cs="arial"/>
          <w:color w:val="000000"/>
          <w:sz w:val="20"/>
          <w:lang w:val="en-US" w:eastAsia="en-US" w:bidi="ar-SA"/>
        </w:rPr>
        <w:t xml:space="preserve"> confirmed that these principles are still law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Two scenarios were identified in </w:t>
      </w:r>
      <w:r>
        <w:rPr>
          <w:rFonts w:ascii="arial" w:eastAsia="arial" w:hAnsi="arial" w:cs="arial"/>
          <w:i/>
          <w:color w:val="000000"/>
          <w:sz w:val="20"/>
          <w:lang w:val="en-US" w:eastAsia="en-US" w:bidi="ar-SA"/>
        </w:rPr>
        <w:t>Adams</w:t>
      </w:r>
      <w:r>
        <w:rPr>
          <w:rFonts w:ascii="arial" w:eastAsia="arial" w:hAnsi="arial" w:cs="arial"/>
          <w:color w:val="000000"/>
          <w:sz w:val="20"/>
          <w:lang w:val="en-US" w:eastAsia="en-US" w:bidi="ar-SA"/>
        </w:rPr>
        <w:t xml:space="preserve"> where a third party claim will in fact be properly alleged against the plaintiff (at 56):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Generally speaking, all acts falling within the scope of an agency between the proposed third party and the plaintiff fall into the category of acts for which the plaintiff is responsible and hence are not the proper subject of third party claims. At the same time, it must be recognized that a person acting as agent to the plaintiff may undertake duties toward co-contractors and others outside the scope of his agency. To put it another way, the plaintiff's agent may, as a consequence of his relations with other contractors on the project, assume duties toward persons other than the plaintiff, for breach of which the plaintiff would not be vicariously liable. It was the possibility of such claims which led McEachern C.J.S.C. in </w:t>
      </w:r>
      <w:r>
        <w:rPr>
          <w:rFonts w:ascii="arial" w:eastAsia="arial" w:hAnsi="arial" w:cs="arial"/>
          <w:i/>
          <w:color w:val="000000"/>
          <w:sz w:val="20"/>
          <w:lang w:val="en-US" w:eastAsia="en-US" w:bidi="ar-SA"/>
        </w:rPr>
        <w:t>Quintette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 xml:space="preserve">Coal Ltd. v. Bow Valley Resource Services Ltd., </w:t>
      </w:r>
      <w:hyperlink r:id="rId997" w:history="1">
        <w:r>
          <w:rPr>
            <w:rFonts w:ascii="arial" w:eastAsia="arial" w:hAnsi="arial" w:cs="arial"/>
            <w:i/>
            <w:color w:val="0077CC"/>
            <w:sz w:val="20"/>
            <w:u w:val="single"/>
            <w:shd w:val="clear" w:color="auto" w:fill="FFFFFF"/>
            <w:lang w:val="en-US" w:eastAsia="en-US" w:bidi="ar-SA"/>
          </w:rPr>
          <w:t>[1986] B.C.J. No. 2008</w:t>
        </w:r>
      </w:hyperlink>
      <w:r>
        <w:rPr>
          <w:rFonts w:ascii="arial" w:eastAsia="arial" w:hAnsi="arial" w:cs="arial"/>
          <w:i/>
          <w:color w:val="000000"/>
          <w:sz w:val="20"/>
          <w:lang w:val="en-US" w:eastAsia="en-US" w:bidi="ar-SA"/>
        </w:rPr>
        <w:t>, Vancouver No. C837395, 2nd April 1986], to allow the third party claim to stand.</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Another situation where a third party claim cannot be raised because the obligation is essentially that of the plaintiff is where the claim is one that the proposed third party should have advised or assisted the plaintiff to mitigate his damages. In that situation, like the situation of agency, third party proceedings are redundant because the defendant can obtain any relief to which he may be entitled by reduction of the plaintiff's claim if he makes out the defence of failure to mitigate.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Hence, circumstances that occurred in the course of an agency relationship or that can be construed as a mitigation defence will render a third party proceeding unnecessary.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In view of the legal principles summarized above, it is appropriate to begin this analysis by examining whether the third party claim for contribution and indemnity against DNA is properly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If I find the third party claim is one that could be raised as a defence against the plaintiff, I still must consider whether the third party claim comes within R. 3-5(1)(b) or (c). I do not believe that </w:t>
      </w:r>
      <w:r>
        <w:rPr>
          <w:rFonts w:ascii="arial" w:eastAsia="arial" w:hAnsi="arial" w:cs="arial"/>
          <w:i/>
          <w:color w:val="000000"/>
          <w:sz w:val="20"/>
          <w:lang w:val="en-US" w:eastAsia="en-US" w:bidi="ar-SA"/>
        </w:rPr>
        <w:t>Adams</w:t>
      </w:r>
      <w:r>
        <w:rPr>
          <w:rFonts w:ascii="arial" w:eastAsia="arial" w:hAnsi="arial" w:cs="arial"/>
          <w:color w:val="000000"/>
          <w:sz w:val="20"/>
          <w:lang w:val="en-US" w:eastAsia="en-US" w:bidi="ar-SA"/>
        </w:rPr>
        <w:t xml:space="preserve"> prevents me from considering whether the third party claim could fall within those other enumerated grounds.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If it does not fall within any of those enumerated grounds, the third party notice may be set aside.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If it does fall within one of the other enumerated grounds, I must consider whether to exercise my discretion to determine whether the third party notice warrants being struck under R. 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Finally, if I decide the third party claim should proceed, I will consider whether any terms should be imposed that will prevent prejudice or delay to any party pursuant to R. 3-14.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 Do the third party claims come within R. 3-5(1)(a)?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This question turns on whether the third party claims against DNA are in substance allegations of fault against the plaintiff in the main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greater part of Westmar's pleadings characterize DNA's role as advisory in nature. Aside from this advisory role, DNA undertook some engineering, planning and architectural services with respect to the site placement of the Terminal. It also provided engineering, planning and architectural services for the on-shore facilities. Finally, it acted as a liaison for the Band with different persons and organizations involved in the project's development.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DNA essentially characterizes its services in a similar manner.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Westmar maintains that but for the faulty advice of DNA, the Terminal would not have been developed. This advice Westmar argues cannot be construed within an agency role.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thrust of Westmar's submissions is that DNA should have provided different advice that would have allowed the plaintiff to mitigate its losses. This is an argument properly raised as a mitigation defence, from which the defendant can potentially obtain relief. Accordingly, the possibility that the advice provided to the Band was negligent is irrelevant.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Aside from its advisory role, I find that in all other aspects of its work, DNA acted as an agent for the Band, most obviously in its liaison role. It is well-established that an agency relationship arises when a principal reaches an agreement with an agent for the agent to act on their behalf in a transaction; and that agent is subject to the principal's control. Certainly, there is nothing in the pleadings to suggest that DNA was anything other than an agent of the Band, as aptly expressed in </w:t>
      </w:r>
      <w:r>
        <w:rPr>
          <w:rFonts w:ascii="arial" w:eastAsia="arial" w:hAnsi="arial" w:cs="arial"/>
          <w:i/>
          <w:color w:val="000000"/>
          <w:sz w:val="20"/>
          <w:lang w:val="en-US" w:eastAsia="en-US" w:bidi="ar-SA"/>
        </w:rPr>
        <w:t>Bingham v. BMO Nesbitt Burns Inc.</w:t>
      </w:r>
      <w:r>
        <w:rPr>
          <w:rFonts w:ascii="arial" w:eastAsia="arial" w:hAnsi="arial" w:cs="arial"/>
          <w:color w:val="000000"/>
          <w:sz w:val="20"/>
          <w:lang w:val="en-US" w:eastAsia="en-US" w:bidi="ar-SA"/>
        </w:rPr>
        <w:t xml:space="preserve">, </w:t>
      </w:r>
      <w:hyperlink r:id="rId998" w:history="1">
        <w:r>
          <w:rPr>
            <w:rFonts w:ascii="arial" w:eastAsia="arial" w:hAnsi="arial" w:cs="arial"/>
            <w:i/>
            <w:color w:val="0077CC"/>
            <w:sz w:val="20"/>
            <w:u w:val="single"/>
            <w:shd w:val="clear" w:color="auto" w:fill="FFFFFF"/>
            <w:lang w:val="en-US" w:eastAsia="en-US" w:bidi="ar-SA"/>
          </w:rPr>
          <w:t>2006 BCSC 304</w:t>
        </w:r>
      </w:hyperlink>
      <w:r>
        <w:rPr>
          <w:rFonts w:ascii="arial" w:eastAsia="arial" w:hAnsi="arial" w:cs="arial"/>
          <w:color w:val="000000"/>
          <w:sz w:val="20"/>
          <w:lang w:val="en-US" w:eastAsia="en-US" w:bidi="ar-SA"/>
        </w:rPr>
        <w:t xml:space="preserve"> at para. 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Furthermore, I do not have any pleadings before me that indicate DNA owed independent obligations to Westmar that would overcome the principle of vicarious liability (see </w:t>
      </w:r>
      <w:r>
        <w:rPr>
          <w:rFonts w:ascii="arial" w:eastAsia="arial" w:hAnsi="arial" w:cs="arial"/>
          <w:i/>
          <w:color w:val="000000"/>
          <w:sz w:val="20"/>
          <w:lang w:val="en-US" w:eastAsia="en-US" w:bidi="ar-SA"/>
        </w:rPr>
        <w:t>Quintette Coal Ltd. v. Bow Valley Resource Services Ltd.</w:t>
      </w:r>
      <w:r>
        <w:rPr>
          <w:rFonts w:ascii="arial" w:eastAsia="arial" w:hAnsi="arial" w:cs="arial"/>
          <w:color w:val="000000"/>
          <w:sz w:val="20"/>
          <w:lang w:val="en-US" w:eastAsia="en-US" w:bidi="ar-SA"/>
        </w:rPr>
        <w:t xml:space="preserve"> </w:t>
      </w:r>
      <w:hyperlink r:id="rId997" w:history="1">
        <w:r>
          <w:rPr>
            <w:rFonts w:ascii="arial" w:eastAsia="arial" w:hAnsi="arial" w:cs="arial"/>
            <w:i/>
            <w:color w:val="0077CC"/>
            <w:sz w:val="20"/>
            <w:u w:val="single"/>
            <w:shd w:val="clear" w:color="auto" w:fill="FFFFFF"/>
            <w:lang w:val="en-US" w:eastAsia="en-US" w:bidi="ar-SA"/>
          </w:rPr>
          <w:t>(1986), 19 C.L.R. 153</w:t>
        </w:r>
      </w:hyperlink>
      <w:r>
        <w:rPr>
          <w:rFonts w:ascii="arial" w:eastAsia="arial" w:hAnsi="arial" w:cs="arial"/>
          <w:color w:val="000000"/>
          <w:sz w:val="20"/>
          <w:lang w:val="en-US" w:eastAsia="en-US" w:bidi="ar-SA"/>
        </w:rPr>
        <w:t>, [1986] B.C.W.L.D. 1806 (S.C.) where a contractual provision that the third party would be an independent contractor in the performance of its services led the court to find a third party proceeding was suitable (paras. 7, 13, 14, 37)).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Finally, I note Madam Justice Newbury's comments in </w:t>
      </w:r>
      <w:r>
        <w:rPr>
          <w:rFonts w:ascii="arial" w:eastAsia="arial" w:hAnsi="arial" w:cs="arial"/>
          <w:i/>
          <w:color w:val="000000"/>
          <w:sz w:val="20"/>
          <w:lang w:val="en-US" w:eastAsia="en-US" w:bidi="ar-SA"/>
        </w:rPr>
        <w:t>Laidar</w:t>
      </w:r>
      <w:r>
        <w:rPr>
          <w:rFonts w:ascii="arial" w:eastAsia="arial" w:hAnsi="arial" w:cs="arial"/>
          <w:color w:val="000000"/>
          <w:sz w:val="20"/>
          <w:lang w:val="en-US" w:eastAsia="en-US" w:bidi="ar-SA"/>
        </w:rPr>
        <w:t xml:space="preserve"> on the determination of whether a third party claim is properly brought as a defence against the plaintiff: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[35] Apart from the issue of the timing of the 'alleged torts', this statement overlooks the fact that on the present pleadings, the only cause of action alleged against Blakes is the breach of a duty owed </w:t>
      </w:r>
      <w:r>
        <w:rPr>
          <w:rFonts w:ascii="arial" w:eastAsia="arial" w:hAnsi="arial" w:cs="arial"/>
          <w:i/>
          <w:color w:val="000000"/>
          <w:sz w:val="20"/>
          <w:lang w:val="en-US" w:eastAsia="en-US" w:bidi="ar-SA"/>
        </w:rPr>
        <w:t>only to Lindt</w:t>
      </w:r>
      <w:r>
        <w:rPr>
          <w:rFonts w:ascii="arial" w:eastAsia="arial" w:hAnsi="arial" w:cs="arial"/>
          <w:color w:val="000000"/>
          <w:sz w:val="20"/>
          <w:lang w:val="en-US" w:eastAsia="en-US" w:bidi="ar-SA"/>
        </w:rPr>
        <w:t xml:space="preserve">. The lesson of </w:t>
      </w:r>
      <w:r>
        <w:rPr>
          <w:rFonts w:ascii="arial" w:eastAsia="arial" w:hAnsi="arial" w:cs="arial"/>
          <w:i/>
          <w:color w:val="000000"/>
          <w:sz w:val="20"/>
          <w:lang w:val="en-US" w:eastAsia="en-US" w:bidi="ar-SA"/>
        </w:rPr>
        <w:t>Adams</w:t>
      </w:r>
      <w:r>
        <w:rPr>
          <w:rFonts w:ascii="arial" w:eastAsia="arial" w:hAnsi="arial" w:cs="arial"/>
          <w:color w:val="000000"/>
          <w:sz w:val="20"/>
          <w:lang w:val="en-US" w:eastAsia="en-US" w:bidi="ar-SA"/>
        </w:rPr>
        <w:t xml:space="preserve"> is that at least under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of this province, the breach of such a duty does not give DTZ an "independent right of contribution" against Blakes. If the law firm was negligent in its advice to its client, DTZ would, like the engineers in </w:t>
      </w:r>
      <w:r>
        <w:rPr>
          <w:rFonts w:ascii="arial" w:eastAsia="arial" w:hAnsi="arial" w:cs="arial"/>
          <w:i/>
          <w:color w:val="000000"/>
          <w:sz w:val="20"/>
          <w:lang w:val="en-US" w:eastAsia="en-US" w:bidi="ar-SA"/>
        </w:rPr>
        <w:t>Adams</w:t>
      </w:r>
      <w:r>
        <w:rPr>
          <w:rFonts w:ascii="arial" w:eastAsia="arial" w:hAnsi="arial" w:cs="arial"/>
          <w:color w:val="000000"/>
          <w:sz w:val="20"/>
          <w:lang w:val="en-US" w:eastAsia="en-US" w:bidi="ar-SA"/>
        </w:rPr>
        <w:t>, "have a complete remedy" by way of reduction of Lindt's damages for which DTZ could be liable. A third party claim is unnecessary.</w:t>
      </w:r>
    </w:p>
    <w:p>
      <w:pPr>
        <w:spacing w:before="120" w:line="260" w:lineRule="atLeast"/>
        <w:ind w:left="2520"/>
        <w:rPr>
          <w:rFonts w:ascii="arial" w:eastAsia="arial" w:hAnsi="arial" w:cs="arial"/>
          <w:sz w:val="20"/>
          <w:lang w:val="en-US" w:eastAsia="en-US" w:bidi="ar-SA"/>
        </w:rPr>
      </w:pPr>
      <w:r>
        <w:rPr>
          <w:rFonts w:ascii="arial" w:eastAsia="arial" w:hAnsi="arial" w:cs="arial"/>
          <w:color w:val="000000"/>
          <w:sz w:val="20"/>
          <w:lang w:val="en-US" w:eastAsia="en-US" w:bidi="ar-SA"/>
        </w:rPr>
        <w:t>[Emphasis in the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Newbury J.A.'s reasoning is apposite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 find this third party proceeding cannot continue under R. 3-5(1)(a).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(ii) Do the third party claims come within R. 3-5(1)(b) or (c)?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The defendant explicitly states that the third party claims are framed under R. 3-5(1)(a). That construction of the third party notice cannot succeed. All the same, as summarized above, </w:t>
      </w:r>
      <w:r>
        <w:rPr>
          <w:rFonts w:ascii="arial" w:eastAsia="arial" w:hAnsi="arial" w:cs="arial"/>
          <w:i/>
          <w:color w:val="000000"/>
          <w:sz w:val="20"/>
          <w:lang w:val="en-US" w:eastAsia="en-US" w:bidi="ar-SA"/>
        </w:rPr>
        <w:t>McNaughton</w:t>
      </w:r>
      <w:r>
        <w:rPr>
          <w:rFonts w:ascii="arial" w:eastAsia="arial" w:hAnsi="arial" w:cs="arial"/>
          <w:color w:val="000000"/>
          <w:sz w:val="20"/>
          <w:lang w:val="en-US" w:eastAsia="en-US" w:bidi="ar-SA"/>
        </w:rPr>
        <w:t xml:space="preserve"> provides that the court shall consider whether a third party claim comes within </w:t>
      </w:r>
      <w:r>
        <w:rPr>
          <w:rFonts w:ascii="arial" w:eastAsia="arial" w:hAnsi="arial" w:cs="arial"/>
          <w:color w:val="000000"/>
          <w:sz w:val="20"/>
          <w:u w:val="single"/>
          <w:lang w:val="en-US" w:eastAsia="en-US" w:bidi="ar-SA"/>
        </w:rPr>
        <w:t>any</w:t>
      </w:r>
      <w:r>
        <w:rPr>
          <w:rFonts w:ascii="arial" w:eastAsia="arial" w:hAnsi="arial" w:cs="arial"/>
          <w:color w:val="000000"/>
          <w:sz w:val="20"/>
          <w:lang w:val="en-US" w:eastAsia="en-US" w:bidi="ar-SA"/>
        </w:rPr>
        <w:t xml:space="preserve"> of the enumerated grounds under R. 3-5(1).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Accordingly, I will examine whether the amended third party notice comes within R. 3-5(1)(b) or (c).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 find that R. 3-5(1)(b) can be easily disposed of. This clause is concerned with the defendant's entitlement to relief against the third party. There are no pleadings with respect to any obligations owed by DNA to Westmar beyond contribution and indemnity. All other obligations described in the pleadings were owed by DNA to the Band.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It remains to be determined whether the third party claims come within R. 3-5(1)(c). The claims must be (i) substantially the same as the question related to the relief claimed in the action or its subject matter and they must be (ii) properly determined in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I find the reasoning in </w:t>
      </w:r>
      <w:r>
        <w:rPr>
          <w:rFonts w:ascii="arial" w:eastAsia="arial" w:hAnsi="arial" w:cs="arial"/>
          <w:i/>
          <w:color w:val="000000"/>
          <w:sz w:val="20"/>
          <w:lang w:val="en-US" w:eastAsia="en-US" w:bidi="ar-SA"/>
        </w:rPr>
        <w:t>Lui v. West Granville Manor Ltd.</w:t>
      </w:r>
      <w:r>
        <w:rPr>
          <w:rFonts w:ascii="arial" w:eastAsia="arial" w:hAnsi="arial" w:cs="arial"/>
          <w:color w:val="000000"/>
          <w:sz w:val="20"/>
          <w:lang w:val="en-US" w:eastAsia="en-US" w:bidi="ar-SA"/>
        </w:rPr>
        <w:t xml:space="preserve"> </w:t>
      </w:r>
      <w:hyperlink r:id="rId999" w:history="1">
        <w:r>
          <w:rPr>
            <w:rFonts w:ascii="arial" w:eastAsia="arial" w:hAnsi="arial" w:cs="arial"/>
            <w:i/>
            <w:color w:val="0077CC"/>
            <w:sz w:val="20"/>
            <w:u w:val="single"/>
            <w:shd w:val="clear" w:color="auto" w:fill="FFFFFF"/>
            <w:lang w:val="en-US" w:eastAsia="en-US" w:bidi="ar-SA"/>
          </w:rPr>
          <w:t>(1985), 61 B.C.L.R. 315</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Lui</w:t>
      </w:r>
      <w:r>
        <w:rPr>
          <w:rFonts w:ascii="arial" w:eastAsia="arial" w:hAnsi="arial" w:cs="arial"/>
          <w:color w:val="000000"/>
          <w:sz w:val="20"/>
          <w:lang w:val="en-US" w:eastAsia="en-US" w:bidi="ar-SA"/>
        </w:rPr>
        <w:t xml:space="preserve">) at 325 particularly helpful in resolving this question. </w:t>
      </w:r>
      <w:r>
        <w:rPr>
          <w:rFonts w:ascii="arial" w:eastAsia="arial" w:hAnsi="arial" w:cs="arial"/>
          <w:i/>
          <w:color w:val="000000"/>
          <w:sz w:val="20"/>
          <w:lang w:val="en-US" w:eastAsia="en-US" w:bidi="ar-SA"/>
        </w:rPr>
        <w:t>Lui</w:t>
      </w:r>
      <w:r>
        <w:rPr>
          <w:rFonts w:ascii="arial" w:eastAsia="arial" w:hAnsi="arial" w:cs="arial"/>
          <w:color w:val="000000"/>
          <w:sz w:val="20"/>
          <w:lang w:val="en-US" w:eastAsia="en-US" w:bidi="ar-SA"/>
        </w:rPr>
        <w:t xml:space="preserve"> identified the purpose of the former R. 22(1)(c) (now R. 3-5(1)(c)) as being: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to avoid having divergent decisions on the same issue. If the issue is the same, then the defendant should not succeed on it against the third party if he has lost on it to the plaintiff, and vice versa. And the third party should have a voice in the question of whether the plaintiff is going to win or lose against the defendant, since this same issue should be decided in the same way between the defendant and the third party ... that test is a question of fact and law. It is not a question of discretion.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If Westmar is found liable to the Band, it cannot also obtain relief in the third party proceeding as the substance of the third party claims are that the plaintiff is at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 also find the factual bases of the main action and the amended third party notice are not substantially the same. The Band's statement of claim is focused on design deficiencies in the off-shore facilities of the Terminal, including the inconvenience created by a single gangway and problems with the Terminal's design for ship entry and mooring. The third party claims, in contrast, relate to DNA's obligations to the Band.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I will conclude by noting that the court is conferred with broad discretion to determine whether the third party claims should be heard with the main action as between the plaintiff, the defendant and the third party (see </w:t>
      </w:r>
      <w:r>
        <w:rPr>
          <w:rFonts w:ascii="arial" w:eastAsia="arial" w:hAnsi="arial" w:cs="arial"/>
          <w:i/>
          <w:color w:val="000000"/>
          <w:sz w:val="20"/>
          <w:lang w:val="en-US" w:eastAsia="en-US" w:bidi="ar-SA"/>
        </w:rPr>
        <w:t>Webber v. Lowrie</w:t>
      </w:r>
      <w:r>
        <w:rPr>
          <w:rFonts w:ascii="arial" w:eastAsia="arial" w:hAnsi="arial" w:cs="arial"/>
          <w:color w:val="000000"/>
          <w:sz w:val="20"/>
          <w:lang w:val="en-US" w:eastAsia="en-US" w:bidi="ar-SA"/>
        </w:rPr>
        <w:t xml:space="preserve"> </w:t>
      </w:r>
      <w:hyperlink r:id="rId1000" w:history="1">
        <w:r>
          <w:rPr>
            <w:rFonts w:ascii="arial" w:eastAsia="arial" w:hAnsi="arial" w:cs="arial"/>
            <w:i/>
            <w:color w:val="0077CC"/>
            <w:sz w:val="20"/>
            <w:u w:val="single"/>
            <w:shd w:val="clear" w:color="auto" w:fill="FFFFFF"/>
            <w:lang w:val="en-US" w:eastAsia="en-US" w:bidi="ar-SA"/>
          </w:rPr>
          <w:t>(1979), 8 B.C.L.R. 131</w:t>
        </w:r>
      </w:hyperlink>
      <w:r>
        <w:rPr>
          <w:rFonts w:ascii="arial" w:eastAsia="arial" w:hAnsi="arial" w:cs="arial"/>
          <w:color w:val="000000"/>
          <w:sz w:val="20"/>
          <w:lang w:val="en-US" w:eastAsia="en-US" w:bidi="ar-SA"/>
        </w:rPr>
        <w:t xml:space="preserve"> (C.A.) at 136 and </w:t>
      </w:r>
      <w:r>
        <w:rPr>
          <w:rFonts w:ascii="arial" w:eastAsia="arial" w:hAnsi="arial" w:cs="arial"/>
          <w:i/>
          <w:color w:val="000000"/>
          <w:sz w:val="20"/>
          <w:lang w:val="en-US" w:eastAsia="en-US" w:bidi="ar-SA"/>
        </w:rPr>
        <w:t>Lui</w:t>
      </w:r>
      <w:r>
        <w:rPr>
          <w:rFonts w:ascii="arial" w:eastAsia="arial" w:hAnsi="arial" w:cs="arial"/>
          <w:color w:val="000000"/>
          <w:sz w:val="20"/>
          <w:lang w:val="en-US" w:eastAsia="en-US" w:bidi="ar-SA"/>
        </w:rPr>
        <w:t xml:space="preserve"> at 327 - 328). On a balance of convenience, the third party claims against DNA are not properly determined in the main action.</w:t>
      </w:r>
      <w:r>
        <w:rPr>
          <w:rFonts w:ascii="arial" w:eastAsia="arial" w:hAnsi="arial" w:cs="arial"/>
          <w:sz w:val="20"/>
          <w:lang w:val="en-US" w:eastAsia="en-US" w:bidi="ar-SA"/>
        </w:rPr>
        <w:cr/>
      </w:r>
    </w:p>
    <w:p>
      <w:pPr>
        <w:numPr>
          <w:numId w:val="2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Sufficiency of material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Even if I had found the third party claims were properly pursued within one of the three enumerated grounds under R. 3-5(1)(a), I concur with DNA that the pleadings are deficient in the amended third party notice against DNA as they fail to adequately make out a cause of action for breach of contract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 set out in </w:t>
      </w:r>
      <w:r>
        <w:rPr>
          <w:rFonts w:ascii="arial" w:eastAsia="arial" w:hAnsi="arial" w:cs="arial"/>
          <w:i/>
          <w:color w:val="000000"/>
          <w:sz w:val="20"/>
          <w:lang w:val="en-US" w:eastAsia="en-US" w:bidi="ar-SA"/>
        </w:rPr>
        <w:t>Stoneman v. Denman Island Local Trust Committee</w:t>
      </w:r>
      <w:r>
        <w:rPr>
          <w:rFonts w:ascii="arial" w:eastAsia="arial" w:hAnsi="arial" w:cs="arial"/>
          <w:color w:val="000000"/>
          <w:sz w:val="20"/>
          <w:lang w:val="en-US" w:eastAsia="en-US" w:bidi="ar-SA"/>
        </w:rPr>
        <w:t xml:space="preserve">, </w:t>
      </w:r>
      <w:hyperlink r:id="rId1001" w:history="1">
        <w:r>
          <w:rPr>
            <w:rFonts w:ascii="arial" w:eastAsia="arial" w:hAnsi="arial" w:cs="arial"/>
            <w:i/>
            <w:color w:val="0077CC"/>
            <w:sz w:val="20"/>
            <w:u w:val="single"/>
            <w:shd w:val="clear" w:color="auto" w:fill="FFFFFF"/>
            <w:lang w:val="en-US" w:eastAsia="en-US" w:bidi="ar-SA"/>
          </w:rPr>
          <w:t>2010 BCSC 636</w:t>
        </w:r>
      </w:hyperlink>
      <w:r>
        <w:rPr>
          <w:rFonts w:ascii="arial" w:eastAsia="arial" w:hAnsi="arial" w:cs="arial"/>
          <w:color w:val="000000"/>
          <w:sz w:val="20"/>
          <w:lang w:val="en-US" w:eastAsia="en-US" w:bidi="ar-SA"/>
        </w:rPr>
        <w:t xml:space="preserve"> at para. 27, when several causes of action are being alleged against multiple parties, unless the statement of claim clearly identifies what facts relate to what cause of action and which party, the pleadings will fail to clearly define the issues of fact and law to be determined by the court. The third party claims against Klugherz and DNA are for the most part pleaded conjunctively or in the alternative, which in my view fails to particularize the causes of action adequately (see, in particular, paragraph 23 of the amended third party notice).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only cause of action that is singularly pleaded against DNA is for failure to properly advise the Band in respect of a limitation of liability term in Westmar's proposal for engineering services. It is not clear how this failure relates to the damages alleged by the Band and it is therefore also insufficiently pleaded.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third party action against DNA cannot proceed as it does not come within any of the enumerated grounds of R. 3-5(1). I exercise my discretion to set aside the amended third party notice as it pertains to DNA.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xml:space="preserve"> do not provide the court with the discretion to grant an order for the amendment of a third party proceeding if it has been set aside pursuant to R. 3-5(8). If the third party claims had come within one of the enumerated grounds of R. 3-5(1), then the Court may have ordered that the pleadings be amended on the basis that they were not sufficiently particularized (refer to </w:t>
      </w:r>
      <w:r>
        <w:rPr>
          <w:rFonts w:ascii="arial" w:eastAsia="arial" w:hAnsi="arial" w:cs="arial"/>
          <w:i/>
          <w:color w:val="000000"/>
          <w:sz w:val="20"/>
          <w:lang w:val="en-US" w:eastAsia="en-US" w:bidi="ar-SA"/>
        </w:rPr>
        <w:t>Laidar Holdings Ltd. v. Lindt &amp; Sprungli (Canada) Inc.</w:t>
      </w:r>
      <w:r>
        <w:rPr>
          <w:rFonts w:ascii="arial" w:eastAsia="arial" w:hAnsi="arial" w:cs="arial"/>
          <w:color w:val="000000"/>
          <w:sz w:val="20"/>
          <w:lang w:val="en-US" w:eastAsia="en-US" w:bidi="ar-SA"/>
        </w:rPr>
        <w:t xml:space="preserve">, </w:t>
      </w:r>
      <w:hyperlink r:id="rId1002" w:history="1">
        <w:r>
          <w:rPr>
            <w:rFonts w:ascii="arial" w:eastAsia="arial" w:hAnsi="arial" w:cs="arial"/>
            <w:i/>
            <w:color w:val="0077CC"/>
            <w:sz w:val="20"/>
            <w:u w:val="single"/>
            <w:shd w:val="clear" w:color="auto" w:fill="FFFFFF"/>
            <w:lang w:val="en-US" w:eastAsia="en-US" w:bidi="ar-SA"/>
          </w:rPr>
          <w:t>2011 BCSC 325</w:t>
        </w:r>
      </w:hyperlink>
      <w:r>
        <w:rPr>
          <w:rFonts w:ascii="arial" w:eastAsia="arial" w:hAnsi="arial" w:cs="arial"/>
          <w:color w:val="000000"/>
          <w:sz w:val="20"/>
          <w:lang w:val="en-US" w:eastAsia="en-US" w:bidi="ar-SA"/>
        </w:rPr>
        <w:t xml:space="preserve"> at para. 35). That discretion can only be exercised under R. 9-5, which I do not find is applicable in these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Not all relief is foreclosed from Westmar. Westmar may bring a separate application to amend the third party pleadings as they relate to Klugherz. Alternatively, Westmar may wish to apply to amend its amended statement of defence in order to plead further particulars in support of the defences that were raised as third party claims against DNA.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DNA will have its costs to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L.D. RUSSELL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28" style="position:absolute;z-index:25188864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003"/>
          <w:headerReference w:type="default" r:id="rId1004"/>
          <w:footerReference w:type="even" r:id="rId1005"/>
          <w:footerReference w:type="default" r:id="rId1006"/>
          <w:headerReference w:type="first" r:id="rId1007"/>
          <w:footerReference w:type="first" r:id="rId100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09" w:history="1">
        <w:r>
          <w:rPr>
            <w:rFonts w:ascii="arial" w:eastAsia="arial" w:hAnsi="arial" w:cs="arial"/>
            <w:b/>
            <w:bCs/>
            <w:i/>
            <w:color w:val="0077CC"/>
            <w:kern w:val="32"/>
            <w:sz w:val="28"/>
            <w:szCs w:val="32"/>
            <w:u w:val="single"/>
            <w:shd w:val="clear" w:color="auto" w:fill="FFFFFF"/>
            <w:lang w:val="en-US" w:eastAsia="en-US" w:bidi="ar-SA"/>
          </w:rPr>
          <w:t>Colebank v. Kropinske, [2002] B.C.J. No. 688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Vernon,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Brooke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13,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21,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Vernon Registry No. 26749</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[2002] B.C.J. No. 688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2002 BCSC 436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112 A.C.W.S. (3d) 1162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Amanda Gail Colebank, plaintiff, and Daniel Everett Melvin Kropinske and Sandra H. Kropinske,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29" style="position:absolute;z-index:2517002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68" w:name="Keywords_39"/>
      <w:bookmarkEnd w:id="268"/>
      <w:r>
        <w:rPr>
          <w:rFonts w:ascii="arial" w:eastAsia="arial" w:hAnsi="arial" w:cs="arial"/>
          <w:b/>
          <w:color w:val="000000"/>
          <w:sz w:val="20"/>
          <w:lang w:val="en-US" w:eastAsia="en-US" w:bidi="ar-SA"/>
        </w:rPr>
        <w:t xml:space="preserve">Practice — Trials — Summary trials — Torts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 passengers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of driver or passenger.</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69" w:name="Case Summary_37"/>
            <w:bookmarkEnd w:id="26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plaintiff Colebank for summary trial of her personal injury claim and a judgment that the defendant Kropinske was entirely liable for her injuries. Kropinske objected to liability being determined on a summary basis. He had earlier consented to the severance of liability and quantum, but now stated that those issues should not be severed. Kropinske's discovery evidence about the events was uncontradicted by Colebank. Kropinske and Colebank were romantically involved. Kropinske had been driving Colebank home at 90 km per hour on a remote road. Colebank was intoxicated. She did not have her seatbelt on. Kropinske had supplied her with alcohol and marijuana. He knew that she behaved erratically when drunk. Colebank asked Kropinske to stop the car. He refused to do so because of the real risk to her safety. He watched her closely. She stated that she could jump out. He told her not to. She opened the door and leaned out. He grabbed her and pulled her back into the car. She pushed herself against him and then out the door. He tried to keep her in the car but was unable to do so. She fell out of the car and sustained injuries.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70" w:name="Holdings of Court_33"/>
            <w:bookmarkEnd w:id="270"/>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This matter was appropriate for summary disposition. As there was no application to revisit the earlier order separating liability from damages, the issue of liability was considered. Kropinske was responsible for Colebank's injuries as he should have known of the risk that she would leave the car while it was moving. He failed to ensure that she had her seatbelt on. He provided her with intoxicants while knowing of their effect on her. He drove too quickly in all of the circumstances. However, Colebank was also at fault. She was heedless of the risk which she assumed. She failed to take reasonable care for her own safety. Colebank was 75 per cent at fault and Kropinske was 25 per cent at fault.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71" w:name="Legislation Cited_27"/>
      <w:bookmarkEnd w:id="27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30" style="position:absolute;z-index:2517514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18A.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hyperlink r:id="rId242" w:history="1">
        <w:r>
          <w:rPr>
            <w:rFonts w:ascii="arial" w:eastAsia="arial" w:hAnsi="arial" w:cs="arial"/>
            <w:i/>
            <w:color w:val="0077CC"/>
            <w:sz w:val="20"/>
            <w:u w:val="single"/>
            <w:shd w:val="clear" w:color="auto" w:fill="FFFFFF"/>
            <w:lang w:val="en-US" w:eastAsia="en-US" w:bidi="ar-SA"/>
          </w:rPr>
          <w:t>R.S.B.C. 1996, c. 333, s. 1</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72" w:name="Counsel_40"/>
      <w:bookmarkEnd w:id="272"/>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31" style="position:absolute;z-index:2518026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Greg Schroeder, for the plaintiff. Marvin Geekie, for the defendants.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73" w:name="Judgment_39"/>
      <w:bookmarkEnd w:id="273"/>
      <w:r>
        <w:pict>
          <v:line id="_x0000_s1232" style="position:absolute;z-index:251851776"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74" w:name="BROOKE J._0"/>
            <w:bookmarkEnd w:id="274"/>
            <w:r>
              <w:rPr>
                <w:rFonts w:ascii="arial" w:eastAsia="arial" w:hAnsi="arial" w:cs="arial"/>
                <w:b/>
                <w:color w:val="000000"/>
                <w:sz w:val="30"/>
                <w:lang w:val="en-US" w:eastAsia="en-US" w:bidi="ar-SA"/>
              </w:rPr>
              <w:t>BROOKE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Shortly after midnight on May 28, 2000, the plaintiff, who was then 18, was injured when she fell out of a car in which she was a passenger. The car was being driven by the defendant, Daniel Kropinske, and owned by the defendant, Sandra Kropinske. The plaintiff seeks summary trial and a judgment that the defendants are entirely responsible for her injuries. While the defendants objected to the issues of liability and quantum being divided, it is noted that the defendants consented to an order severing those issues before a jury notice was given. Moreover, the defendants say that the matter is not suitable for disposition under Rule 18A.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circumstances are somewhat unusual. The plaintiff and the defendant, Daniel Kropinske, who was then 22 years old, were romantically involved. They had travelled from their home in Salmon Arm on the afternoon of May 27th to Vernon. Between approximately 3:30 p.m. on the 27th and midnight on the 28th, the plaintiff drank five or six bottles of beer and five or six coolers. Moreover, she shared two joints of marijuana with the defendant. On leaving Vernon to begin the homeward trip to Salmon Arm, the plaintiff refused to put her seatbelt on. This was not the first time that she had done so. During the course of the journey, the defendant says that the plaintiff told him, "I bet you I could jump out of this car, roll, and walk home." On several occasions, the plaintiff asked the defendant to stop the car and let her out. The defendant refused to do so because of the real risk to her safety if she were alone on or near a highway, in the middle of the night, and intoxicated. The defendant continued to drive at approximately 90 kilometres per hour and closely watched the plaintiff. When he saw her put her hand on the door handle, he told her to stop. Approximately two minutes later, the plaintiff opened the door and leaned out. The defendant grabbed her and pulled her back into the vehicle. The plaintiff first pushed her weight onto the defendant and then reversed the force of her movement toward and outside the door such that her head, one leg, and half of her body were out the door of the car. The defendant had a grip on her arm and for an instant, the plaintiff seemed to recognize her peril when she told the defendant, "Please don't let go." However, the defendant lost his grip with the result that the plaintiff fell out. He immediately stopped, backed up, picked up the plaintiff, and took her to the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On previous occasions, the plaintiff had acted erratically when drinking. She had refused to wear a seatbelt and had placed her hand or hands on the steering wheel. On one other occasion, and importantly in view of what occurred that gives rise to this action, the plaintiff evinced an intention to open the car door while the vehicle was moving at highway speed, but the plaintiff characterized that act as a playful joke.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Most of the foregoing facts emerge from the discovery evidence of the defendant. The plaintiff has little recollection of the events which occurred after she entered the defendant's car to make the return trip to Salmon Arm. Of some interest, she does remember asking the defendant to stop so that she could leave the car, and she does remember looking at the defendant while she was half in and half out of the car saying, "Please don't let go."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defendants argue that the trial of the liability issue should not be severed from the assessment of damages. They also argue that the matter should not proceed to summary trial under Rule 18A. As I indicated earlier in these Reasons, the defendants consented to severance of liability and quantum. There is no application before me, at any rate, to revisit this order. The narrow issue then is whether Rule 18A is an appropriate procedure for a just determination of the liability issue. The facts, as I have indicated, are not seriously in issue. The defendant's evidence is largely uncontradicted. I am satisfied that I can find the facts necessary to decide the liability issue and that it would not be unjust for me to do so. The plaintiff says that 100 percent of the fault should be attributed to the defendants, and they rely on these facts:</w:t>
      </w:r>
      <w:r>
        <w:rPr>
          <w:rFonts w:ascii="arial" w:eastAsia="arial" w:hAnsi="arial" w:cs="arial"/>
          <w:sz w:val="20"/>
          <w:lang w:val="en-US" w:eastAsia="en-US" w:bidi="ar-SA"/>
        </w:rPr>
        <w:cr/>
      </w:r>
    </w:p>
    <w:p>
      <w:pPr>
        <w:numPr>
          <w:numId w:val="29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provided alcohol and marijuana to the plaintiff.</w:t>
      </w:r>
    </w:p>
    <w:p>
      <w:pPr>
        <w:numPr>
          <w:numId w:val="29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was aware of the plaintiff's consumption of alcohol and use of marijuana before commencing the return journey from Vernon.</w:t>
      </w:r>
    </w:p>
    <w:p>
      <w:pPr>
        <w:numPr>
          <w:numId w:val="29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knew that the plaintiff could be difficult and uncontrollable when intoxicated.</w:t>
      </w:r>
    </w:p>
    <w:p>
      <w:pPr>
        <w:numPr>
          <w:numId w:val="29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asked the defendant to stop the car so that she could exit safely.</w:t>
      </w:r>
    </w:p>
    <w:p>
      <w:pPr>
        <w:numPr>
          <w:numId w:val="29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toyed with the door handle some minutes before opening the door.</w:t>
      </w:r>
    </w:p>
    <w:p>
      <w:pPr>
        <w:numPr>
          <w:numId w:val="29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was aware that the plaintiff was "out of it".</w:t>
      </w:r>
    </w:p>
    <w:p>
      <w:pPr>
        <w:numPr>
          <w:numId w:val="29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did not slow the forward course of the vehicle.</w:t>
      </w:r>
    </w:p>
    <w:p>
      <w:pPr>
        <w:numPr>
          <w:numId w:val="29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did not brake until at or after the time the plaintiff fell out.</w:t>
      </w:r>
    </w:p>
    <w:p>
      <w:pPr>
        <w:numPr>
          <w:numId w:val="29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maintained a speed of 90 kilometres per hour until moments before the plaintiff fell out of the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The plaintiff relies upon Galaske v. Stauffer et al., </w:t>
      </w:r>
      <w:hyperlink r:id="rId1010" w:history="1">
        <w:r>
          <w:rPr>
            <w:rFonts w:ascii="arial" w:eastAsia="arial" w:hAnsi="arial" w:cs="arial"/>
            <w:i/>
            <w:color w:val="0077CC"/>
            <w:sz w:val="20"/>
            <w:u w:val="single"/>
            <w:shd w:val="clear" w:color="auto" w:fill="FFFFFF"/>
            <w:lang w:val="en-US" w:eastAsia="en-US" w:bidi="ar-SA"/>
          </w:rPr>
          <w:t>[1994] 1 S.C.R. 670</w:t>
        </w:r>
      </w:hyperlink>
      <w:r>
        <w:rPr>
          <w:rFonts w:ascii="arial" w:eastAsia="arial" w:hAnsi="arial" w:cs="arial"/>
          <w:color w:val="000000"/>
          <w:sz w:val="20"/>
          <w:lang w:val="en-US" w:eastAsia="en-US" w:bidi="ar-SA"/>
        </w:rPr>
        <w:t xml:space="preserve"> (S.C.C.), where the majority held that a driver owes a duty of care to a passenger to take reasonable steps to prevent foreseeable harm and that duty extends to ensuring passengers under 16 wear their seatbelts. The plaintiff suggests that the inebriated condition of the plaintiff placed her in the same position as a child under the age of 16 years. At page 686, Cory J. says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driver of a car is in a position of control...Coexistent with the right to drive and control a car is the responsibility of the driver to take reasonable steps to provide for the safety of passengers. Those reasonable steps must include not only the duty to drive carefully but also to see that seat belts are worn by young passengers who may not be responsible for ensuring their own safety.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his judgment at page 691, Major J. describes a variable standard of care and says: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difference in degree of responsibility will vary widely, depending on the circumstances of each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The plaintiff also relies upon Topolinski et al. v. Harkness and Bland </w:t>
      </w:r>
      <w:hyperlink r:id="rId1011" w:history="1">
        <w:r>
          <w:rPr>
            <w:rFonts w:ascii="arial" w:eastAsia="arial" w:hAnsi="arial" w:cs="arial"/>
            <w:i/>
            <w:color w:val="0077CC"/>
            <w:sz w:val="20"/>
            <w:u w:val="single"/>
            <w:shd w:val="clear" w:color="auto" w:fill="FFFFFF"/>
            <w:lang w:val="en-US" w:eastAsia="en-US" w:bidi="ar-SA"/>
          </w:rPr>
          <w:t>(1957), 9 D.L.R. (2d) 112</w:t>
        </w:r>
      </w:hyperlink>
      <w:r>
        <w:rPr>
          <w:rFonts w:ascii="arial" w:eastAsia="arial" w:hAnsi="arial" w:cs="arial"/>
          <w:color w:val="000000"/>
          <w:sz w:val="20"/>
          <w:lang w:val="en-US" w:eastAsia="en-US" w:bidi="ar-SA"/>
        </w:rPr>
        <w:t xml:space="preserve"> (Man. C.A.) and King v. Hommy and D'Aoust </w:t>
      </w:r>
      <w:hyperlink r:id="rId1012" w:history="1">
        <w:r>
          <w:rPr>
            <w:rFonts w:ascii="arial" w:eastAsia="arial" w:hAnsi="arial" w:cs="arial"/>
            <w:i/>
            <w:color w:val="0077CC"/>
            <w:sz w:val="20"/>
            <w:u w:val="single"/>
            <w:shd w:val="clear" w:color="auto" w:fill="FFFFFF"/>
            <w:lang w:val="en-US" w:eastAsia="en-US" w:bidi="ar-SA"/>
          </w:rPr>
          <w:t>(1962), 34 D.L.R. (2d) 770</w:t>
        </w:r>
      </w:hyperlink>
      <w:r>
        <w:rPr>
          <w:rFonts w:ascii="arial" w:eastAsia="arial" w:hAnsi="arial" w:cs="arial"/>
          <w:color w:val="000000"/>
          <w:sz w:val="20"/>
          <w:lang w:val="en-US" w:eastAsia="en-US" w:bidi="ar-SA"/>
        </w:rPr>
        <w:t xml:space="preserve"> (Alta. S.C., Appellate Division). In each of these cases, the plaintiff as a passenger sued the defendant as driver where, in fear for her own safety, each plaintiff jumped from the vehicle after first asking to be permitted to leave. In each case, the driver was found to have a duty to stop when he knows a passenger wishes to exit the vehicle, and a failure to do so will render the driver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The defendant, on the other hand, says that the plaintiff was entirely the author of her own harm and that full responsibility for the accident and the resulting injuries must be visited upon her alone. The defendant calls in aid Cunningham v. Allen et al. </w:t>
      </w:r>
      <w:hyperlink r:id="rId1013" w:history="1">
        <w:r>
          <w:rPr>
            <w:rFonts w:ascii="arial" w:eastAsia="arial" w:hAnsi="arial" w:cs="arial"/>
            <w:i/>
            <w:color w:val="0077CC"/>
            <w:sz w:val="20"/>
            <w:u w:val="single"/>
            <w:shd w:val="clear" w:color="auto" w:fill="FFFFFF"/>
            <w:lang w:val="en-US" w:eastAsia="en-US" w:bidi="ar-SA"/>
          </w:rPr>
          <w:t>(1986), 44 M.V.R. 24</w:t>
        </w:r>
      </w:hyperlink>
      <w:r>
        <w:rPr>
          <w:rFonts w:ascii="arial" w:eastAsia="arial" w:hAnsi="arial" w:cs="arial"/>
          <w:color w:val="000000"/>
          <w:sz w:val="20"/>
          <w:lang w:val="en-US" w:eastAsia="en-US" w:bidi="ar-SA"/>
        </w:rPr>
        <w:t xml:space="preserve"> (Man. Q.B.), where a defence of volenti succeeded, and it was found that an intoxicated plaintiff must be taken to have agreed to exempt the sober defendant from liability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where the plaintiff fell and was injured after standing on the hood of the defendant's car, which was proceeding at approximately 30 kilometres per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 defendant also relies upon Bourque v. Dykeman (Litigation Guardian of) </w:t>
      </w:r>
      <w:hyperlink r:id="rId1014" w:history="1">
        <w:r>
          <w:rPr>
            <w:rFonts w:ascii="arial" w:eastAsia="arial" w:hAnsi="arial" w:cs="arial"/>
            <w:i/>
            <w:color w:val="0077CC"/>
            <w:sz w:val="20"/>
            <w:u w:val="single"/>
            <w:shd w:val="clear" w:color="auto" w:fill="FFFFFF"/>
            <w:lang w:val="en-US" w:eastAsia="en-US" w:bidi="ar-SA"/>
          </w:rPr>
          <w:t>(1996), 22 M.V.R. (3d) 68</w:t>
        </w:r>
      </w:hyperlink>
      <w:r>
        <w:rPr>
          <w:rFonts w:ascii="arial" w:eastAsia="arial" w:hAnsi="arial" w:cs="arial"/>
          <w:color w:val="000000"/>
          <w:sz w:val="20"/>
          <w:lang w:val="en-US" w:eastAsia="en-US" w:bidi="ar-SA"/>
        </w:rPr>
        <w:t>. In Bourque, the New Brunswick Court of Appeal reversed an equal division of liability and dismissed the plaintiff's action, where the plaintiff was intoxicated, not wearing a seatbelt, and constantly moving and bouncing in the backseat, when he bumped against the defendant causing her to lose control of the vehicle. It was held that there was no evidence of conduct that could have reasonably forewarned the defendant of the impending occurrence, and it could not be said that the defendant ought to have reasonably sensed a risk in her control of the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 defence also relies upon Baker v. O'Handley et al. </w:t>
      </w:r>
      <w:hyperlink r:id="rId1015" w:history="1">
        <w:r>
          <w:rPr>
            <w:rFonts w:ascii="arial" w:eastAsia="arial" w:hAnsi="arial" w:cs="arial"/>
            <w:i/>
            <w:color w:val="0077CC"/>
            <w:sz w:val="20"/>
            <w:u w:val="single"/>
            <w:shd w:val="clear" w:color="auto" w:fill="FFFFFF"/>
            <w:lang w:val="en-US" w:eastAsia="en-US" w:bidi="ar-SA"/>
          </w:rPr>
          <w:t>(1981), 13 M.V.R. 76</w:t>
        </w:r>
      </w:hyperlink>
      <w:r>
        <w:rPr>
          <w:rFonts w:ascii="arial" w:eastAsia="arial" w:hAnsi="arial" w:cs="arial"/>
          <w:color w:val="000000"/>
          <w:sz w:val="20"/>
          <w:lang w:val="en-US" w:eastAsia="en-US" w:bidi="ar-SA"/>
        </w:rPr>
        <w:t xml:space="preserve"> (Ont. Co. Ct.), where at page 79, Honey Co. Ct. J. says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satisfied that the driving which commenced with the departure from the party was a joint venture...that at that point the plaintiff had sufficient warning and that common sense should have dictated prudence; and that he freely and voluntarily accepted the risks involved.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The court applied Miller v. Decker, </w:t>
      </w:r>
      <w:hyperlink r:id="rId1016" w:history="1">
        <w:r>
          <w:rPr>
            <w:rFonts w:ascii="arial" w:eastAsia="arial" w:hAnsi="arial" w:cs="arial"/>
            <w:i/>
            <w:color w:val="0077CC"/>
            <w:sz w:val="20"/>
            <w:u w:val="single"/>
            <w:shd w:val="clear" w:color="auto" w:fill="FFFFFF"/>
            <w:lang w:val="en-US" w:eastAsia="en-US" w:bidi="ar-SA"/>
          </w:rPr>
          <w:t>[1957] S.C.R. 624</w:t>
        </w:r>
      </w:hyperlink>
      <w:r>
        <w:rPr>
          <w:rFonts w:ascii="arial" w:eastAsia="arial" w:hAnsi="arial" w:cs="arial"/>
          <w:color w:val="000000"/>
          <w:sz w:val="20"/>
          <w:lang w:val="en-US" w:eastAsia="en-US" w:bidi="ar-SA"/>
        </w:rPr>
        <w:t>, and dismissed the plaintiff's claim on the basis of the doctrine volenti non fit injuria.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The defence of volenti non fit injuria was considered by the British Columbia Court of Appeal in Chretien v. Jensen </w:t>
      </w:r>
      <w:hyperlink r:id="rId1017" w:history="1">
        <w:r>
          <w:rPr>
            <w:rFonts w:ascii="arial" w:eastAsia="arial" w:hAnsi="arial" w:cs="arial"/>
            <w:i/>
            <w:color w:val="0077CC"/>
            <w:sz w:val="20"/>
            <w:u w:val="single"/>
            <w:shd w:val="clear" w:color="auto" w:fill="FFFFFF"/>
            <w:lang w:val="en-US" w:eastAsia="en-US" w:bidi="ar-SA"/>
          </w:rPr>
          <w:t>(1998), 58 B.C.L.R. (3d) 186</w:t>
        </w:r>
      </w:hyperlink>
      <w:r>
        <w:rPr>
          <w:rFonts w:ascii="arial" w:eastAsia="arial" w:hAnsi="arial" w:cs="arial"/>
          <w:color w:val="000000"/>
          <w:sz w:val="20"/>
          <w:lang w:val="en-US" w:eastAsia="en-US" w:bidi="ar-SA"/>
        </w:rPr>
        <w:t xml:space="preserve">, where a trial court decision apportioning liability was upheld. At page 205, Mackenzie J. referred to Waldick v. Malcolm, </w:t>
      </w:r>
      <w:r>
        <w:rPr>
          <w:rFonts w:ascii="arial" w:eastAsia="arial" w:hAnsi="arial" w:cs="arial"/>
          <w:i/>
          <w:color w:val="000000"/>
          <w:sz w:val="20"/>
          <w:lang w:val="en-US" w:eastAsia="en-US" w:bidi="ar-SA"/>
        </w:rPr>
        <w:t>[1991] 2 S.C.R. 456</w:t>
      </w:r>
      <w:r>
        <w:rPr>
          <w:rFonts w:ascii="arial" w:eastAsia="arial" w:hAnsi="arial" w:cs="arial"/>
          <w:color w:val="000000"/>
          <w:sz w:val="20"/>
          <w:lang w:val="en-US" w:eastAsia="en-US" w:bidi="ar-SA"/>
        </w:rPr>
        <w:t xml:space="preserve"> (S.C.C.), and said this of the doctrine of voluntary assumption of risk:</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defendant cannot succeed under that doctrine unless the plaintiff could be said to have accepted the legal risk of injury as well as the physical risk. In other words, the plaintiff either expressly or by necessary implication must have consented to the legal risk or waived his legal rights.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There was no express consent or waiver here, and nothing in the conduct of the plaintiff or other circumstances from which consent or waiver could be applied.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Here, although the plaintiff must be taken to have known of the risk, telling the defendant that she believed that she could jump out of the car, roll, and walk home (thereby accepting the physical risk of harm), there was no evidence that she expressly or by necessary implication consented to the legal risk or waived her legal rights.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I find that the damage or loss sustained by the plaintiff was caused by the fault of the plaintiff and the defendant, and that s. 1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 xml:space="preserve"> and amendments thereto, applies. The plaintiff was heedless of the risk, which she assumed. The fact that she had been drinking and using marijuana does not afford an excuse. Moreover, the fact that she asked the defendant to stop does not relieve her of the obligation to take reasonable care for her own safety. Within the car, she was at no risk. This is not a case like Topolinski, supra, or Bourque, supra, where the passenger had a reasonable apprehension of harm in remaining in the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 find the defendant knew or should have known of the risk that the plaintiff would impetuously exit the car while it was moving. He failed to discharge his statutory duty to ensure that she was seatbelted (although I accept that this played a relatively small role in what happened), and he provided her with alcoholic beverages and marijuana, knowing that when she was intoxicated, the plaintiff could be uncontrollable. However, while the previous conduct of the plaintiff, which I have described, should have alerted the defendant to the risk, I do not find that her previous conduct was any more than unpredictable. Nor do I find that the defendant should have stopped the car and permitted the plaintiff to exit. It was late at night, the plaintiff was intoxicated, and there was a greater and foreseeable risk of harm to her outside the car than in. However, the defendant did drive too fast in all of the circumstances that were known to him, and he should have slowed his rate of speed below the posted speed.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weighing the degrees of fault of the plaintiff and the defendant, I have concluded that it is the plaintiff who bears the greatest liability for the loss and damage, and I assess her degree of fault at 75 percent. I assess the defendant's degree of fault at 25 percent.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Unless counsel have submissions with respect to costs, that issue should await the determination of the assessment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BROOKE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33" style="position:absolute;z-index:25188966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018"/>
          <w:headerReference w:type="default" r:id="rId1019"/>
          <w:footerReference w:type="even" r:id="rId1020"/>
          <w:footerReference w:type="default" r:id="rId1021"/>
          <w:headerReference w:type="first" r:id="rId1022"/>
          <w:footerReference w:type="first" r:id="rId102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24" w:history="1">
        <w:r>
          <w:rPr>
            <w:rFonts w:ascii="arial" w:eastAsia="arial" w:hAnsi="arial" w:cs="arial"/>
            <w:b/>
            <w:bCs/>
            <w:i/>
            <w:color w:val="0077CC"/>
            <w:kern w:val="32"/>
            <w:sz w:val="28"/>
            <w:szCs w:val="32"/>
            <w:u w:val="single"/>
            <w:shd w:val="clear" w:color="auto" w:fill="FFFFFF"/>
            <w:lang w:val="en-US" w:eastAsia="en-US" w:bidi="ar-SA"/>
          </w:rPr>
          <w:t>Ding v. Joy Investments Ltd., [2003] B.C.J. No. 278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Cullen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17,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6,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S001754</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[2003] B.C.J. No. 278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2003 BCSC 200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119 A.C.W.S. (3d) 1038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Bai Wan Ding and Elina Nga Tai Chow, plaintiffs, and Joy Investments Ltd., Jecth Consultants Inc., Roy Leung and Par Excellence Management Inc. trading under the firm and style of Sutton Group-Killarney Realty and the said Sutton Group-Killarney Realty,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34" style="position:absolute;z-index:2517012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75" w:name="Keywords_40"/>
      <w:bookmarkEnd w:id="275"/>
      <w:r>
        <w:rPr>
          <w:rFonts w:ascii="arial" w:eastAsia="arial" w:hAnsi="arial" w:cs="arial"/>
          <w:b/>
          <w:color w:val="000000"/>
          <w:sz w:val="20"/>
          <w:lang w:val="en-US" w:eastAsia="en-US" w:bidi="ar-SA"/>
        </w:rPr>
        <w:t>Practice — Judgments and orders — Summary judgments — To dismiss action — For part of claim — Requirement that question at issue be beyond doubt — Evidence.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76" w:name="Case Summary_38"/>
            <w:bookmarkEnd w:id="27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Ding against the defendant Joy Investments for summary judgment. Application by Joy against Ding for an order to dismiss his action. Joy agreed to sell a property to Ding on March 31, 1998. The purchase price was $370,000. The agreement was subject to Ding obtaining an environmental site investigation of the property. If Ding did not notify Joy by April 15 that this condition was satisfied the agreement would be terminated. Joy extended the deadline. Ding obtained a stage one environmental report on April 17 and removed this clause on April 20. The agreement also provided that Ding bought the property as it was. It was responsible for all environmental matters, which included clean-up costs. Joy agreed to finance the purchase to the extent of $160,000. This sum was due on May 29, 1999. Ding approached a bank for financing to obtain funds to pay Joy. The bank would not advance funds until Ding obtained a stage two environmental assessment because of information contained in the first report. The assessment revealed that the property was contaminated. The cleanup costs were $43,000. Ding claimed that he was not granted access to the property prior to closing. He could detect charring to the outside of the building and repeatedly asked for permission to inspect the building to determine if there had been a fire. Joy did not supply Ding with a site profile map prior to closing as required by the Waste Management Act. Ding had expert evidence that the map would have revealed environmental problems with the property. Ding's claim against Joy was that Joy negligently or fraudulently represented that there had been no fire in the building. Joy was also negligent because it created an agreement of purchase and sale that limited Ding's assessment rights to a stage one assessment. It was further negligent because it failed to provide the map.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77" w:name="Holdings of Court_34"/>
            <w:bookmarkEnd w:id="277"/>
            <w:r>
              <w:rPr>
                <w:rFonts w:ascii="arial" w:eastAsia="arial" w:hAnsi="arial" w:cs="arial"/>
                <w:color w:val="000000"/>
                <w:sz w:val="20"/>
                <w:lang w:val="en-US" w:eastAsia="en-US" w:bidi="ar-SA"/>
              </w:rPr>
              <w:t>HELD: Ding's application was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Joy's application was allowed in part. Ding's claim, that Joy negligently created an agreement that limited its assessment rights, was dismissed. Ding's other claims were remitted for trial. The court could not decide the misrepresentation claim about the fire in the building. It was being asked to decide this issue in the absence of admissible evidence. Such evidence could be available in admissible form at a subsequent trial. The trial judge would be asked on the basis of further and full evidence to make findings of fact that could be inimical to those the court was asked to make on this more limited application. The resolution of this issue could not be determined summarily. Ding's second claim could be determined summarily. There was no evidence to support this claim. Ding s third claim could not be determined summarily. The agreement did not shift or waive Joy's duty under the Act. There were many unresolved questions that resulted from Ding's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It was not possible to resolve these issues on the basis of the affidavit evidence that was provided.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78" w:name="Legislation Cited_28"/>
      <w:bookmarkEnd w:id="27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35" style="position:absolute;z-index:2517524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Rules 4(40)(27)(a), 18, 18A, 18A(8), 18A(8)(b)(i), 18A(11), 18A(11)(a)(ii), 51(10).</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Waste Management Act, R.S.B.C. 1996, c. 482, s. 26.1(7).</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79" w:name="Counsel_41"/>
      <w:bookmarkEnd w:id="279"/>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36" style="position:absolute;z-index:2518036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K.S. Specht, for the plaintiffs. E.E. Bowes, for the defendant, Joy Investments Ltd. M.A. Giesen, for the defendants, Roy Leung and Par Excellence Management Inc. trading under the firm and style of Sutton Group-Killarney Realty and the said Sutton Group-Killarney Realty. C.E. Hirst, for the defendant, Jecth Consultants Inc.</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80" w:name="Judgment_40"/>
      <w:bookmarkEnd w:id="280"/>
      <w:r>
        <w:pict>
          <v:line id="_x0000_s1237" style="position:absolute;z-index:251852800"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8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81" w:name="CULLEN J."/>
            <w:bookmarkEnd w:id="281"/>
            <w:r>
              <w:rPr>
                <w:rFonts w:ascii="arial" w:eastAsia="arial" w:hAnsi="arial" w:cs="arial"/>
                <w:b/>
                <w:color w:val="000000"/>
                <w:sz w:val="30"/>
                <w:lang w:val="en-US" w:eastAsia="en-US" w:bidi="ar-SA"/>
              </w:rPr>
              <w:t>CULLEN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There are two applications brought in this action pursuant to Rule 18A of the Rules of Court: one on behalf of the defendant, Joy Investment Ltd. ("Joy"), and one brought on behalf of the plaintiffs Bai Wang Ding ("Ding") and Elina Nga Tai Chow ("Chow").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application by Joy is for dismissal of the plaintiffs' claims against it. The application of the plaintiffs is for judgment against Joy on those claims. The other defendants, Jecth Consultants Inc. ("Jecth"), Roy Leung ("R. Leung"), Par Excellence Management Inc. and Sutton Group-Killarney Realty were represented at the hearing but only to confirm agreements with Joy and the plaintiffs that if final disposition of either application required a finding of fact or law adverse to their defence, this matter should be remitted to the trial list.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This action arises out of an agreement for the purchase and sale (the "agreement") of lands and premises located at 838 Powell Street in Vancouver ("the property") between the vendor Joy and the purchasers Ding and Chow. The agreement was entered into on March 31st, 1998 and constituted an agreement to sell the property for $370,000. The agreement contained a number of clauses said to govern the allocation of risk and responsibility between the parties relating to the condition of the property at the time of its transfer.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agreement provided for a "subject to" clause for the benefit of the plaintiffs ("purchasers"). It read as follows:</w:t>
      </w:r>
      <w:r>
        <w:rPr>
          <w:rFonts w:ascii="arial" w:eastAsia="arial" w:hAnsi="arial" w:cs="arial"/>
          <w:sz w:val="20"/>
          <w:lang w:val="en-US" w:eastAsia="en-US" w:bidi="ar-SA"/>
        </w:rPr>
        <w:cr/>
      </w:r>
    </w:p>
    <w:p>
      <w:pPr>
        <w:numPr>
          <w:numId w:val="29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Buyer's Condition Precedent</w:t>
      </w:r>
    </w:p>
    <w:p>
      <w:pPr>
        <w:numPr>
          <w:numId w:val="2"/>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obligation of the Buyer to complete the purchase of the property is subject to the Buyer:</w:t>
      </w:r>
    </w:p>
    <w:p>
      <w:pPr>
        <w:numPr>
          <w:numId w:val="3"/>
        </w:numPr>
        <w:tabs>
          <w:tab w:val="clear" w:pos="184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obtaining an environmental site investigation of the property to be conducted by the Buyer's environmental consultants which certifies that the level of harmful toxic waste, if any, is within acceptable regulatory guidelines. The environmental site investigation shall comprise a Stage one environmental assessment.</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Buyer hereby covenants to:</w:t>
      </w:r>
    </w:p>
    <w:p>
      <w:pPr>
        <w:numPr>
          <w:numId w:val="5"/>
        </w:numPr>
        <w:tabs>
          <w:tab w:val="clear" w:pos="220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pay, at the Buyer's sole expense, his environmental consultants for the environmental investigation; and</w:t>
      </w:r>
    </w:p>
    <w:p>
      <w:pPr>
        <w:numPr>
          <w:numId w:val="5"/>
        </w:numPr>
        <w:tabs>
          <w:tab w:val="clear" w:pos="220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promptly repair and restore, at the Buyer's sole expense, any damage or injury to the property caused by such environmental investigation;</w:t>
      </w:r>
    </w:p>
    <w:p>
      <w:pPr>
        <w:spacing w:before="120" w:line="260" w:lineRule="atLeast"/>
        <w:ind w:left="1800"/>
        <w:rPr>
          <w:rFonts w:ascii="arial" w:eastAsia="arial" w:hAnsi="arial" w:cs="arial"/>
          <w:sz w:val="20"/>
          <w:lang w:val="en-US" w:eastAsia="en-US" w:bidi="ar-SA"/>
        </w:rPr>
      </w:pPr>
      <w:r>
        <w:rPr>
          <w:rFonts w:ascii="arial" w:eastAsia="arial" w:hAnsi="arial" w:cs="arial"/>
          <w:color w:val="000000"/>
          <w:sz w:val="20"/>
          <w:lang w:val="en-US" w:eastAsia="en-US" w:bidi="ar-SA"/>
        </w:rPr>
        <w:t>and shall indemnify, defend and hold the Seller harmless of and from any and all losses, liabilities, costs, expenses, damages, liens, claims, actions and causes of action arising from or relating to the Buyer's or his consultants' entry on the premises to conduct such environmental investigation.</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This condition precedent is for the sole benefit of the Buyer and may be waived at the sole option of the Buyer;</w:t>
      </w:r>
    </w:p>
    <w:p>
      <w:pPr>
        <w:numPr>
          <w:numId w:val="7"/>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Buyer does not give the Seller written notice by the 15th day of April, 1998 that such condition has been satisfied, this Contract of Purchase and Sale shall terminate and the deposit shall be refunded to the Buyer.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That condition precedent, specifically the content of G(i)(1), although included in the agreement which was drafted by solicitors of Joy, was incorporated from an offer to purchase presented by the plaintiffs on March 17, 1998. That offer was not accepted.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Although the plaintiffs were unable to obtain an environmental site investigation report by April 15, 1998 as called for in the agreement, they sought and received an extension of time for removal of the subject.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On April 17th they received an environmental report from Jecth and after reviewing that report they signed an addendum to the agreement removing the "subject to" clause.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agreement contemplated that the buyer would be governed by a site remediation clause and on removal of the "subject to" clause by a covenant transferring all risks and responsibilities associated with the condition of the property to the buyer.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site remediation clause and the covenant read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Buyer agrees he is purchasing the property "as is and where is" condition and is relying on his own municipal as well as environmental investigation and not relying on the Seller. The Buyer hereby confirms the Seller has made no representations or warranties about the condition or suitability of the property for the purposes for which the Buyer intended for the property.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the Buyer removes or waives the condition precedent set out in Section G(i) and completes the purchase of the property, the Buyer hereby covenants that:</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Buyer shall be responsible for all environmental matters or claims that may arise pertaining to the property and, without limiting the generality of the foregoing, the Buyer hereby covenants to clean up and remediate the property of any radioactive, deleterious, toxic, asbestos, urea formaldehyde insulation or other hazardous substances ("Contaminants") at the sole expense of the Buyer to the standard or standards as required by any Municipal, Provincial and Federal laws, bylaws and regulations and any amendments thereto which apply to the Contaminants or the property or the Seller as the previous registered owner of the property;</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Buyer hereby releases and forever discharges the Seller, its officers, directors, and shareholders of and from any obligation to clean up and remediate the property and of and from the cost of any cleanup or remediation and of and from all manner of actions, causes of action, suits, proceedings, claims, demands, loss, damage (known or unknown) and liabilities whatsoever both in law and in equity which against the Seller the Buyer may now or hereafter have or which the Buyer hereinafter can, shall or may have for or by reason of the Contaminants being on, under or in the property;</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Buyer shall indemnify and save harmless the Seller, its officers, directors and shareholders against the cost of cleanup and remediation of the property and shall indemnify and save harmless the Seller, its officers, directors and shareholders against all manner of actions, causes of action, suits, proceedings, claims, demands, loss, damage (known or unknown) and environmental liabilities whatsoever that may accrue to the Seller after the Completion Date arising from the Contaminants being on, under or in the property; and</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Buyer shall execute and deliver to the Seller such further assurances as may be necessary to effectively carry out the intent of this Covenant.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plaintiffs and Joy also executed an agreement for sale whereby Joy agreed to finance the purchase of the property to the extent of $160,000, such sum to be fully due and payable on May 29, 1999. The plaintiff sought several extensions to the due date but after they defaulted on the final extension, Joy obtained an order nisi of cancellation with a redemption date of December 20, 2002 and a redemption amount of $168,959.40 and costs of $5,747.63.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plaintiffs' purpose in purchasing the property was to move and conduct their aluminum door and product manufacturing business in appropriately zoned and permitted premises. They conducted the purchase through their realtor, the defendant R. Leung, who dealt with the Joy's realtor, Andrew Leung ("A. Leung"). The two realtors are not related.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After signing the agreement on March 31st, the plaintiffs retained Jecth to conduct a Stage 1 environmental assessment on the advice of their realtor, to fulfil the condition precedent. Following receipt of the Jecth report on April 17, 1998 and discussion with R. Leung and Harrison Mak, the author of the Jecth report, the plaintiffs, as earlier noted, removed the subject to clause on April 20,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the meantime, on April 17, 1998, the plaintiffs approached the Canadian Imperial Bank of Commerce ("CIBC") to borrow funds to pay out the agreement for sale when it became due and owing the following year. On April 24, 1998 they learned from CIBC that before the bank would advance any funds they required a Stage 2 environmental assessment because of information contained in the Jecth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plaintiffs subsequently sought, but were refused, an extension of their completion date. Thereafter they retained a company called Agra Earth Environmental Ltd. ("Agra") who conducted a limited Stage 2 site investigation and determined that the property was environmentally contaminated in excess of provincial standards. Cost of remediation has since been estimated at $42,640.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According to Ding in an affidavit sworn December 5, 2002, the plaintiffs were not granted access to the premises on the property before completion. Ding deposed that he "could detect some charring on the outside of the building [and] .... continuously asked (his) realtor to obtain permission to let (him) into the building to determine whether there had been any fire in the building".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He further deposed: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realtor also advised that the owner's realtor advised that there was no record of any fire in the building. My realtor also advised that he checked into the building and advised me that no fire had occurred in the building. Relying on the advice of both realtors that there was no fire in the building I removed the subject clause from the contract on April 20,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plaintiff, Ding, deposed that when he went onto the property after completion he found severe fire damage and later determined there were three fires in the building in 1991, 1994 and 1997 respectively.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Counsel for the plaintiffs referred to the examination for discovery evidence of the defendant R. Leung, questions 384 to 388 which read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384 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Did you ever have any information whether or not there had been a fire in that building?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All information Andrew Leung gave to me and I believe in one of the drawings, when I got a fax drawing, I immediately gave it to Mr. Ding and all the information that Andrew Leung gave to me.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385 Q</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 shows the dimensions of the building?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386 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 doesn't say whether or not there had been a fire in building?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Andrew told me there had never been a fire because he doesn't have a fire report that the building get in a fire.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387 Q</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 which?</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He doesn't have a report that the building have a fire.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388 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Did you tell Mr. Ding that Andrew Leung told you there had never been a fire in there?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told him that Andrew checked with the fire department and there was no such fire report that that building get in a fire before.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At the hearing, objection was taken to the admissibility of the evidence in the Ding affidavit of December 5, 2002 on the footing that what R. Leung told Ding that A. Leung told him was hearsay and inadmissible without leave of the court under Rule 51(10). Further it was argued that the discovery evidence of R. Leung as to what A. Leung told him and he told Ding, although admissible against R. Leung, was inadmissible against Joy by virtue of Rule 4(40)(27)(a).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 ruled the evidence inadmissible and counsel for the plaintiffs indicated that he wished the evidence only to be considered in resisting Joy's application, not in support of the plaintiffs'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Joy tendered some evidence on this issue, including the evidence of A. Leung contained in an affidavit dated January 7, 2003. The relevant paragraphs read as follows:</w:t>
      </w:r>
      <w:r>
        <w:rPr>
          <w:rFonts w:ascii="arial" w:eastAsia="arial" w:hAnsi="arial" w:cs="arial"/>
          <w:sz w:val="20"/>
          <w:lang w:val="en-US" w:eastAsia="en-US" w:bidi="ar-SA"/>
        </w:rPr>
        <w:cr/>
      </w:r>
    </w:p>
    <w:p>
      <w:pPr>
        <w:numPr>
          <w:numId w:val="9"/>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I told Mr. Roy Leung, on more than one occasion, the sales price for the property in question, namely 838 Powell Street, represented the value of the land only and the building was in essence, a gratuitous bonus to the purchaser.</w:t>
      </w:r>
    </w:p>
    <w:p>
      <w:pPr>
        <w:numPr>
          <w:numId w:val="9"/>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I specifically told Mr. Roy Leung there had been a fire in the building as that could clearly be seen from the outside of the building by the smoke and fire marks that were clearly visible.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Counsel for Joy also referred to portions of the examination for discovery of Ding. In particular, he read in the following questions and answers pertaining to the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33"/>
        <w:gridCol w:w="309"/>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135</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 you also told Gillian Chee, your conveyancing lawyer, that there had been a fire in the building but it hadn't affected the building too much. You told her all this before you completed the purchase?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What I was telling her from outside looking in seemed to be a fire there. So I ask Mr. Leung how come there is some marks there, and he said some people did go in to sleep, too cold outside. He said the whole building it is the concrete structure, how come there is fire. I didn't believe Mr. Leung, so I got to check with the fire department in the governmental, I think, report to me said there is no fire.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33"/>
        <w:gridCol w:w="309"/>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138</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Let me ask you this: before you removed the subjects on this transaction, that is April 20th, 1998, you also knew there was no electricity in the building;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know there is no electricity supplied from outside. The wire was cut off because Mr. Leung told me there is electricity, water supplies there but there is no fire.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141 Q</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 knew the wire had been cut?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Yeah. I saw it from outside was cut off.</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142 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 told Gillian Chee that before completing the purchase?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was quite suspicious there was a fire, but then she checked for me and said there is no fire.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33"/>
        <w:gridCol w:w="309"/>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182</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if this photograph was taken before April 20th, 1998, it would confirm that you knew before that date that there had been a fire on the premises?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want to tell you because I saw the sign of a fire there, so I ask Mr. Leung was there a fire. And Mr. Leung was saying they all concrete how could there be a fire.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183 Q</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 told me that before?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why I asked Mr. Leung. I also asked him why the wire has been cut off. He said all you have to do is reconnect and that's okay. And after that I didn't trust what he was telling me, so I go to the fire department, the government authority told me there is no fire.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It is common ground between the plaintiffs and Joy that Joy did not supply the plaintiffs with a "site profile" in accordance with the Waste Management Act, R.S.B.C. 1996, c. 482 s. 26.1(7)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That section reads as follows:</w:t>
      </w:r>
      <w:r>
        <w:rPr>
          <w:rFonts w:ascii="arial" w:eastAsia="arial" w:hAnsi="arial" w:cs="arial"/>
          <w:sz w:val="20"/>
          <w:lang w:val="en-US" w:eastAsia="en-US" w:bidi="ar-SA"/>
        </w:rPr>
        <w:cr/>
      </w:r>
    </w:p>
    <w:p>
      <w:pPr>
        <w:numPr>
          <w:numId w:val="10"/>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vendor of real property who knows or reasonably should know that real property has been used for</w:t>
      </w:r>
    </w:p>
    <w:p>
      <w:pPr>
        <w:numPr>
          <w:numId w:val="11"/>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 industrial or commercial purpose, or</w:t>
      </w:r>
    </w:p>
    <w:p>
      <w:pPr>
        <w:numPr>
          <w:numId w:val="11"/>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prescribed purpose or activity,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must provide a site profile to a prospective purchaser of the real property and a manager in accordance with the regulations.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plaintiffs retained an expert in contaminated sites investigation, URS Corporation ("URS") to review the Jecth report and its findings. That assessment and the ensuing report from URS is primarily directed at assessing whether Jecth was negligent in its investigation and report to the plaintiffs, but it also touches on an aspect of Joy's asserted liability - the failure to provide a site profile in accordance with the provisions of the s. 26.1(7) of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URS reviewed the requirements to provide a site profile and concluded: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 properly completed site profile would have noted the historical existence of a UST (underground storage tank) at the subject property highlighting the potential for environmental impacts.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his affidavit of December 5, 2002 at paragraph 10, Ding deposed that:</w:t>
      </w:r>
      <w:r>
        <w:rPr>
          <w:rFonts w:ascii="arial" w:eastAsia="arial" w:hAnsi="arial" w:cs="arial"/>
          <w:sz w:val="20"/>
          <w:lang w:val="en-US" w:eastAsia="en-US" w:bidi="ar-SA"/>
        </w:rPr>
        <w:cr/>
      </w:r>
    </w:p>
    <w:p>
      <w:pPr>
        <w:numPr>
          <w:numId w:val="12"/>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As the Jecth report was incompetently prepared, the site profile which the Vendor was required to produce ... under certain circumstances would have alerted me to the danger of contamination and I would not have removed subject clauses until there was a satisfactory Stage II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his supplementary affidavit of January 4, 2003, Ding deposed as follows at paragraphs 3 and 4:</w:t>
      </w:r>
      <w:r>
        <w:rPr>
          <w:rFonts w:ascii="arial" w:eastAsia="arial" w:hAnsi="arial" w:cs="arial"/>
          <w:sz w:val="20"/>
          <w:lang w:val="en-US" w:eastAsia="en-US" w:bidi="ar-SA"/>
        </w:rPr>
        <w:cr/>
      </w:r>
    </w:p>
    <w:p>
      <w:pPr>
        <w:numPr>
          <w:numId w:val="1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With respect to the facts and statements set out in my affidavit sworn December 5, 2002, it should be understood that I cannot read English so everything had to be translated for me. In particular, in 1998, I had no knowledge of the actual meanings of the clause requiring that I obtain a Stage 1 Assessment or the requirements for a site survey. I had to rely on my realtor to explain that this clause as prepared by Joy Investments lawyer in the contract dated March 31, 1998, was for my benefit or protection.</w:t>
      </w:r>
    </w:p>
    <w:p>
      <w:pPr>
        <w:numPr>
          <w:numId w:val="1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Basically, I relied on the translations and explanation by my realtor, the realtor for Joy Investments and Harrison Mak of Jecth, to explain the terms set out. I was satisfied by their assurances that the report meant the property I was buying had no illegal contaminants and that there was not any fire in the building. Based on these assurances I entered into the contract and removed the subject clauses.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a responding affidavit dated January 10, 2003, A. Leung deposed that neither he nor Joy knew any of the information referred to by Ding of his December 5th affidavit, and that they would not have been able to provide that information even if they had provided a site profile, and that the Jecth report provided much more information to the plaintiffs than Joy could have. A. Leung also denied providing any translation, explanation or advice to the plaintiffs concerning any of the issues at large.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Thus, the plaintiffs' claim against Joy rests on three separate footings. The first, that Joy either negligently or fraudulently misrepresented to the plaintiffs that there had been no fire in the building; the second, that Joy was negligent in creating an agreement limiting the assessment required to a Stage 1 assessment as a condition of the plaintiffs entering into the contract of purchase and sale; and the third, that Joy was negligent in failing to provide the plaintiffs with a site profile map in accordance with s. 26.1(7) of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plaintiffs' initial assertion is that Joy was either negligent by failing to permit the plaintiffs access to the premises to see if there had been a fire in the building and failing to disclose it, or was fraudulent, by actively representing through their agent, A. Leung, that there had been no fire in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Joy's agent, A. Leung, deposed that he told the plaintiffs' agent, R. Leung, that there had been a fire in the building. There was evidence the plaintiffs were aware that the building had been the subject of a fire from some damage to the outside. Although Ding deposed that R. Leung told him that A. Leung said there was no report of a fire in the building and therefore there was no fire, on this application that is not evidence of anything more than what R. Leung told Ding. Furthermore, the examination for discovery testimony of R. Leung as to what he was told by A. Leung and in turn told Ding is not evidence admissible against Joy in this hearing by virtue of Rule 40(27)(a). There is thus no affirmative evidence on this application that Joy, or its agent, made any representation to the plaintiffs to the effect that the premises were not damaged by fire. The only admissible evidence on the question is that of A. Leung to the effect that he told R. Leung there was a fire and that the selling price reflected the land value only.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examination for discovery evidence of Ding makes it appear that the prospect of fire damage was not entirely a hidden defect. Ding testified that he concluded there had been a fire in the building from looking at it from the outside and he checked with the fire department who said "there is no fire" (Q. 135) and that R. Leung told him that as the building was concrete "how could there have been a fire" (Q. 182). Ding further testified that he did not trust R. Leung so he went "to the fire department, the government authority told me there was no fire" (Q. 183).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As I understand the plaintiffs' submission on this point, it is either that there was a fraudulent misrepresentation by the defendant Joy through A. Leung as to whether there had been fire damage to the property or as to the extent of the damage, or there was negligent or fraudulent non-disclosure of a defect (the fire damage) made latent by the defendant's refusal to permit the plaintiffs' to inspect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It is the plaintiffs' submission that the contractual provisions transferring the risks and obligations under the transaction to them are vitiated by the fraudulent misrepresentation or non-disclosure or alternatively that they are not effective in excluding liability for negligent misrepresentation or disclosure. The plaintiffs rely on Jakubke v. Sussex Group, </w:t>
      </w:r>
      <w:hyperlink r:id="rId1025" w:history="1">
        <w:r>
          <w:rPr>
            <w:rFonts w:ascii="arial" w:eastAsia="arial" w:hAnsi="arial" w:cs="arial"/>
            <w:i/>
            <w:color w:val="0077CC"/>
            <w:sz w:val="20"/>
            <w:u w:val="single"/>
            <w:shd w:val="clear" w:color="auto" w:fill="FFFFFF"/>
            <w:lang w:val="en-US" w:eastAsia="en-US" w:bidi="ar-SA"/>
          </w:rPr>
          <w:t>[1993] B.C.J. No. 1036</w:t>
        </w:r>
      </w:hyperlink>
      <w:r>
        <w:rPr>
          <w:rFonts w:ascii="arial" w:eastAsia="arial" w:hAnsi="arial" w:cs="arial"/>
          <w:color w:val="000000"/>
          <w:sz w:val="20"/>
          <w:lang w:val="en-US" w:eastAsia="en-US" w:bidi="ar-SA"/>
        </w:rPr>
        <w:t xml:space="preserve"> (B.C.S.C.); Kingu v. Walmar Ventures Ltd., </w:t>
      </w:r>
      <w:hyperlink r:id="rId473" w:history="1">
        <w:r>
          <w:rPr>
            <w:rFonts w:ascii="arial" w:eastAsia="arial" w:hAnsi="arial" w:cs="arial"/>
            <w:i/>
            <w:color w:val="0077CC"/>
            <w:sz w:val="20"/>
            <w:u w:val="single"/>
            <w:shd w:val="clear" w:color="auto" w:fill="FFFFFF"/>
            <w:lang w:val="en-US" w:eastAsia="en-US" w:bidi="ar-SA"/>
          </w:rPr>
          <w:t>[1986] B.C.J. No. 597</w:t>
        </w:r>
      </w:hyperlink>
      <w:r>
        <w:rPr>
          <w:rFonts w:ascii="arial" w:eastAsia="arial" w:hAnsi="arial" w:cs="arial"/>
          <w:color w:val="000000"/>
          <w:sz w:val="20"/>
          <w:lang w:val="en-US" w:eastAsia="en-US" w:bidi="ar-SA"/>
        </w:rPr>
        <w:t xml:space="preserve"> (B.C.C.A.); 44601 B.C. Ltd. v. Ashcroft (Village), </w:t>
      </w:r>
      <w:hyperlink r:id="rId1026" w:history="1">
        <w:r>
          <w:rPr>
            <w:rFonts w:ascii="arial" w:eastAsia="arial" w:hAnsi="arial" w:cs="arial"/>
            <w:i/>
            <w:color w:val="0077CC"/>
            <w:sz w:val="20"/>
            <w:u w:val="single"/>
            <w:shd w:val="clear" w:color="auto" w:fill="FFFFFF"/>
            <w:lang w:val="en-US" w:eastAsia="en-US" w:bidi="ar-SA"/>
          </w:rPr>
          <w:t>[1998] B.C.J. No. 1964</w:t>
        </w:r>
      </w:hyperlink>
      <w:r>
        <w:rPr>
          <w:rFonts w:ascii="arial" w:eastAsia="arial" w:hAnsi="arial" w:cs="arial"/>
          <w:color w:val="000000"/>
          <w:sz w:val="20"/>
          <w:lang w:val="en-US" w:eastAsia="en-US" w:bidi="ar-SA"/>
        </w:rPr>
        <w:t xml:space="preserve"> (B.C.S.C.); Jung v. Ip, </w:t>
      </w:r>
      <w:hyperlink r:id="rId1027" w:history="1">
        <w:r>
          <w:rPr>
            <w:rFonts w:ascii="arial" w:eastAsia="arial" w:hAnsi="arial" w:cs="arial"/>
            <w:i/>
            <w:color w:val="0077CC"/>
            <w:sz w:val="20"/>
            <w:u w:val="single"/>
            <w:shd w:val="clear" w:color="auto" w:fill="FFFFFF"/>
            <w:lang w:val="en-US" w:eastAsia="en-US" w:bidi="ar-SA"/>
          </w:rPr>
          <w:t>[1988] O.J. No. 1038</w:t>
        </w:r>
      </w:hyperlink>
      <w:r>
        <w:rPr>
          <w:rFonts w:ascii="arial" w:eastAsia="arial" w:hAnsi="arial" w:cs="arial"/>
          <w:color w:val="000000"/>
          <w:sz w:val="20"/>
          <w:lang w:val="en-US" w:eastAsia="en-US" w:bidi="ar-SA"/>
        </w:rPr>
        <w:t xml:space="preserve"> (Ont. Dst. Ct.); Davis v. Moranis and Smith, </w:t>
      </w:r>
      <w:hyperlink r:id="rId1028" w:history="1">
        <w:r>
          <w:rPr>
            <w:rFonts w:ascii="arial" w:eastAsia="arial" w:hAnsi="arial" w:cs="arial"/>
            <w:i/>
            <w:color w:val="0077CC"/>
            <w:sz w:val="20"/>
            <w:u w:val="single"/>
            <w:shd w:val="clear" w:color="auto" w:fill="FFFFFF"/>
            <w:lang w:val="en-US" w:eastAsia="en-US" w:bidi="ar-SA"/>
          </w:rPr>
          <w:t>[1949] 4 D.L.R. 433</w:t>
        </w:r>
      </w:hyperlink>
      <w:r>
        <w:rPr>
          <w:rFonts w:ascii="arial" w:eastAsia="arial" w:hAnsi="arial" w:cs="arial"/>
          <w:color w:val="000000"/>
          <w:sz w:val="20"/>
          <w:lang w:val="en-US" w:eastAsia="en-US" w:bidi="ar-SA"/>
        </w:rPr>
        <w:t xml:space="preserve"> (Ont. C.A.) and McCluskie v. Reynolds, </w:t>
      </w:r>
      <w:hyperlink r:id="rId1029" w:history="1">
        <w:r>
          <w:rPr>
            <w:rFonts w:ascii="arial" w:eastAsia="arial" w:hAnsi="arial" w:cs="arial"/>
            <w:i/>
            <w:color w:val="0077CC"/>
            <w:sz w:val="20"/>
            <w:u w:val="single"/>
            <w:shd w:val="clear" w:color="auto" w:fill="FFFFFF"/>
            <w:lang w:val="en-US" w:eastAsia="en-US" w:bidi="ar-SA"/>
          </w:rPr>
          <w:t>[1998] B.C.J. No. 1662</w:t>
        </w:r>
      </w:hyperlink>
      <w:r>
        <w:rPr>
          <w:rFonts w:ascii="arial" w:eastAsia="arial" w:hAnsi="arial" w:cs="arial"/>
          <w:color w:val="000000"/>
          <w:sz w:val="20"/>
          <w:lang w:val="en-US" w:eastAsia="en-US" w:bidi="ar-SA"/>
        </w:rPr>
        <w:t xml:space="preserve">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It is clear that contractual terms such as those in the case at bar will not bar a claim for fraudulent misrepresentation or non-disclosure. See Davis v. Moranis, supra, 44601 B.C. Ltd., supra, at para. 61.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It is also clear that pre-contractual representations can give rise to remedies in tort for negligent misrepresentation on the basis of the principle established in Hedley Byrne v. Heller and Partners, [1964] A.C. 465, although whether a duty of care arises depends upon an assessment of the surrounding circumstances including the rights and obligations established by the contract. See Kingu v. Walmar, supra. In Kingu v. Walmar, McLachlin J.A. (as she then was) set forth the requirements of tort liability on the basis of Hedley Byrne at para. 22:</w:t>
      </w:r>
      <w:r>
        <w:rPr>
          <w:rFonts w:ascii="arial" w:eastAsia="arial" w:hAnsi="arial" w:cs="arial"/>
          <w:sz w:val="20"/>
          <w:lang w:val="en-US" w:eastAsia="en-US" w:bidi="ar-SA"/>
        </w:rPr>
        <w:cr/>
      </w:r>
    </w:p>
    <w:p>
      <w:pPr>
        <w:numPr>
          <w:numId w:val="14"/>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false statement negligently made;</w:t>
      </w:r>
    </w:p>
    <w:p>
      <w:pPr>
        <w:numPr>
          <w:numId w:val="14"/>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duty of care on the person making the statement to the recipient. A duty of care does not arise unless:</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person making the statement is possessed of special skill or knowledge on the matter in question, and</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circumstances establish that a reasonable person making that statement would know that the recipient is relying upon his skill or judgment;</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Reasonable reliance on the statement by its recipient;</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suffered as a consequence of the reliance.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The difficulty that arises in attempting to resolve this issue on an application under Rule 18A is the same difficulty identified by the Court of Appeal in Bacchus Agents (1981) Ltd. v. Phillipe Dandurand Wines Ltd. </w:t>
      </w:r>
      <w:hyperlink r:id="rId1030" w:history="1">
        <w:r>
          <w:rPr>
            <w:rFonts w:ascii="arial" w:eastAsia="arial" w:hAnsi="arial" w:cs="arial"/>
            <w:i/>
            <w:color w:val="0077CC"/>
            <w:sz w:val="20"/>
            <w:u w:val="single"/>
            <w:shd w:val="clear" w:color="auto" w:fill="FFFFFF"/>
            <w:lang w:val="en-US" w:eastAsia="en-US" w:bidi="ar-SA"/>
          </w:rPr>
          <w:t>[2002] B.C.J. No. 377</w:t>
        </w:r>
      </w:hyperlink>
      <w:r>
        <w:rPr>
          <w:rFonts w:ascii="arial" w:eastAsia="arial" w:hAnsi="arial" w:cs="arial"/>
          <w:color w:val="000000"/>
          <w:sz w:val="20"/>
          <w:lang w:val="en-US" w:eastAsia="en-US" w:bidi="ar-SA"/>
        </w:rPr>
        <w:t xml:space="preserve"> (B.C.C.A.); and Prevost (Committee of) v. Vetter </w:t>
      </w:r>
      <w:r>
        <w:rPr>
          <w:rFonts w:ascii="arial" w:eastAsia="arial" w:hAnsi="arial" w:cs="arial"/>
          <w:i/>
          <w:color w:val="000000"/>
          <w:sz w:val="20"/>
          <w:lang w:val="en-US" w:eastAsia="en-US" w:bidi="ar-SA"/>
        </w:rPr>
        <w:t>[2002] B.C.J. No. 602</w:t>
      </w:r>
      <w:r>
        <w:rPr>
          <w:rFonts w:ascii="arial" w:eastAsia="arial" w:hAnsi="arial" w:cs="arial"/>
          <w:color w:val="000000"/>
          <w:sz w:val="20"/>
          <w:lang w:val="en-US" w:eastAsia="en-US" w:bidi="ar-SA"/>
        </w:rPr>
        <w:t xml:space="preserve"> (B.C.C.A.).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In the case at bar, the plaintiffs assert liability against their real estate agent, R. Leung,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inter alia, in misrepresenting to them that there had been no fire in the building. It appears from the record before me that R. Leung's defence, at least in part, is that he was told by Joy's realtor, A. Leung, that there had been no fire, or at least no report of a fire with respect to the premises, and that was what R. Leung conveyed to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the present case, I am being asked to make a determination in the absence of evidence admissible on this application but which may well be tendered in admissible form, at a subsequent trial about what the plaintiffs relied on with respect to the existence, absence, or extent of fire damage, and whether their reliance was, in any event, reasonable. A determination on this application that A. Leung made no representation to R. Leung to the effect that there was no fire or no report of a fire and that, in any event, the plaintiffs did not rely on whatever they were told by R. Leung may be at odds with what the subsequent trial judge's determination of the issue is as between the plaintiffs and R. Leung, on a full hearing of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In Prevost v. Vetter, supra, the summary trial judge was being asked to determine whether the defendants owed a duty of care to the plaintiff and whether they breached that duty of care. The summary trial judge was not asked to deal with the issues of causation, assessment of damages or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summary trial judge in that case concluded the defendants did owe a duty of care to the plaintiff and did breach that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On appeal, the defendant's appeal was allowed on the basis that the issues as framed ought not to have been decided under Rule 18 on the grounds set out in sub-rule 18A(8)(b)(i) and 18A(11)(a)(ii). Those sub-rules read as follows:</w:t>
      </w:r>
      <w:r>
        <w:rPr>
          <w:rFonts w:ascii="arial" w:eastAsia="arial" w:hAnsi="arial" w:cs="arial"/>
          <w:sz w:val="20"/>
          <w:lang w:val="en-US" w:eastAsia="en-US" w:bidi="ar-SA"/>
        </w:rPr>
        <w:cr/>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or before the hearing of an application under this rule, the court may</w:t>
      </w:r>
    </w:p>
    <w:p>
      <w:pPr>
        <w:numPr>
          <w:numId w:val="1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adjourn the application, or</w:t>
      </w:r>
    </w:p>
    <w:p>
      <w:pPr>
        <w:numPr>
          <w:numId w:val="1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dismiss the application on the ground that</w:t>
      </w:r>
    </w:p>
    <w:p>
      <w:pPr>
        <w:numPr>
          <w:numId w:val="19"/>
        </w:numPr>
        <w:tabs>
          <w:tab w:val="clear" w:pos="184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issues raised by the notice of motion are not suitable for disposition under this rule, or</w:t>
      </w:r>
    </w:p>
    <w:p>
      <w:pPr>
        <w:numPr>
          <w:numId w:val="20"/>
        </w:numPr>
        <w:tabs>
          <w:tab w:val="clear" w:pos="148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application will not assist the efficient resolution of the proceeding.</w:t>
      </w:r>
    </w:p>
    <w:p>
      <w:pPr>
        <w:numPr>
          <w:numId w:val="21"/>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On the hearing of the application, the court may</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grant judgment in favour of any party, either on an issue or generally, unless</w:t>
      </w:r>
    </w:p>
    <w:p>
      <w:pPr>
        <w:numPr>
          <w:numId w:val="23"/>
        </w:numPr>
        <w:tabs>
          <w:tab w:val="clear" w:pos="148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is unable, on the whole of the evidence before the court on the application, to find the facts necessary to decide the issues of fact or law, or</w:t>
      </w:r>
    </w:p>
    <w:p>
      <w:pPr>
        <w:numPr>
          <w:numId w:val="24"/>
        </w:numPr>
        <w:tabs>
          <w:tab w:val="clear" w:pos="112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is of the opinion that it would be unjust to decide the issues on the application,</w:t>
      </w:r>
    </w:p>
    <w:p>
      <w:pPr>
        <w:numPr>
          <w:numId w:val="2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impose terms respecting enforcement of the judgment, including a stay of execution, as it thinks just, and</w:t>
      </w:r>
    </w:p>
    <w:p>
      <w:pPr>
        <w:numPr>
          <w:numId w:val="2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award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Prevost v. Vetter, supra, Smith J.A., who gave judgment for the Court, said as follows at para. 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view, it was not possible in this case for the summary trial judge to determine the existence of a duty of care, the appropriate standard of care, or a breach of the standard of care without also determining facts that the plaintiffs must establish in order to succeed on the issue of causation. The summary trial judge made such findings of fact and those findings will be embarrassing to the subsequent trial judge, who will be asked by the appellants to make contrary findings on the basis of further and full evidence. The potential for prejudice to the appellants, and to Desiree Vetter if she maintains her defence, is obvious. Moreover, if the subsequent trial judge should come to different conclusions than did the summary trial judge on these important facts, the findings of duty, standard of care, and breach may have to be reconsidered.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defendant Desiree Vetter did not take part in the summary trial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In my view, Smith J.A.'s disposition of the appeal in Prevost v. Vetter has applicability in the case at bar, as to the ground at issue. It is clear that the trial judge at the subsequent trial will be asked on the basis of further and full evidence, to make findings of fact that may be inimical to those I am being asked to make on this more limited application. In the circumstances therefore, I find that resolution of the applications on this issue is not suitable for disposition under Rule 18A(8)(b)(i) and that it would be unjust to decide the issue on these applications under Rule 18A(11)(a)(ii). I therefore decline to give effect to the plaintiffs' or the defendants' application on this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In my opinion, the second ground of Joy's liability which the plaintiffs advanced, that Joy negligently created an agreement limiting the assessment required as a condition precedent of the plaintiffs entering in the contract of purchase and sale, is susceptible to determination under Rule 18A.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It is the plaintiff's submission that the Stage 1 assessment contemplated by the contract was an insufficient investigation to obtain the information necessary to determine whether the environmental contamination to the property was "within acceptable regulatory guidelines", and that by incorporating that term into the contract, Joy negligently mislead the plaintiffs into believing that a Stage 1 assessment was adequate, to their ultimate detriment. In my opinion, the plaintiffs' claim on this basis must fail because there is no evidence that the plaintiffs were placing any reliance on the defendant Joy's insertion of this term in the contract, as it was the same term which the plaintiffs had already inserted in their original offer to purchase the property dated March 17, 1998. Joy, through its solicitors, merely incorporated the plaintiffs' term into the March 31st, 1998 final contract. Whoever the plaintiffs relied on to conclude that a Stage 1 assessment was adequate for their needs, it was not the defendant Joy. I would therefore give effect to Joy's application to dismiss this aspect of the plaintiffs' claim against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third basis advanced by the plaintiff as establishing Joy's liability rests on the latter's failure to comply with a statutory provision - s. 26.1(7) of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It is the plaintiffs' submission that Joy's failure to comply with the mandate of the Act to supply a site profile represents evidence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which caused them loss and damage by failing to alert them to evidence of environmental contamination which would have led them to a more thorough investigation before committing to the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plaintiffs rely on the assertion in the URS report to the effect that a properly completed site profile would have revealed the potential for "environmental impacts" and on Ding's assertion in his affidavit that such a revelation would have "alerted him to the danger of contamination and [he] would not have removed the subject clauses until there was a satisfactory Stage 2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It is further the plaintiffs' position that Joy's liability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survives the terms of the agreement and the plaintiffs' reliance on the Jecth report. In the first place, the plaintiffs submit that whatever duty of care the agreement may affect it does not affect the duty created by the Act to provide a site profile. Secondly, the plaintiffs submit, their reliance on the Jecth report does not gainsay either reliance on Joy's duty to provide cogent information under the Act or loss and damage ensuing from a failure to perform that duty. The plaintiffs submit the Jecth report itself is negligent in failing to identify environmental contamination or the potential for it and hence their reliance on Joy to fulfil its statutory duty and the loss consequent upon its failure is crystallized.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The plaintiffs rely on Canada v. Saskatchewan Wheat Pool, </w:t>
      </w:r>
      <w:hyperlink r:id="rId860" w:history="1">
        <w:r>
          <w:rPr>
            <w:rFonts w:ascii="arial" w:eastAsia="arial" w:hAnsi="arial" w:cs="arial"/>
            <w:i/>
            <w:color w:val="0077CC"/>
            <w:sz w:val="20"/>
            <w:u w:val="single"/>
            <w:shd w:val="clear" w:color="auto" w:fill="FFFFFF"/>
            <w:lang w:val="en-US" w:eastAsia="en-US" w:bidi="ar-SA"/>
          </w:rPr>
          <w:t>[1983] 1 S.C.R. 205</w:t>
        </w:r>
      </w:hyperlink>
      <w:r>
        <w:rPr>
          <w:rFonts w:ascii="arial" w:eastAsia="arial" w:hAnsi="arial" w:cs="arial"/>
          <w:color w:val="000000"/>
          <w:sz w:val="20"/>
          <w:lang w:val="en-US" w:eastAsia="en-US" w:bidi="ar-SA"/>
        </w:rPr>
        <w:t xml:space="preserve">, which established that the civil consequences of a statutory breach are subsumed in the law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evidence of a statutory breach does not establish a separate nominate tort, but is evidence, which when considered in context, or "that is" probative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It is Joy's position, by contrast, that any duty of care that may have arisen from the Act is effectively excluded by terms of the agreement. Joy points to the condition precedent and argues it provides for the acquisition of an environmental site investigation more detailed and thorough than a site profile would be. The defendant also submits the effect of the agreement is to shift the responsibility and hence the risk for environmental investigation and contamination onto the shoulders of the plaintiffs and in that context, no duty of care arises on its part.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The defendant also submits that the evidence fails to demonstrate any loss or damage arising from Joy's omission because the plaintiffs removed the subject clause in reliance on the Jecth report and hence there is no causative nexus between the alleged loss and the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Joy.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In my opinion, the issue of Joy's liability for its failure to provide a site profile to the plaintiffs is not conducive to resolution under Rule 18A. The agreement does not shift or waive Joy's statutory duty under the Act, assuming it is possible to do so. Thus, the questions raised by the plaintiffs' assertion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are all at large: whether Joy's omission fell below the standard of care; whether there is justification for concluding the plaintiffs would have relied on the site profile if provided; what information would have or should have been included in the site profile; and, what loss or damage, if any, ensued from Joy's failure to supply the site profile to the plaintiffs are all questions which need to be addressed to resolve this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In my view, on the basis of the affidavit evidence tendered on these applications, it is not possible to make the necessary findings of fact to determine whether Joy is liable on this footing. Moreover, the plaintiffs take the position that on the issue of whether the plaintiffs suffered loss or damage from Joy's potential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it is or may be necessary to determine whether Jecth was negligent in its investigation and report. Given the agreement of counsel outlined above and given Bacchus, supra, and Prevost v. Vetter, supra, that determination is not available on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Thus, I decline to grant judgment to the plaintiffs or the defendants on this issue and as with the issue respecting the potential liability of Joy arising out of the alleged misrepresentations or non-disclosure of the fire damage, I remit it for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CULLEN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38" style="position:absolute;z-index:25189068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031"/>
          <w:headerReference w:type="default" r:id="rId1032"/>
          <w:footerReference w:type="even" r:id="rId1033"/>
          <w:footerReference w:type="default" r:id="rId1034"/>
          <w:headerReference w:type="first" r:id="rId1035"/>
          <w:footerReference w:type="first" r:id="rId103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37" w:history="1">
        <w:r>
          <w:rPr>
            <w:rFonts w:ascii="arial" w:eastAsia="arial" w:hAnsi="arial" w:cs="arial"/>
            <w:b/>
            <w:bCs/>
            <w:i/>
            <w:color w:val="0077CC"/>
            <w:kern w:val="32"/>
            <w:sz w:val="28"/>
            <w:szCs w:val="32"/>
            <w:u w:val="single"/>
            <w:shd w:val="clear" w:color="auto" w:fill="FFFFFF"/>
            <w:lang w:val="en-US" w:eastAsia="en-US" w:bidi="ar-SA"/>
          </w:rPr>
          <w:t>Eco-Design.ca Architecture + Building Ecology Ltd. v. 265902 B.C. Ltd., [2006] B.C.J. No. 894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Slade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31,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21,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L040159</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[2006] B.C.J. No. 894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2006 BCSC 635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54 C.L.R. (3d) 48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150 A.C.W.S. (3d) 332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2006 CarswellBC 972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Eco-Design.ca Architecture + Building Ecology Ltd., plaintiff, and 265902 B.C. Ltd.,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39" style="position:absolute;z-index:2517022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82" w:name="Keywords_41"/>
      <w:bookmarkEnd w:id="282"/>
      <w:r>
        <w:rPr>
          <w:rFonts w:ascii="arial" w:eastAsia="arial" w:hAnsi="arial" w:cs="arial"/>
          <w:b/>
          <w:color w:val="000000"/>
          <w:sz w:val="20"/>
          <w:lang w:val="en-US" w:eastAsia="en-US" w:bidi="ar-SA"/>
        </w:rPr>
        <w:t xml:space="preserve">Construction law — Architects and engineers — Damages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or misrepresentation — Liens — Amount of lien — Payment of monies into court — Application by Eco-Design for an order for summary judgment in respect of its claim of builders' lien allowed — The numbered company's counterclaim for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negligent misrepresentation, and breach of contract with respect to professional services rendered by Eco-Design was dismissed — Eco-Design had no duty to report to the numbered company generally on the deficiencies of the project — Judgment was ordered against the numbered company in the amount of $13,557 plus pre-judgment interest; a declaration was granted that Eco-Design was entitled to a builder's lien in the same amount against lands owned by the numbered company; and costs were awarded to Eco-Design — British Columbia Rules of Court, Rule 18A, Builders Lien Act, S.B.C. 1997, Ch. 45.</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83" w:name="Case Summary_39"/>
            <w:bookmarkEnd w:id="28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Eco-Design for an order for summary judgment in respect of its claim of builders' lien -- Eco-Design sought a declaration that it was entitled to a claim of builders' lien in the amount of $13,707, an order granting personal judgment against 265902 B.C. Ltd. ("the numbered company") in the same amount, and an order dismissing the numbered company's counterclaim with costs in favour of Eco-Design -- The numbered company had counterclaimed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negligent misrepresentation, and breach of contract with respect to professional services rendered by Eco-Design -- The evidence showed that a report detailing construction deficiencies was prepared for the purpose of supporting the Trustee's application for court approval of the numbered company's offer to purchase -- The issue was whether Eco-Design was bound by a duty of care to advise the numbered company of the construction deficiencies for which the numbered company claimed damages -- HELD: Application allowed -- The matter could appropriately be decided on the motion for summary judgment as the amount involved was modest in relation to the costs of taking the action forward and the resolution of the claim did not raise any complex issues -- Eco-Design had no duty to report to the numbered company generally on the deficiencies of the project -- Eco-Design's accounts as rendered were allowed, with the exception of $150 which reflected the time recorded by a member of Eco-Design in addressing certain difficulties that had arisen in the relationship between Eco-Design and the numbered company -- Judgment was ordered against the numbered company in the amount of $13,557 plus pre-judgment interest; a declaration was granted that Eco-Design was entitled to a builder's lien in the same amount against lands owned by the numbered company; and the numbered company's counterclaim was dismissed with costs to Eco-Design.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84" w:name="Legislation Cited_29"/>
      <w:bookmarkEnd w:id="28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40" style="position:absolute;z-index:2517534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Rules of Court, Rule 18A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Builders Lien Act, </w:t>
      </w:r>
      <w:r>
        <w:rPr>
          <w:rFonts w:ascii="arial" w:eastAsia="arial" w:hAnsi="arial" w:cs="arial"/>
          <w:i/>
          <w:color w:val="000000"/>
          <w:sz w:val="20"/>
          <w:lang w:val="en-US" w:eastAsia="en-US" w:bidi="ar-SA"/>
        </w:rPr>
        <w:t>S.B.C. 1997, Ch. 45</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85" w:name="Counsel_42"/>
      <w:bookmarkEnd w:id="285"/>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41" style="position:absolute;z-index:2518046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S. Davies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C.A. Campbell</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86" w:name="Judgment_41"/>
      <w:bookmarkEnd w:id="286"/>
      <w:r>
        <w:pict>
          <v:line id="_x0000_s1242" style="position:absolute;z-index:251853824"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6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87" w:name="SLADE J."/>
            <w:bookmarkEnd w:id="287"/>
            <w:r>
              <w:rPr>
                <w:rFonts w:ascii="arial" w:eastAsia="arial" w:hAnsi="arial" w:cs="arial"/>
                <w:b/>
                <w:color w:val="000000"/>
                <w:sz w:val="30"/>
                <w:lang w:val="en-US" w:eastAsia="en-US" w:bidi="ar-SA"/>
              </w:rPr>
              <w:t>SLADE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application by the plaintiff, ECO, pursuant to Rule 18A for an Order for summary judgment in respect of its claim of builders' lien.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ECO seeks a declaration that it is entitled to a claim of builders lien, pursuant to the provisions of the </w:t>
      </w:r>
      <w:r>
        <w:rPr>
          <w:rFonts w:ascii="arial" w:eastAsia="arial" w:hAnsi="arial" w:cs="arial"/>
          <w:b/>
          <w:i/>
          <w:color w:val="000000"/>
          <w:sz w:val="20"/>
          <w:lang w:val="en-US" w:eastAsia="en-US" w:bidi="ar-SA"/>
        </w:rPr>
        <w:t>Builders Lien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1997, Ch. 45</w:t>
      </w:r>
      <w:r>
        <w:rPr>
          <w:rFonts w:ascii="arial" w:eastAsia="arial" w:hAnsi="arial" w:cs="arial"/>
          <w:color w:val="000000"/>
          <w:sz w:val="20"/>
          <w:lang w:val="en-US" w:eastAsia="en-US" w:bidi="ar-SA"/>
        </w:rPr>
        <w:t>, in the amount of $13,707.73 against funds that have been paid into court by the defendant to the credit of this action. ECO further seeks an order granting personal judgment against the defendant in the amount of $13,707.73, plus pre-judgment interest, taxable costs and disbursements, to be paid out of the monies held in court as security for ECO's lien claim. ECO also seeks an order dismissing the defendant's counterclaim, with costs in favour of ECO.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defendant does not deny that ECO's claim of builders' lien was properly filed, but counterclaims for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negligent misrepresentation and breach of contract in respect of professional services rendered by ECO to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defendant opposes the relief sought by ECO in the notice of motion, but does not seek judgment on the counterclaim on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DISPOSITION PURSUANT TO RULE 18A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defendant argues that this matter is not appropriate for disposition by summary trial pursuant to Rule 18A.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The purpose of Rule 18A was stated in </w:t>
      </w:r>
      <w:r>
        <w:rPr>
          <w:rFonts w:ascii="arial" w:eastAsia="arial" w:hAnsi="arial" w:cs="arial"/>
          <w:b/>
          <w:i/>
          <w:color w:val="000000"/>
          <w:sz w:val="20"/>
          <w:lang w:val="en-US" w:eastAsia="en-US" w:bidi="ar-SA"/>
        </w:rPr>
        <w:t>Inspiration Management v. McDermid St. Lawrence Ltd.</w:t>
      </w:r>
      <w:r>
        <w:rPr>
          <w:rFonts w:ascii="arial" w:eastAsia="arial" w:hAnsi="arial" w:cs="arial"/>
          <w:color w:val="000000"/>
          <w:sz w:val="20"/>
          <w:lang w:val="en-US" w:eastAsia="en-US" w:bidi="ar-SA"/>
        </w:rPr>
        <w:t xml:space="preserve"> </w:t>
      </w:r>
      <w:hyperlink r:id="rId1038" w:history="1">
        <w:r>
          <w:rPr>
            <w:rFonts w:ascii="arial" w:eastAsia="arial" w:hAnsi="arial" w:cs="arial"/>
            <w:i/>
            <w:color w:val="0077CC"/>
            <w:sz w:val="20"/>
            <w:u w:val="single"/>
            <w:shd w:val="clear" w:color="auto" w:fill="FFFFFF"/>
            <w:lang w:val="en-US" w:eastAsia="en-US" w:bidi="ar-SA"/>
          </w:rPr>
          <w:t>(1989), 36 B.C.L.R. (2d) 202</w:t>
        </w:r>
      </w:hyperlink>
      <w:r>
        <w:rPr>
          <w:rFonts w:ascii="arial" w:eastAsia="arial" w:hAnsi="arial" w:cs="arial"/>
          <w:color w:val="000000"/>
          <w:sz w:val="20"/>
          <w:lang w:val="en-US" w:eastAsia="en-US" w:bidi="ar-SA"/>
        </w:rPr>
        <w:t xml:space="preserve"> (C.A.) at [paragraph] 38 to be: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to expedite the early resolution of many cases by authorizing a judge in chambers to give judgment in any case where he can decide disputed questions of fact on affidavits or by any other proceedings authorized by R. 18A(5) unless it would be unjust to decide the issues in such away.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McEachern C.J. went on to say at [paragraph] 48: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deciding whether it will be unjust to give judgment the chambers judge is entitled to consider,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the amount involved, the complexity of the matter, its urgency, any prejudice likely to arise by reason of delay, the cost of taking the case forward to a conventional trial in relation to the amount involved, the course of the proceedings and any other matters which arise for consideration on this important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Here, the amount claimed by the plaintiff is not substantial. To the extent that the statement of defence and counterclaim particularizes and quantifies the defendant's damages claim, it amounts to approximately $41,000.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amount involved is, in my assessment, modest in relation to the cost of taking the matter forward to a conventional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resolution of the claim of the plaintiff raises no complex issues. A determination on the counterclaim may raise issues of some complexity, though not great. The availability of the relief sought in the counterclaim turns on a threshold issue that is not complex. This is the question whether the plaintiff was bound by a duty of care to advise the defendant of the construction deficiencies for which the defendant claims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There is a conflict between the affidavit evidence of Briam Palmquist, a principal of the plaintiff, and John Dyck, a principal of the defendant, going to the threshold issue. However, it is possible on the evidence before me to resolve the conflict, and it would not be unjust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 conclude that the matter is appropriate for disposition pursuant to Rule 18A.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PLAINTIFF'S MONETARY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plaintiff's claim is for payment pursuant to agreements entered with the defendant in January 2003 and March 2003. The first contract was for the provision of professional services related to building code compliance. The second contract was for services related to the building envelope. Both were in relation to an improvement being constructed on the defendant's lands.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work undertaken by the plaintiff pursuant to these contracts was to be billed on an hourly fee basis. The defendant says that the plaintiff has not met the burden of proof, in relation to a portion of its claim, to establish the time that was spent in providing the contract services. The defendant also says that some of the time spent and billed for was not time spent on contract services. This latter concern has to do with:</w:t>
      </w:r>
      <w:r>
        <w:rPr>
          <w:rFonts w:ascii="arial" w:eastAsia="arial" w:hAnsi="arial" w:cs="arial"/>
          <w:sz w:val="20"/>
          <w:lang w:val="en-US" w:eastAsia="en-US" w:bidi="ar-SA"/>
        </w:rPr>
        <w:cr/>
      </w:r>
    </w:p>
    <w:p>
      <w:pPr>
        <w:numPr>
          <w:numId w:val="29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time spent on discussions by members of the plaintiff architectural firm in discussing problems that had developed in the relationship with the defendant;</w:t>
      </w:r>
    </w:p>
    <w:p>
      <w:pPr>
        <w:numPr>
          <w:numId w:val="29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time spent by the plaintiff, upon the defendant's termination of its services, in notifying the municipality and others that its services had been terminated.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 am satisfied, based on the timesheets in evidence, and the evidence of Brian Palmquist, that, with one exception, the accounts as rendered for both contracts properly reflect the services provided, and support the claimed fees. The exception is the time recorded by a member of ECO in addressing certain difficulties that had arisen in the relationship between ECO and the defendant in the course of the delivery of professional services. I would reduce the claim by $150 to reflect the time expended on internal discussion of relationship problems with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As for the time spent in the delivery of termination notice, the defendant says that the plaintiff has not proven that the issuance of such notices is within the scope of the services provided under the contracts.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defendant read in portions of the examination for discovery of Brian Palmquist. Some of those questions and answers, and in particular questions 65, 66, and 384 bear on the obligations of an architect to the municipality that issued the building permit. If an architect performing code compliance services has professional obligations to the municipality in relation to the certification of building code compliance, and it appears on the discovery evidence read in by the defendant that they do, the architect would naturally be obliged to notify the municipality and other interested persons that he is no longer associated with the project. This, I find, is within the scope of the plaintiff's contract services, and is properly billable.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COUNTERCLAIM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counterclaim alleges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contract on the part of the plaintiff. It is alleged that the defendant requested that the plaintiff report "as to the status of the Property and in particular with respect to deficiencies whether arising from improper construction or from exposure to the elements". It is further alleged that the plaintiff knew that the defendant would rely on the report in deciding whether or not to purchase the property and in determining the price it would pay. The defendant says that the plaintiff's report of December 13, 2002, while pointing out certain deficiencies, failed to set out certain additional deficiencies. It is in relation to the additional deficiencies that the defendant incurred expenses and claims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his affidavits, John Dyck sets out a brief history of the project. He says that it consists of a fifty unit strata title mixed use residential/commercial project. The first mortgagee took foreclosure action, and a trustee in bankruptcy for the project owner was appointed. The project was shut down and placed under twenty-four-hour security. Mr. Dyck further deposes: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Approximately 7 months later, I contacted Brian Palmquist ("Palmquist") of Eco-Design.ca Architecture &amp; Building Ecology Ltd. ("Eco-Design"), who was the Certified Professional ("CP") for the Kingsway Project, to seek his professional opinion as to whether the Kingsway Project could be salvaged and to provide a detailed report, to include the worst case scenario, of problems, deficiencies and defects in the Kingsway Project as it stood at the time.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advised him that this information was required in order to prepare a suitable offer by Parklane or a related company to purchase the Kingsway Project from the Trustee. Palmquist advised me that he could not foresee any problem with the transferring of the building permits issued by the city of Vancouver as they were issued to him as the CP. Palmquist further advised that although he was familiar with the construction of the Kingsway Project, he would have to conduct an on-site inspection to determine its present condition, prior to rendering his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a responding affidavit, Mr. Palmquist deposes: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first dealing with the president of the Defendant numbered company, Mr. John Dyck, was in mid-December 2002. Mr. Dyck requested that I identify significant areas of concern that existed at the construction project at 2955 - 2973 Kingsway, Vancouver, B.C. (the "Project"), which would assist Mr. Dyck in convincing the Court that title of the property should be transferred to the Defendant numbered company on an urgent basis.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Shortly after this request, I met with Mr. Dyck and the builder, Joeseph Lepur of T.M.C. Development Inc., at the Project site and the three of us performed a brief walk-through of the Project. The purpose of this walk-through was to identify the significant areas of concern with the state of construction of the Project in order to assist Mr. Dyck in obtaining Court approval of the transfer of title to the Defendant company. I then wrote a letter to Mr. Dyck (Exhibit "A" of Affidavit #1 of John Dyck) summarizing the significant areas of concern that had been identified during the course of my brief walk-through of the Project.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the time of his request, Mr. Dyck advised me that the sole purpose of my review of the Project was to assist him in obtaining Court approval of the transfer of title to the property, which was being held by the Trustee in Bankruptcy, to the Defendant company.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no time did Mr. Dyck advise me, nor did I have any reason to believe, that he would be relying on the information that I provided to him to prepare an offer to purchase the Project, nor that he would be relying on the information to determine all of the potential problems, deficiencies and defects in the Project. In fact, it was my understanding that, at the time of Mr. Dyck's request, he had already formulated an offer and simply wanted my assistance in convincing the Court that a speedy transfer of title was desirable.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plaintiff also relies on the affidavit of Joso Lapur. He was the builder for the project under the previous owner, and was hired by the defendant to continue acting as the builder. He deposes: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about December 11, 2002, I attended at the Project for an on-site meeting with John Dyck, the president of the Defendant company and Brian Palmquist of ECO-Design.ca Architecture + Building Ecology Ltd.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was present for discussions between Mr. Dyck and Mr. Palmquist which took place at the on-site meeting of December 11, 2002. Specifically, as I recall, Mr. Dyck wanted to know from mr. Palmquist whether he would e prepared to return and work for Mr. Dyck on the project. There were general discussions about he project and its state of completion. I do not believe there were discussions that day about specific defects or deficiencies on the project, though they may have occurred. My understanding was that by the time of this meeting, Mr. Dyck had already formulated an offer that he was prepared to present for acquisition of the Project, but he still needed Trustee and Court approval of the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On December 13, 2002, the plaintiff wrote to the defendant. He raised several concerns about the state of the project. He said, in closing that "[t]he project is salvageable at this point, but I am concerned on your behalf that protracted delay in restarting construction may make the construction untenable".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his affidavit, Mr. Dyck further deposed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December 19, 2002, 265902 made an offer to the Trustee to purchase the Kingsway Project, which offer was subject to all lien holders claims and their acceptance of a settlement proposal. It was further subject to the approval of the Court. The offer was subsequently accepted and approved by the Court and the purchase and transfer of the Kingsway Project took place on January 24,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affidavit material on this application includes a copy of the application by the Trustee for court approval of the defendant's offer to purchase the project. The affidavit in support of the application was sworn on December 19, 2002. The deponent says that the project was abandoned on or about May 31, 2002, at approximately 30%-35% complete. Concerns over ongoing deterioration of the project due to its exposure to the weather, and concerns over the imminent difficulty in obtaining insurance on the project are set out. A letter from the defendant's solicitors dated December 19, 2002 is an exhibit to that affidavit. This letter sets out the terms of the defendant's offer to purchase the project. It refers to the terms set out in a letter dated October 23, 2002. The latter letter contains an offer of $85,000 for the project, which is the same amount offered by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evidence on this application reveals a sequence and series of events that is entirely consistent with Mr. Palmquist's evidence of the role he assumed when asked by the defendant to provide a report on the state of the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version offered by John Dyck is implausible. It cannot be seriously contended that Mr. Palmquist would accept an assignment that carried the responsibilities as stated by Mr. Dyck. Mr. Palmquist had not been associated with the project for a considerable time, the project had been shut down and exposed in its incomplete state to the elements for seven months. The expected response time for the report, which was to be based on a walk-through of the project, was several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 accept Mr. Palmquist's version of his role in preparing the December 13, 2002 report. On this basis, he owed no duty to the defendant to report generally on project deficiencies. His role was limited to providing the defendant with a letter that would support the application by the Trustee for court approval of his offer to purchase.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As for the claim in contract, the alleged breaches could not be adjudicated on without evidence of the applicable standard of care. All are matters beyond the experience and knowledge of a lay person. The defendant introduced no evidence of the applicable standard of care. Moreover, to the extent that there is evidence going to the substance of the defendant's complaints (comprised mainly of read-ins from the examination for discovery of Mr. Palmquist), it appears that Mr. Palmquist was acting in accordance with his professional responsibilities.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DISPOSITION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 order the following:</w:t>
      </w:r>
      <w:r>
        <w:rPr>
          <w:rFonts w:ascii="arial" w:eastAsia="arial" w:hAnsi="arial" w:cs="arial"/>
          <w:sz w:val="20"/>
          <w:lang w:val="en-US" w:eastAsia="en-US" w:bidi="ar-SA"/>
        </w:rPr>
        <w:cr/>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judgment against the defendant in the amount of $13,557.73, plus pre-judgment interest to and including the date of judgment;</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declaration that the plaintiff is entitled to a builders lien pursuant to the </w:t>
      </w:r>
      <w:r>
        <w:rPr>
          <w:rFonts w:ascii="arial" w:eastAsia="arial" w:hAnsi="arial" w:cs="arial"/>
          <w:b/>
          <w:i/>
          <w:color w:val="000000"/>
          <w:sz w:val="20"/>
          <w:lang w:val="en-US" w:eastAsia="en-US" w:bidi="ar-SA"/>
        </w:rPr>
        <w:t>Builders Lien Act</w:t>
      </w:r>
      <w:r>
        <w:rPr>
          <w:rFonts w:ascii="arial" w:eastAsia="arial" w:hAnsi="arial" w:cs="arial"/>
          <w:color w:val="000000"/>
          <w:sz w:val="20"/>
          <w:lang w:val="en-US" w:eastAsia="en-US" w:bidi="ar-SA"/>
        </w:rPr>
        <w:t>in the amount of $13,557.73 against the lands owned by the defendant and legally described above;</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against the defendant that certain monies paid into the Supreme Court of British Columbia, New Westminster Registry No. S84266, pursuant to the order of Master Tokarek made on February 10, 2004, as security for the plaintiff's claim and costs stand charged with the judgment to the extent of said sum of $13,557.73 and costs;</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for payment out of Court of the said sum of $13,557.73 and costs to the credit of the plaintiff by way of payment to its solicitors, Harper Grey LLP, in trust; and</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counterclaim is dismissed;</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awarded its costs at Scale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SLADE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43" style="position:absolute;z-index:2518917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39"/>
          <w:headerReference w:type="default" r:id="rId1040"/>
          <w:footerReference w:type="even" r:id="rId1041"/>
          <w:footerReference w:type="default" r:id="rId1042"/>
          <w:headerReference w:type="first" r:id="rId1043"/>
          <w:footerReference w:type="first" r:id="rId104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1045" w:history="1">
        <w:r>
          <w:rPr>
            <w:rFonts w:ascii="arial" w:eastAsia="arial" w:hAnsi="arial" w:cs="arial"/>
            <w:b/>
            <w:bCs/>
            <w:i/>
            <w:color w:val="0077CC"/>
            <w:kern w:val="32"/>
            <w:sz w:val="28"/>
            <w:szCs w:val="32"/>
            <w:u w:val="single"/>
            <w:shd w:val="clear" w:color="auto" w:fill="FFFFFF"/>
            <w:lang w:val="en-US" w:eastAsia="en-US" w:bidi="ar-SA"/>
          </w:rPr>
          <w:t>Edwards (Guardian ad litem of) v. Tung, [2002] B.C.J. No. 2052</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Morrison J.</w:t>
      </w:r>
    </w:p>
    <w:p>
      <w:pPr>
        <w:spacing w:before="120" w:line="260" w:lineRule="atLeast"/>
        <w:jc w:val="center"/>
        <w:rPr>
          <w:lang w:val="en-US" w:eastAsia="en-US" w:bidi="ar-SA"/>
        </w:rPr>
      </w:pPr>
      <w:r>
        <w:rPr>
          <w:rFonts w:ascii="arial" w:eastAsia="arial" w:hAnsi="arial" w:cs="arial"/>
          <w:color w:val="000000"/>
          <w:sz w:val="20"/>
          <w:lang w:val="en-US" w:eastAsia="en-US" w:bidi="ar-SA"/>
        </w:rPr>
        <w:t>Heard: July 2 - 5, 8 - 12, 15 and 16, 2002.</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September 11, 2002.</w:t>
      </w:r>
    </w:p>
    <w:p>
      <w:pPr>
        <w:spacing w:before="120" w:line="260" w:lineRule="atLeast"/>
        <w:jc w:val="center"/>
        <w:rPr>
          <w:lang w:val="en-US" w:eastAsia="en-US" w:bidi="ar-SA"/>
        </w:rPr>
      </w:pPr>
      <w:r>
        <w:rPr>
          <w:rFonts w:ascii="arial" w:eastAsia="arial" w:hAnsi="arial" w:cs="arial"/>
          <w:color w:val="000000"/>
          <w:sz w:val="20"/>
          <w:lang w:val="en-US" w:eastAsia="en-US" w:bidi="ar-SA"/>
        </w:rPr>
        <w:t>Vancouver Registry No. C975523</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[2002] B.C.J. No. 2052</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2002 BCSC 1320</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116 A.C.W.S. (3d) 457</w:t>
      </w:r>
    </w:p>
    <w:p>
      <w:pPr>
        <w:spacing w:before="120" w:line="260" w:lineRule="atLeast"/>
        <w:rPr>
          <w:lang w:val="en-US" w:eastAsia="en-US" w:bidi="ar-SA"/>
        </w:rPr>
      </w:pPr>
      <w:r>
        <w:rPr>
          <w:rFonts w:ascii="arial" w:eastAsia="arial" w:hAnsi="arial" w:cs="arial"/>
          <w:color w:val="000000"/>
          <w:sz w:val="20"/>
          <w:lang w:val="en-US" w:eastAsia="en-US" w:bidi="ar-SA"/>
        </w:rPr>
        <w:t>Between Anthony Robert Edwards, by his Guardian ad litem, Elizabeth Edwards, plaintiff, and Dr. Khim Tung, Dr. John T. Hills, Dr. Michael M. Moran and G.R. Baker Memorial Hospital,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(80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244" style="position:absolute;z-index:251703296"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288" w:name="Keywords_42"/>
      <w:bookmarkEnd w:id="288"/>
      <w:r>
        <w:rPr>
          <w:rFonts w:ascii="arial" w:eastAsia="arial" w:hAnsi="arial" w:cs="arial"/>
          <w:b/>
          <w:color w:val="000000"/>
          <w:sz w:val="20"/>
          <w:lang w:val="en-US" w:eastAsia="en-US" w:bidi="ar-SA"/>
        </w:rPr>
        <w:t xml:space="preserve">Medicine — Liability of practitioners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or fault — Standard of care — Orthopedic surgeons.</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289" w:name="Case Summary_40"/>
            <w:bookmarkEnd w:id="289"/>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Action by the patient, Edwards, against the doctor, Moran, for damages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Edwards went to Moran in relation to pain that he was having in his hip. Moran diagnosed that Edwards had suffered a slipped capital femoral epiphysis. Moran concluded that the slip had occurred some time earlier and had not progressed but seemed to be closing appropriately. He did not recommend any surgical intervention. Several months later, Edwards saw another physician, who found that his condition had progressed significantly and he required immediate surgery. </w:t>
            </w:r>
            <w:r>
              <w:rPr>
                <w:lang w:val="en-US" w:eastAsia="en-US" w:bidi="ar-SA"/>
              </w:rPr>
              <w:cr/>
            </w:r>
          </w:p>
          <w:p>
            <w:pPr>
              <w:spacing w:before="120" w:line="260" w:lineRule="atLeast"/>
              <w:ind w:left="240"/>
              <w:jc w:val="both"/>
              <w:rPr>
                <w:lang w:val="en-US" w:eastAsia="en-US" w:bidi="ar-SA"/>
              </w:rPr>
            </w:pPr>
            <w:bookmarkStart w:id="290" w:name="Holdings of Court_35"/>
            <w:bookmarkEnd w:id="290"/>
            <w:r>
              <w:rPr>
                <w:rFonts w:ascii="arial" w:eastAsia="arial" w:hAnsi="arial" w:cs="arial"/>
                <w:color w:val="000000"/>
                <w:sz w:val="20"/>
                <w:lang w:val="en-US" w:eastAsia="en-US" w:bidi="ar-SA"/>
              </w:rPr>
              <w:t>HELD: Action dismissed.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At the time that Edwards saw Moran, his condition was not such that surgery was required. His condition deteriorated quickly over the following months, but Moran met the standard of care of a competent orthopaedic surgeon at the time Edwards was in his care. </w:t>
            </w:r>
            <w:r>
              <w:rPr>
                <w:lang w:val="en-US" w:eastAsia="en-US" w:bidi="ar-SA"/>
              </w:rPr>
              <w:cr/>
            </w:r>
          </w:p>
          <w:p>
            <w:pPr>
              <w:rPr>
                <w:lang w:val="en-US" w:eastAsia="en-US" w:bidi="ar-SA"/>
              </w:rPr>
            </w:pPr>
          </w:p>
        </w:tc>
      </w:tr>
    </w:tbl>
    <w:p>
      <w:pPr>
        <w:jc w:val="both"/>
        <w:rPr>
          <w:lang w:val="en-US" w:eastAsia="en-US" w:bidi="ar-SA"/>
        </w:rPr>
      </w:pPr>
      <w:bookmarkStart w:id="291" w:name="Counsel_43"/>
      <w:bookmarkEnd w:id="291"/>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245" style="position:absolute;z-index:251754496"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Faith E. Hayman, for the plaintiff. Raj Samtani and Michael G. Thomas, for the defendant, Dr. Michael M. Moran.</w:t>
      </w:r>
      <w:r>
        <w:rPr>
          <w:lang w:val="en-US" w:eastAsia="en-US" w:bidi="ar-SA"/>
        </w:rPr>
        <w:cr/>
      </w:r>
    </w:p>
    <w:p>
      <w:pPr>
        <w:spacing w:after="240"/>
        <w:rPr>
          <w:lang w:val="en-US" w:eastAsia="en-US" w:bidi="ar-SA"/>
        </w:rPr>
      </w:pPr>
      <w:bookmarkStart w:id="292" w:name="Judgment_42"/>
      <w:bookmarkEnd w:id="292"/>
      <w:r>
        <w:pict>
          <v:line id="_x0000_s1246" style="position:absolute;z-index:251805696"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293" w:name="MORRISON J."/>
            <w:bookmarkEnd w:id="293"/>
            <w:r>
              <w:rPr>
                <w:rFonts w:ascii="arial" w:eastAsia="arial" w:hAnsi="arial" w:cs="arial"/>
                <w:b/>
                <w:color w:val="000000"/>
                <w:sz w:val="30"/>
                <w:lang w:val="en-US" w:eastAsia="en-US" w:bidi="ar-SA"/>
              </w:rPr>
              <w:t>MORRISON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plaintiff, Anthony (Tony) Edwards is a 25 year old man who has had ongoing problems with his left hip. This is a medical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against the defendant, Dr. Michael M. Moran. No other defendants remain involved in the action.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Dr. Moran is a community orthopaedic surgeon in Prince George, and saw the plaintiff on one occasion, June 22, 1995, at his office in Prince George when Tony was 18. This trial took place over eleven days. Twenty witnesses were called, including five orthopaedic surgeons, in addition to the defendant, Dr. Moran.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medical condition involved is a slipped capital femoral epiphysis, sometimes referred to as a "slip". The area of concern is where the femur joins the hip. An epiphysis is a structure or bone forming centre at the end of, in this instance, the femur, present only during the growing years. A slipped capital femoral epiphysis is a condition where movement has occurred through the area at the top of the femur, through the epiphyseal plate. With a slip, there is usually a great deal of pain.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This condition typically occurs in a young teenage boy, often between the ages of 12 and 15, and often overweight. The accompanying significant pain in the hip usually results in a limp.</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When a slip occurs, the epiphyseal plate appears open on an x-ray, rather than closed. An acute slip is generally treated within the first three weeks, often within a day or two of being diagnosed. A pin is inserted into the hip to hold the joint stable and encourage the epiphyseal plate to close, preventing further slippage. A chronic slip is one that manifests itself over a longer period of time.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The plaintiff seeks damages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Dr. Moran, claiming that Dr. Moran failed to meet the required standard of care of a community orthopaedic surgeon. More particularly, that Dr. Moran failed in his assessment and treatment of the plaintiff's condition of a slipped capital femoral epiphysis, and failed in his communications with the plaintiff, the plaintiff's mother and the plaintiff's family doctor, Dr. Tung, concerning the risk of a further slippage. The plaintiff claims that by failing to pin the slip on or shortly after the June 22, 1995 consultation, and/or failing to warn the plaintiff or his mother of the risk of further slippage, Dr. Moran exposed the plaintiff to further risk; and that when the slip was eventually pinned by Dr. Woodruff on August 21, 1995, the degree of slippage had increased significantly, and so have the long-term complications arising from the slip.</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THE PLAINTIFF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 is a tall and very thin young man. He had a number of problems during his young years, including Attention Deficit Hyperactivity Disorder, a learning disability, and periodic problems of controlling his anger and social skills. He was not very successful in school, and his mother removed him from school when he was in Grade 8 at the age of 15. He was not progressing in his education, and he was being bullied by other children.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At the age of 16, Tony moved out of his family home and was on Social Assistance. He had had anger problems in the home, particularly with his siblings, and he then experienced difficulties living with foster families. He was unable to live on his own, and his mother had to assist him with his daily living.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Tony had problems staying focused on his schoolwork or on work as he became older. He is unable to work without supervision. He has demonstrated a better ability to work with his hands, doing physical work, rather than mental work. For a time, he worked with his stepfather in electrical and later insulation work. The plaintiff has shown an ability to work with children, whom he enjoys, and he has trained as a clown, work he enjoys in spite of it being not very remunerative.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the fall of 1993, the plaintiff fell from a cliff and fractured his right leg. It was after this period that he began to experience some pain in his left hip.</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1995, when Tony was approximately 18, he was involved in a program for mentally handicapped youths, to acquire assistance in learning skills of daily living and also finding employment. It was during that time that he began to experience more serious problems with his left hip.</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Tony does not smoke or drink, although he admits to fairly regular use of marijuana. He has been living for the past three years with Megan Wright, and it is apparent that this has been a very good relationship for Tony. His motivation has increased as far as improving his daily living skills and his desire to find permanent work. His mother is delighted in the change that she sees in him. While Megan works on a full time basis, Tony does much of the housework, some cooking, and tries with limited success to stay employed. He has stopped his substance abuse, with the exception of his use of marijuana, which he claims alleviates the pain in his hip.</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At trial, he appeared as a tall, slender, outgoing young man, completely without guile. He admits to a very poor memory, and indeed that was demonstrated in a number of his answers. He impressed me as an extremely likeable and credible young man, but someone who has a great deal of difficulty learning, and staying focused. It would appear that he is unable to do more than one task at a time. Megan leaves him a list of chores to do each morning, such as do the dishes, take out the garbage, water the grass, etcetera. He is able to do those tasks on most days, unless his hip pain interferes.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THE PLAINTIFF'S MEDICAL HISTORY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It was in December 1993 in the tobogganing accident that Tony had fallen down a cliff and broken his right leg. That was pinned and healed ultimately without complication. The pin was eventually removed sometime later.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According to Tony's mother, she assumed responsibility for Tony's medical condition even when Tony was living on his own or with foster parents. She would go with him when he went to see a doctor, because she said that Tony could not comprehend what the doctor was saying. However, from the evidence, it was apparent that Tony went on several occasions to see various doctors on his own on later occasions.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Dealing only with his medical history as it pertains to the problems with his left hip, on March 9, 1995, Tony attended at Dr. Khim Tung's office in Quesnel, complaining of pain in his left hip. An x-ray was ordered by Dr. Tung, and she noted his height at 6 feet 4 inches and that he was "fairly skinny".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On March 16, 1995, an x-ray was taken of Tony's left hip. At that time, Dr. Hills in his radiology report wrote that "the lesion is felt most likely to represent a chondroblastoma." A bone scan was recommended, and performed at the Prince George Regional Hospital on April 5, 1995. The radiologist's report stated that he was unsure as to the reason "for increased activity within the right femoral head and epiphyseal region, other than on a basis of normal uptake within an epiphysis." It further stated, "plain film studies performed of the left hip in Quesnel does demonstrate a slip of the left femoral Epiphysis which would account for the bone scan findings."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Dr. Tung ordered a second set of x-rays and those were taken on April 18, 1995. The radiology report at that time indicated a comparison with the x-rays of March 16, 1995. It stated: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There is no suggestion of a lucency in the femoral capital epiphysis. The lucency suspected on the previous examination is therefore presumed to be due to overlying shadows. The relationship of the femoral capital epiphysis to the neck of the femur is compatible with a previous mild degree of medial slippage of the femoral capital epiphysis. There is nothing to suggest a recent slip.</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Because of the early concern of chondroblastoma, Dr. Tung had made a referral to the B.C. Cancer Agency, and on April 24, 1995, a report came back from the Cancer Agency ruling out cancer.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Dr. Tung's notes of April 18, 1995, revealed she was sending the x-rays to the Cancer Agency first, and once chondroblastoma was excluded, she indicated a referral to an orthopaedic specialist.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That referral from Dr. Tung was made to Dr. Moran on May 2, 1995. The referral was brief and it stated as follows: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Further to our conversation regarding this 18-year old boy, I would be grateful if you could see him regarding his slipped (old) femoral capital epiphysis. I am enclosing his x-ray reports, the x-rays are being send under separate cover. A chondroblastoma has definitely been excluded. He still complains of pain in his left hip although he has a good range of movement in all directions in his left hip. His hernia orifices are intact and his abdomen is soft.</w:t>
      </w:r>
    </w:p>
    <w:p>
      <w:pPr>
        <w:spacing w:before="120" w:line="260" w:lineRule="atLeast"/>
        <w:ind w:left="720"/>
        <w:rPr>
          <w:lang w:val="en-US" w:eastAsia="en-US" w:bidi="ar-SA"/>
        </w:rPr>
      </w:pPr>
      <w:r>
        <w:rPr>
          <w:rFonts w:ascii="arial" w:eastAsia="arial" w:hAnsi="arial" w:cs="arial"/>
          <w:color w:val="000000"/>
          <w:sz w:val="20"/>
          <w:lang w:val="en-US" w:eastAsia="en-US" w:bidi="ar-SA"/>
        </w:rPr>
        <w:t>Please, can you advise on further management of this problem.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An appointment was made for Tony to see Dr. Moran on June 22, 1995, at which time Tony attended with his mother. Upon examining Tony, Dr. Moran ordered further x-rays that day of his pelvis and left hip.</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That same date, June 22, 1995, Dr. Moran wrote Dr. Tung a two-page consult report which stated, in part:</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X-ray examination shows a left slipped capital femoral epiphysis. There is a suggestion there may have been some progression between March 1995 and April 1995, although this is minimal. X-rays done today show no evidence of that progression. X-rays show the epiphyseal to be closing, there is no evidence of a loose body within the joint. X-rays of the right femur show the IM nail in good position. . . .</w:t>
      </w:r>
    </w:p>
    <w:p>
      <w:pPr>
        <w:spacing w:before="120" w:line="260" w:lineRule="atLeast"/>
        <w:ind w:left="720"/>
        <w:rPr>
          <w:lang w:val="en-US" w:eastAsia="en-US" w:bidi="ar-SA"/>
        </w:rPr>
      </w:pPr>
      <w:r>
        <w:rPr>
          <w:rFonts w:ascii="arial" w:eastAsia="arial" w:hAnsi="arial" w:cs="arial"/>
          <w:color w:val="000000"/>
          <w:sz w:val="20"/>
          <w:lang w:val="en-US" w:eastAsia="en-US" w:bidi="ar-SA"/>
        </w:rPr>
        <w:t>It is a little unclear as to the cause of Anthony's left hip pain. I think this is mainly due to the slipped capital femoral epiphysis. The slip is not progressing and the epiphyseal plate is now closing so operative intervention is not necessary. I think his pain is probably due to restriction in his range of motion due to the slip. He is likely reaching the extremes of his range of motion in certain positions and this is causing him some bother. His pain is obviously not great and is not really restricting his activities. . .</w:t>
      </w:r>
    </w:p>
    <w:p>
      <w:pPr>
        <w:spacing w:before="120" w:line="260" w:lineRule="atLeast"/>
        <w:ind w:left="720"/>
        <w:rPr>
          <w:lang w:val="en-US" w:eastAsia="en-US" w:bidi="ar-SA"/>
        </w:rPr>
      </w:pPr>
      <w:r>
        <w:rPr>
          <w:rFonts w:ascii="arial" w:eastAsia="arial" w:hAnsi="arial" w:cs="arial"/>
          <w:color w:val="000000"/>
          <w:sz w:val="20"/>
          <w:lang w:val="en-US" w:eastAsia="en-US" w:bidi="ar-SA"/>
        </w:rPr>
        <w:t>I have not arranged to see him again with regard to his left hip. I would be happy to do so if he has any further problems.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On June 29, 1995, Tony saw Dr. Tung for an unrelated matter, when he passed out while standing in a queue and bumped his head. But on July 19, 1995, her notes indicated that Tony had seen Dr. Moran and that Tony now requested a second opinion with regard to his left hip. Notes indicate decreased flexion, and there would be a referral to Dr. Tredwell. It was around this time that Tony moved with his family to Nanaimo, and Dr. Tung sent her files on to Nanaimo on July 26, 1995.</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Tony was unable to see Dr. Tredwell, but once he was in Nanaimo, he saw Dr. Brian Woodruff, an orthopaedic surgeon, on August 19, 1995. Dr. Woodruff's report reveals that Tony came in with a two-month history of pain in his left hip, and that for the last six weeks he had been using crutches. He also noted that the left leg was shorter than the right.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Tony had had x-rays taken on August 4, 1995, and those x-rays were brought to Dr. Woodruff, who noted that the x-rays showed a grade III slip of the capital femoral epiphysis. Dr. Woodruff's report stated: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I felt that despite the severity of the slip that it should be treated surgically to prevent further slip and this was done August 21, 1995.</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At that time, Tony's left hip was pinned.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Evidence indicated that earlier, on July 20, 1995, during a dispute with his brother, Tony had fallen on the lawn and hurt his left hip.</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There is no question that Tony still has significant pain in his left hip. At the time he saw Dr. Moran on June 22, 1995, in Prince George, it was a grade I slip, and by the time he had surgery in Nanaimo, it had progressed to a grade III slip. Generally, the greater the degree of slip, the greater pain experienced.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position of the plaintiff is that Dr. Moran should have pinned Tony's hip on or shortly after June 22, 1995, to prevent further slippage. Even if he had not pinned the slip, Dr. Moran should have given an adequate warning of the risk of further slippage to Tony and his mother, as well as to Dr. Tung; that there was no sense of urgency given by Dr. Moran.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Before the serious problems with the left hip, Tony was very active in outdoor sports, including skating, skate-boarding, cycling, roller-blading, hiking and camping. At the present time, he can still cycle for some periods of time, but he has problems if he has to stand, sit or walk for any extended period of time. There are significant limitations on his activities because of the pain and the restriction of movement in his left hip. His pain is made worse by weight-bearing or any serious physical activity.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There is a possibility of future surgery to his left hip, either by way of a fusion or replacement, along with degenerative changes. Counsel for the plaintiff points to damages with regard to loss of income, future earning capacity and future care needs.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DR. MICHAEL MORAN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Dr. Moran is a medical doctor with a sub-specialty in orthopaedic surgery. He has been a member of the medical staff of the Prince George Regional Hospital since May 1994 and has a private practice in orthopaedics. He is a Fellow with the Royal College of Surgeons (Canada).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It was the evidence of Dr. Moran that he has diagnosed and/or treated ten to fifteen slips before seeing Tony Edwards. With the exception of Tony, all were treated surgically, by pinning in situ. Dr. Moran has no independent memory of seeing Tony and his mother on June 22, 1995, and a substantial part of his evidence in chief consisted of interpreting the one and a half pages of his handwritten notes taken on June 22, as well as going over his consult letter to Dr. Tung of the same date.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On June 22, 1995, Dr. Moran took a history, performed a physical examination of Tony and reviewed the x-rays and bone scan that had been done previously. He also ordered new x-rays on that date, and viewed them on that same date. His notes indicate that Tony's gait was normal, as was his stance. The doctor described how he observes patients walk into his office and then after a physical examination, he would have a patient walk around in the examination room for further observation.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His notes report that soon after pain developed in the left hip, Tony said his hip would lock and then release with a click, that this was happening once or twice a day. Dr. Moran testified, "When I saw him, he reported that the frequency of that was decreasing, he described occasional anterior thigh pain", and that was when he was on a motor-cycle or rough-housing, or with prolonged sitting.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Dr. Moran's notes indicated that there was no restriction of activities, that Tony was able to do everything that he wanted to do, and "he had no paresthesia in that limb." There was no mention of any use of crutches, and no history of limping given by Tony.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Dr. Moran found no leg length discrepancy, assessing Tony when he was both standing and lying down. On checking range of motion of each hip, he found the left hip or leg was fully extendable to 130 degrees. His right leg went from zero to 140 degrees. His range of motion or ability to move the leg out to the side on the left was 35 degrees and to move the left leg inwards was 25 degrees; and the right was 40 degrees and 25 degrees respectively. This confirmed a restricted range of motion in the left hip. The power in the lower extremities for Tony was found to be normal. A neurovascular examination was done by Dr. Moran, also found to be normal. This would include sensory examination, power examination and pulses.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Dr. Moran testified: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The concern with this gentleman was that he had a slipped capital femoral epiphysis and whether the - - worry is whether this is progressing or not. And its my notation to myself as to whether it was progressing that I had to determine whether it was progressing or not.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To assist in that, Dr. Moran ordered a new series of x-rays from his hospital. Following review of those x-rays, he noted, "No progression." That followed his review of the x-rays from March, April and June, a period of almost four months.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doctor's notes also noted, "physeal plate closing." Dr. Moran testified that when he looked at the series of films, he felt that the physeal plate was closing or had nearly closed.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Further in his notes, the notation "SOS" appeared. Dr. Moran testified: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That's a notation to me that means basically that I have seen the patient; I have discussed with him the diagnosis; I have not planned a further follow-up appointment. . . . I have discussed with - the diagnosis with the patient and their treatment options, that I have told them that if there are any changes in their symptoms or any concerns that they should call my office or return for a follow-up appointment.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It was never disclosed in the evidence why the plaintiff did not return to Dr. Moran, but rather, sought a second opinion from someone else.</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DR. BRIAN WOODRUFF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Dr. Woodruff graduated in Scotland with his medical degree in 1967, did his residency in orthopaedic surgery in Vancouver and Edmonton and obtained his Canadian Fellowship in Orthopaedic Surgery in 1973. He has practised orthopaedic surgery in Nanaimo since 1974.</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By the time Dr. Woodruff saw Tony for the first time on August 17, 1995, he found Tony had "no movement of the hip (left) and any attempted movement is painful. There is fixed external rotation deformity. He is most reluctant to allow knee flexion beyond about 80 degrees."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Dr. Woodruff found this to be a Grade III slip, and wrote that "despite its late presentation, this needs to be pinned in situ."</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It was Dr. Woodruff's opinion that the standard of care here in late June would have been urgent surgery to prevent further slipping. He found there was a distinct deterioration in the degree of slip after the x-rays of June 22 and stated, "I am not aware of any contra indications to surgery being performed in March or April 1995."</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factors that indicated pinning as far as Dr. Woodruff was concerned were that it was a known slip, there was ongoing pain, the plate had not closed, and the epiphysis was unstable. He emphasized the need to follow up the case, if the symptoms of pain persisted; it would be essential to explain to the patient that if the pain continued or became worse, that it would be necessary to come back and see him. That ongoing pain or increased pain were major indicators. He suggested he would have had the patient come back in one month, and possibly ordered a follow-up x-ray.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Dr. Woodruff found no difficulty in communicating with Tony, and no difficulty in having him describe his pain, and get a history from him. Tony's mother was not present.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Dr. Woodruff agreed there could be differing opinions, but it was his opinion that surgery should have been done much earlier.</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DR. KENNETH BROWN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Dr. Kenneth Brown received his medical degree in 1976 from the University of Manitoba and became a Fellow of the Royal College of Surgeons in 1981. He has an impressive and lengthy curriculum vitae and is on the examination test committee and the oral examination board for the Royal College of Physicians and Surgeons. He is an orthopaedic surgeon for children.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On viewing the x-rays, it was Dr. Brown's opinion that "there has been some progression of the slip from March to June 1995." He noted that the history was one of prolonged hip pain and the slip was stable because the plaintiff was able to walk without crutches. But based on the history of pain in the hip, the open growth plate, and the progressive slip seen on x-ray, Dr. Brown would have recommended pinning the hip. He said there was a potential of further slippage as long as the growth plate was open. It would have been Dr. Brown's recommendation that the hip be pinned to prevent further slippage and to close the growth plate. He would have instructed the patient to avoid physical activities and scheduled surgery within a few days to a week of the June visit to Dr. Moran.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In cross-examination, the opinion of Dr. Beauchamp, another paediatric orthopaedic surgeon, was put to Dr. Brown. (Dr. Beauchamp's opinion was that he would have reached the same assessment, treatment plan and conclusion as Dr. Moran.) Dr. Brown testified he was not saying that Dr. Beauchamp was wrong in coming to that opinion but, rather, it was a difference of opinion between himself and Dr. Beauchamp, two medical men "reasonably disagreeing on a medical issue."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Also in cross-examination, Dr. Brown agreed that the quality of x-rays that he had reviewed were quite dark, and that this made it difficult for him to assess the growth plate.</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DR. DONALD WERRY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Dr. Werry obtained his medical degree from Queens University in 1976 and obtained his Fellowship with the Royal College of Physicians and Surgeons in 1983. He is an orthopaedic surgeon who specializes in reconstructive surgery, and long term care of patients with slips and other hip deformities.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Dr. Werry gave evidence with regard to the problems that Tony can expect over the next ten years and beyond. He detailed the current symptoms that the plaintiff has, and did a thorough review of his physical condition as well as the x-rays. In his summary, Dr. Werry dealt with the probability of progressive pain, loss of motion and further physical impairment and disability for the plaintiff.</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DR. JOHN OLIVER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Dr. Oliver graduated from McGill in 1973 and became a Fellow of the Royal College of Surgeons (Canada) in 1978. He practises orthopaedic surgery in Kelowna, and is also a diplomate of the Canadian Academy of Sport Medicine.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Dr. Oliver practises extensively and he estimates he has assessed or treated 20 slips, from mild to severe.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In rendering his opinion on the standard of care given by Dr. Moran, it was the opinion of Dr. Oliver that Dr. Moran had performed an appropriate examination of the patient, and that he had carefully recorded the range of motion of the hips. Dr. Oliver went over the notes of Dr. Moran in some detail in his report, and gave his opinion that the records show that Dr. Moran carried out an appropriate physical examination and obtained an appropriate history concerning the plaintiff.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In the opinion of Dr. Oliver, Dr. Moran did arrive at an appropriate diagnosis regarding the condition of the left hip. Dr. Oliver was also of the opinion after viewing the x-rays and other material that the slipped capital femoral epiphysis "was not progressing and that the epiphyseal plate is now closing" was an appropriate diagnosis. He agreed with Dr. Moran in not carrying out surgical intervention at the time as the x-rays did not show any progression of a slip. Further, that the x-rays showed that the epiphyseal plate was fused which reinforced the conclusion made by Dr. Moran.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Dr. Oliver dealt with the risks of surgical intervention in both his report and in his evidence in court, and listed the number of risks which can incur, such as infection at the operative site, other risks during the operation and post-operation. The risks were serious.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It was also Dr. Oliver's opinion that Dr. Moran's final comment in his consult letter, that if any further problems arose, he would be happy to see the patient by referral, was the appropriate manner in which to indicate a follow-up in that situation. Further, that Dr. Moran "did follow a standard of care that could be expected of a competent orthopaedic surgeon practising in British Columbia in a setting such as Prince George at that time, 1995, and for that matter as well as today's date, August 2000."</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DR. RICHARD BEAUCHAMP</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Dr. Beauchamp is a clinical professor at the University of British Columbia, having obtained his medical degree from U.B.C. in 1971 and his Fellowship in orthopaedic surgery in 1977. His sub-specialty is paediatric orthopaedic surgery, and his curriculum vitae is impressive.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In his opinion letter, Dr. Beauchamp felt that Dr. Moran had appropriately diagnosed the slip, that it was chronic, and that there was no restriction in activity, so no instruction for crutches was given, for example. Dr. Beauchamp stated: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Had I been treating this patient, I too would have concluded the slipped epiphysis was healed or stable and the plates were closed or closing and, realizing the patient's pain was improving, I would have discharged the patient from my care and expected that if any further problems occur to check back with his GP and if necessary have a re-referral. I specifically would not have arranged for a follow-up visit.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Dr. Beauchamp did not agree with the opinion of Dr. Woodruff. He felt that Dr. Moran did demonstrate the appropriate standard of care for an orthopaedic specialist given the facts and symptoms that were presented to him on the one occasion when he saw the plaintiff on June 22, 1995. "His assessment, treatment plan and conclusions are the same ones that even I as a paediatric orthopaedic surgeon would have arrived at had I been the treating orthopaedic surgeon."</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LIABILITY</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Standard of Care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In my view, Dr. Moran met the standard of care of a competent orthopaedic surgeon. The evidence falls far short indeed of establishing otherwise.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 recognize that this is no way eases the plight of the plaintiff, but at the time he presented as a patient to Dr. Moran, he was not limping, he was not on crutches, he gave no history of being on crutches, he advised the doctor there were no restrictions on his activities, and his pain was intermittent. The x-rays showed an old and chronic slip. There were differing medical opinions on whether or not there was any change in the slip shown on the x-rays between March and June 1995. The quality of films may have been a factor.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There were some suggestions that the plaintiff himself may not have been a very good historian, but his mother was with him at the time, and Dr. Moran was able to make observations with regard to his gait, stance, range of motion, etc.</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Counsel for the plaintiff has been valiant in her preparation and presentation of the plaintiff's case. The amount of time and work that counsel for both parties have put into this case was apparent. But there simply has not been a case made out that there was a lack of the appropriate standard of care by Dr. Moran.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To give this plaintiff damages to ease his life at this time and in the future would necessitate a finding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lack of the appropriate standard of care with regard to Dr. Moran, and that finding cannot be made.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evidence of the plaintiff and his mother, Mrs. Edwards, was not that helpful with regard to the visit to Dr. Moran on June 22, 1995. The plaintiff's memory is not good, as he repeatedly demonstrated and stated. Mrs. Edwards' testimony with regard to the visit to Dr. Moran was of little assistance.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It seems apparent that Tony's condition deteriorated rapidly after his visit to Dr. Moran, as the x-rays indicate. There is no indication that Tony sought any medical help after his visit to Dr. Moran until July 19, 1995, when he and his mother asked to have a second opinion. They chose not to return to Dr. Moran.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 found the evidence of Dr. Moran to be straightforward. He did not attempt to colour his evidence in any way, and I found him to be credible. His notes were verified not only by himself but by other experts who testified. His approach was that of a competent professional in his field, and that was corroborated by impressive expert opinion.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With regard to the experts, I was impressed by the evidence of Dr. Oliver and Dr. Beauchamp, both highly experienced and competent in their field of orthopaedic surgery. Their opinions were unequivocal in support of the standard of care given by Dr. Moran.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By the time Dr. Woodruff saw Tony Edwards, in mid-August 1995, Tony was in an extremely bad way with pain, having been on crutches for six weeks, with extraordinary limitation of range of motion, very different than the condition present at the time Dr. Moran saw the plaintiff.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In view of my finding that Dr. Moran has met the appropriate standard of care, I have not dealt with the other experts who testified in areas other than the standard of care.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There is also no need to deal with the issue of damages, but I would comment that I am of the view that the employment problems of the plaintiff have more to do with his limited intellectual capacities than his limited physical capacities. His condition before seeing Dr. Moran was that he was virtually unemployable.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Dr. Moran was not negligent in any way nor did he fail to meet the appropriate standard of care in any way.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plaintiff's claim is dismissed.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parties may speak to costs if they wish, either in writing or in person.</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MORRISON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7" style="position:absolute;z-index:2518548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46"/>
          <w:headerReference w:type="default" r:id="rId1047"/>
          <w:footerReference w:type="even" r:id="rId1048"/>
          <w:footerReference w:type="default" r:id="rId1049"/>
          <w:headerReference w:type="first" r:id="rId1050"/>
          <w:footerReference w:type="first" r:id="rId105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1052" w:history="1">
        <w:r>
          <w:rPr>
            <w:rFonts w:ascii="arial" w:eastAsia="arial" w:hAnsi="arial" w:cs="arial"/>
            <w:b/>
            <w:bCs/>
            <w:i/>
            <w:color w:val="0077CC"/>
            <w:kern w:val="32"/>
            <w:sz w:val="28"/>
            <w:szCs w:val="32"/>
            <w:u w:val="single"/>
            <w:shd w:val="clear" w:color="auto" w:fill="FFFFFF"/>
            <w:lang w:val="en-US" w:eastAsia="en-US" w:bidi="ar-SA"/>
          </w:rPr>
          <w:t>Edwards (Litigation guardian of) v. Stroink, [2015] B.C.J. No. 1604</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Nanaimo,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G.R.J. Gaul J.</w:t>
      </w:r>
    </w:p>
    <w:p>
      <w:pPr>
        <w:spacing w:before="120" w:line="260" w:lineRule="atLeast"/>
        <w:jc w:val="center"/>
        <w:rPr>
          <w:lang w:val="en-US" w:eastAsia="en-US" w:bidi="ar-SA"/>
        </w:rPr>
      </w:pPr>
      <w:r>
        <w:rPr>
          <w:rFonts w:ascii="arial" w:eastAsia="arial" w:hAnsi="arial" w:cs="arial"/>
          <w:color w:val="000000"/>
          <w:sz w:val="20"/>
          <w:lang w:val="en-US" w:eastAsia="en-US" w:bidi="ar-SA"/>
        </w:rPr>
        <w:t>Heard: April 27-30, 2015.</w:t>
      </w:r>
    </w:p>
    <w:p>
      <w:pPr>
        <w:spacing w:before="120" w:line="260" w:lineRule="atLeast"/>
        <w:jc w:val="center"/>
        <w:rPr>
          <w:lang w:val="en-US" w:eastAsia="en-US" w:bidi="ar-SA"/>
        </w:rPr>
      </w:pPr>
      <w:r>
        <w:rPr>
          <w:rFonts w:ascii="arial" w:eastAsia="arial" w:hAnsi="arial" w:cs="arial"/>
          <w:color w:val="000000"/>
          <w:sz w:val="20"/>
          <w:lang w:val="en-US" w:eastAsia="en-US" w:bidi="ar-SA"/>
        </w:rPr>
        <w:t>Oral judgment: May 7, 2015.</w:t>
      </w:r>
    </w:p>
    <w:p>
      <w:pPr>
        <w:spacing w:before="120" w:line="260" w:lineRule="atLeast"/>
        <w:jc w:val="center"/>
        <w:rPr>
          <w:lang w:val="en-US" w:eastAsia="en-US" w:bidi="ar-SA"/>
        </w:rPr>
      </w:pPr>
      <w:r>
        <w:rPr>
          <w:rFonts w:ascii="arial" w:eastAsia="arial" w:hAnsi="arial" w:cs="arial"/>
          <w:color w:val="000000"/>
          <w:sz w:val="20"/>
          <w:lang w:val="en-US" w:eastAsia="en-US" w:bidi="ar-SA"/>
        </w:rPr>
        <w:t>Docket: 71929</w:t>
      </w:r>
    </w:p>
    <w:p>
      <w:pPr>
        <w:spacing w:before="120" w:line="260" w:lineRule="atLeast"/>
        <w:jc w:val="center"/>
        <w:rPr>
          <w:lang w:val="en-US" w:eastAsia="en-US" w:bidi="ar-SA"/>
        </w:rPr>
      </w:pPr>
      <w:r>
        <w:rPr>
          <w:rFonts w:ascii="arial" w:eastAsia="arial" w:hAnsi="arial" w:cs="arial"/>
          <w:color w:val="000000"/>
          <w:sz w:val="20"/>
          <w:lang w:val="en-US" w:eastAsia="en-US" w:bidi="ar-SA"/>
        </w:rPr>
        <w:t>Registry: Nanaimo</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[2015] B.C.J. No. 1604</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2015 BCSC 1318</w:t>
      </w:r>
    </w:p>
    <w:p>
      <w:pPr>
        <w:spacing w:before="120" w:line="260" w:lineRule="atLeast"/>
        <w:rPr>
          <w:lang w:val="en-US" w:eastAsia="en-US" w:bidi="ar-SA"/>
        </w:rPr>
      </w:pPr>
      <w:r>
        <w:rPr>
          <w:rFonts w:ascii="arial" w:eastAsia="arial" w:hAnsi="arial" w:cs="arial"/>
          <w:color w:val="000000"/>
          <w:sz w:val="20"/>
          <w:lang w:val="en-US" w:eastAsia="en-US" w:bidi="ar-SA"/>
        </w:rPr>
        <w:t>Between Larissa Edwards by her litigation guardian Lisa Mitchell, Plaintiff, and Arlee Stroink, Defendant</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(54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248" style="position:absolute;z-index:251704320"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294" w:name="Keywords_43"/>
      <w:bookmarkEnd w:id="294"/>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Apportionment of liability — Motor vehicles — Pedestrians — Action by Edwards alleging that the defendant Stroink was negligent and equally liable with Edwards for an accident dismissed — Edwards was on foot and intoxicated when she was struck by a motor vehicle driven by Stroink — As a result of the accident, Edwards was a quadriplegic — The Court accepted Stroink's evidence that Edwards came over the median suddenly and unexpectedly — Stroink reacted quickly and appropriately when she realized there was a hazard on the roadway, but there was insufficient time for her to avoid the collision — Edwards was 100 per cent liable for the accident.</w:t>
      </w:r>
    </w:p>
    <w:p>
      <w:pPr>
        <w:jc w:val="both"/>
        <w:rPr>
          <w:lang w:val="en-US" w:eastAsia="en-US" w:bidi="ar-SA"/>
        </w:rPr>
      </w:pPr>
      <w:bookmarkStart w:id="295" w:name="Legislation Cited_30"/>
      <w:bookmarkEnd w:id="295"/>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lang w:val="en-US" w:eastAsia="en-US" w:bidi="ar-SA"/>
        </w:rPr>
      </w:pPr>
      <w:r>
        <w:pict>
          <v:line id="_x0000_s1249" style="position:absolute;z-index:251755520"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Motor Vehicle Act, </w:t>
      </w:r>
      <w:hyperlink r:id="rId1053" w:history="1">
        <w:r>
          <w:rPr>
            <w:rFonts w:ascii="arial" w:eastAsia="arial" w:hAnsi="arial" w:cs="arial"/>
            <w:i/>
            <w:color w:val="0077CC"/>
            <w:sz w:val="20"/>
            <w:u w:val="single"/>
            <w:shd w:val="clear" w:color="auto" w:fill="FFFFFF"/>
            <w:lang w:val="en-US" w:eastAsia="en-US" w:bidi="ar-SA"/>
          </w:rPr>
          <w:t>R.S.B.C 1996, c. 318, s. 179</w:t>
        </w:r>
      </w:hyperlink>
      <w:r>
        <w:rPr>
          <w:rFonts w:ascii="arial" w:eastAsia="arial" w:hAnsi="arial" w:cs="arial"/>
          <w:color w:val="000000"/>
          <w:sz w:val="20"/>
          <w:lang w:val="en-US" w:eastAsia="en-US" w:bidi="ar-SA"/>
        </w:rPr>
        <w:t>, s. 180, s. 181</w:t>
      </w:r>
      <w:r>
        <w:rPr>
          <w:lang w:val="en-US" w:eastAsia="en-US" w:bidi="ar-SA"/>
        </w:rPr>
        <w:cr/>
      </w:r>
    </w:p>
    <w:p>
      <w:pPr>
        <w:keepNext/>
        <w:spacing w:before="240" w:line="340" w:lineRule="atLeast"/>
        <w:rPr>
          <w:lang w:val="en-US" w:eastAsia="en-US" w:bidi="ar-SA"/>
        </w:rPr>
      </w:pPr>
      <w:bookmarkStart w:id="296" w:name="Counsel_44"/>
      <w:bookmarkEnd w:id="296"/>
      <w:r>
        <w:rPr>
          <w:rFonts w:ascii="arial" w:eastAsia="arial" w:hAnsi="arial" w:cs="arial"/>
          <w:b/>
          <w:color w:val="000000"/>
          <w:sz w:val="28"/>
          <w:lang w:val="en-US" w:eastAsia="en-US" w:bidi="ar-SA"/>
        </w:rPr>
        <w:t>Counsel</w:t>
      </w:r>
    </w:p>
    <w:p>
      <w:pPr>
        <w:spacing w:line="60" w:lineRule="exact"/>
        <w:rPr>
          <w:lang w:val="en-US" w:eastAsia="en-US" w:bidi="ar-SA"/>
        </w:rPr>
      </w:pPr>
      <w:r>
        <w:pict>
          <v:line id="_x0000_s1250" style="position:absolute;z-index:251806720"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Plaintiff: J. Jordan, P. Pelzer.</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Defendant: H. Turnham.</w:t>
      </w:r>
      <w:r>
        <w:rPr>
          <w:lang w:val="en-US" w:eastAsia="en-US" w:bidi="ar-SA"/>
        </w:rPr>
        <w:cr/>
      </w:r>
    </w:p>
    <w:p>
      <w:pPr>
        <w:spacing w:after="240"/>
        <w:rPr>
          <w:lang w:val="en-US" w:eastAsia="en-US" w:bidi="ar-SA"/>
        </w:rPr>
      </w:pPr>
      <w:bookmarkStart w:id="297" w:name="Judgment_43"/>
      <w:bookmarkEnd w:id="297"/>
      <w:r>
        <w:pict>
          <v:line id="_x0000_s1251" style="position:absolute;z-index:251855872" from="0,12pt" to="512pt,12pt" strokecolor="#009ddb" strokeweight="1.5pt">
            <v:stroke linestyle="single"/>
          </v:line>
        </w:pict>
      </w:r>
    </w:p>
    <w:p>
      <w:pPr>
        <w:spacing w:before="120" w:line="260" w:lineRule="atLeast"/>
        <w:jc w:val="center"/>
        <w:rPr>
          <w:lang w:val="en-US" w:eastAsia="en-US" w:bidi="ar-SA"/>
        </w:rPr>
      </w:pPr>
      <w:r>
        <w:rPr>
          <w:rFonts w:ascii="arial" w:eastAsia="arial" w:hAnsi="arial" w:cs="arial"/>
          <w:b/>
          <w:color w:val="000000"/>
          <w:sz w:val="20"/>
          <w:lang w:val="en-US" w:eastAsia="en-US" w:bidi="ar-SA"/>
        </w:rPr>
        <w:t>Oral Reasons for Judgment</w:t>
      </w:r>
      <w:r>
        <w:rPr>
          <w:lang w:val="en-US" w:eastAsia="en-US" w:bidi="ar-SA"/>
        </w:rPr>
        <w:cr/>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4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298" w:name="G.R.J. GAUL J. (orally)"/>
            <w:bookmarkEnd w:id="298"/>
            <w:r>
              <w:rPr>
                <w:rFonts w:ascii="arial" w:eastAsia="arial" w:hAnsi="arial" w:cs="arial"/>
                <w:b/>
                <w:color w:val="000000"/>
                <w:sz w:val="30"/>
                <w:lang w:val="en-US" w:eastAsia="en-US" w:bidi="ar-SA"/>
              </w:rPr>
              <w:t>G.R.J. GAUL J. (orally)</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These reasons are subject to editorial revisions before their reproduction in final form. In no manner will the results of my decision be changed.</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Shortly after midnight on 8 August 2013, Larissa Edwards was struck by a motor vehicle being driven by the defendant, Arlee Stroink. The collision occurred in the curb lane of the southbound lanes of Highway #1, just south of Minetown Road on the outskirts of Nanaimo, B.C. At that location, the highway is divided into two lanes travelling south and two lanes travelling north. There is a .8 metre high concrete median that divides the two directions of travel and there is no artificial lighting. There were no clouds in the sky, nor was there a moon. The roadway was clean and dry.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Ms. Edwards is approximately 5 feet tall and on the day of the accident she weighed about 140 pounds. That night, she and her boyfriend, Cordell McMullen, were proceeding south on foot towards either Duncan or Victoria, using the western shoulder of Highway #1. Both were heavily intoxicated by alcohol at the time. At 12:54 a.m., approximately 50 minutes after the accident, Ms. Edwards' blood alcohol level was measured to be 180 milligrams of alcohol in 100 millilitres of blood.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As a result of the collision, Ms. Edwards suffered catastrophic injuries, including a major traumatic brain injury and damage to her spine that has left her a quadriplegic. Ms. Edwards remains in the hospital.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Although he was emotionally traumatized by the accident, Mr. McMullen avoided being struck or physically injured by Ms. Stroink's vehicle.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Position of the Parties</w:t>
      </w:r>
      <w:r>
        <w:rPr>
          <w:lang w:val="en-US" w:eastAsia="en-US" w:bidi="ar-SA"/>
        </w:rPr>
        <w:cr/>
      </w:r>
    </w:p>
    <w:p>
      <w:pPr>
        <w:spacing w:line="260" w:lineRule="atLeast"/>
        <w:ind w:left="720"/>
        <w:rPr>
          <w:lang w:val="en-US" w:eastAsia="en-US" w:bidi="ar-SA"/>
        </w:rPr>
      </w:pPr>
      <w:r>
        <w:rPr>
          <w:rFonts w:ascii="arial" w:eastAsia="arial" w:hAnsi="arial" w:cs="arial"/>
          <w:color w:val="000000"/>
          <w:sz w:val="20"/>
          <w:u w:val="single"/>
          <w:lang w:val="en-US" w:eastAsia="en-US" w:bidi="ar-SA"/>
        </w:rPr>
        <w:t>The Plaintiff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Through her aunt and litigation guardian, Lisa Mitchell, Ms. Edwards commenced this action alleging that Ms. Stroink was negligent in the manner in which she operated her vehicle on the night in question. Specifically, Ms. Edwards contends that Ms. Stroink breached her statutory duties under sections 179 and 181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as well as her common law duty to "exercise due care with respect to all other users" of the roadway (See: </w:t>
      </w:r>
      <w:r>
        <w:rPr>
          <w:rFonts w:ascii="arial" w:eastAsia="arial" w:hAnsi="arial" w:cs="arial"/>
          <w:i/>
          <w:color w:val="000000"/>
          <w:sz w:val="20"/>
          <w:lang w:val="en-US" w:eastAsia="en-US" w:bidi="ar-SA"/>
        </w:rPr>
        <w:t>Lariviere v. Martins</w:t>
      </w:r>
      <w:r>
        <w:rPr>
          <w:rFonts w:ascii="arial" w:eastAsia="arial" w:hAnsi="arial" w:cs="arial"/>
          <w:color w:val="000000"/>
          <w:sz w:val="20"/>
          <w:lang w:val="en-US" w:eastAsia="en-US" w:bidi="ar-SA"/>
        </w:rPr>
        <w:t xml:space="preserve">, </w:t>
      </w:r>
      <w:hyperlink r:id="rId1054" w:history="1">
        <w:r>
          <w:rPr>
            <w:rFonts w:ascii="arial" w:eastAsia="arial" w:hAnsi="arial" w:cs="arial"/>
            <w:i/>
            <w:color w:val="0077CC"/>
            <w:sz w:val="20"/>
            <w:u w:val="single"/>
            <w:shd w:val="clear" w:color="auto" w:fill="FFFFFF"/>
            <w:lang w:val="en-US" w:eastAsia="en-US" w:bidi="ar-SA"/>
          </w:rPr>
          <w:t>2013 BCSC 1751</w:t>
        </w:r>
      </w:hyperlink>
      <w:r>
        <w:rPr>
          <w:rFonts w:ascii="arial" w:eastAsia="arial" w:hAnsi="arial" w:cs="arial"/>
          <w:color w:val="000000"/>
          <w:sz w:val="20"/>
          <w:lang w:val="en-US" w:eastAsia="en-US" w:bidi="ar-SA"/>
        </w:rPr>
        <w:t xml:space="preserve">, citing </w:t>
      </w:r>
      <w:r>
        <w:rPr>
          <w:rFonts w:ascii="arial" w:eastAsia="arial" w:hAnsi="arial" w:cs="arial"/>
          <w:i/>
          <w:color w:val="000000"/>
          <w:sz w:val="20"/>
          <w:lang w:val="en-US" w:eastAsia="en-US" w:bidi="ar-SA"/>
        </w:rPr>
        <w:t>Cook v. Teh</w:t>
      </w:r>
      <w:r>
        <w:rPr>
          <w:rFonts w:ascii="arial" w:eastAsia="arial" w:hAnsi="arial" w:cs="arial"/>
          <w:color w:val="000000"/>
          <w:sz w:val="20"/>
          <w:lang w:val="en-US" w:eastAsia="en-US" w:bidi="ar-SA"/>
        </w:rPr>
        <w:t xml:space="preserve"> </w:t>
      </w:r>
      <w:hyperlink r:id="rId1055" w:history="1">
        <w:r>
          <w:rPr>
            <w:rFonts w:ascii="arial" w:eastAsia="arial" w:hAnsi="arial" w:cs="arial"/>
            <w:i/>
            <w:color w:val="0077CC"/>
            <w:sz w:val="20"/>
            <w:u w:val="single"/>
            <w:shd w:val="clear" w:color="auto" w:fill="FFFFFF"/>
            <w:lang w:val="en-US" w:eastAsia="en-US" w:bidi="ar-SA"/>
          </w:rPr>
          <w:t>(1990), 45 B.C.L.R. (2d) 194</w:t>
        </w:r>
      </w:hyperlink>
      <w:r>
        <w:rPr>
          <w:rFonts w:ascii="arial" w:eastAsia="arial" w:hAnsi="arial" w:cs="arial"/>
          <w:color w:val="000000"/>
          <w:sz w:val="20"/>
          <w:lang w:val="en-US" w:eastAsia="en-US" w:bidi="ar-SA"/>
        </w:rPr>
        <w:t xml:space="preserve"> at 203 (C.A.)).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the result, Ms. Edwards argues Ms. Stroink should shoulder some responsibility for the accident and the resulting injuries and losses Ms. Edwards has suffered. In pursuing her claim, Ms. Edwards acknowledges that she was partially at fault for the accident and in his final argument, counsel for Ms. Edwards candidly submitted that liability should be apportioned equally between the parties.</w:t>
      </w:r>
      <w:r>
        <w:rPr>
          <w:lang w:val="en-US" w:eastAsia="en-US" w:bidi="ar-SA"/>
        </w:rPr>
        <w:cr/>
      </w:r>
    </w:p>
    <w:p>
      <w:pPr>
        <w:spacing w:line="260" w:lineRule="atLeast"/>
        <w:ind w:left="720"/>
        <w:rPr>
          <w:lang w:val="en-US" w:eastAsia="en-US" w:bidi="ar-SA"/>
        </w:rPr>
      </w:pPr>
      <w:r>
        <w:rPr>
          <w:rFonts w:ascii="arial" w:eastAsia="arial" w:hAnsi="arial" w:cs="arial"/>
          <w:color w:val="000000"/>
          <w:sz w:val="20"/>
          <w:u w:val="single"/>
          <w:lang w:val="en-US" w:eastAsia="en-US" w:bidi="ar-SA"/>
        </w:rPr>
        <w:t>The Defendant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Ms. Stroink denies that she breached any duty she owed to Ms. Edwards. In doing so she maintains she did everything that could reasonably be expected of her as she drove on Highway #1 on the night in question. She also submits that if anyone breached a duty of care, whether statutory or common law, it was Ms. Edwards. In this regard, Ms. Stroink points in particular to section 180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Although the consequences were tragic for Ms. Edwards, Ms. Stroink argues the court should find Ms. Edwards wholly or principally responsible for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Issue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By consent order dated 19 March, 2015, Master Harper directed that the trial of the question of liability occur before any trial relating to the remaining issues such as causation and quantum of Ms. Edwards' injuries. As such, the only task I have at the moment is to determine who was responsible for the collision and if there is shared responsibility, then what proportion lies with each party.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my opinion the issue of liability in this case depends on whether Ms. Edwards was on the roadway and visible to such an extent that Ms. Stroink saw or should have seen her in sufficient time to react and avoid the collision. In simple terms, the question is: was Ms. Edwards there to be seen by Ms. Stroink?</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The Evidence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Given the nature of her injuries and the fact that she remains in the hospital, Ms. Edwards was unable to testify at trial. Consequently, only two witnesses gave first-hand evidence about what happened on the highway: Mr. McMullen and Ms. Stroink.</w:t>
      </w:r>
      <w:r>
        <w:rPr>
          <w:lang w:val="en-US" w:eastAsia="en-US" w:bidi="ar-SA"/>
        </w:rPr>
        <w:cr/>
      </w:r>
    </w:p>
    <w:p>
      <w:pPr>
        <w:spacing w:line="260" w:lineRule="atLeast"/>
        <w:ind w:left="720"/>
        <w:rPr>
          <w:lang w:val="en-US" w:eastAsia="en-US" w:bidi="ar-SA"/>
        </w:rPr>
      </w:pPr>
      <w:r>
        <w:rPr>
          <w:rFonts w:ascii="arial" w:eastAsia="arial" w:hAnsi="arial" w:cs="arial"/>
          <w:color w:val="000000"/>
          <w:sz w:val="20"/>
          <w:u w:val="single"/>
          <w:lang w:val="en-US" w:eastAsia="en-US" w:bidi="ar-SA"/>
        </w:rPr>
        <w:t>Mr. McMullen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McMullen is 35 years old. Notwithstanding the difficulties he had in school, he was able to complete his grade 12 education and take some post-secondary courses in college.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October 2012 Mr. McMullen met Ms. Edwards at the Nanaimo Public Library. Within a couple of days of their meeting, they began dating. Ms. Edwards was 18 years old at the time. The relationship was a volatile and unstable one with both Mr. McMullen and Ms. Edwards resorting on occasion to physical violence. At the time of the accident there was a court order prohibiting Mr. McMullen from having contact with Ms. Edwards. Notwithstanding that order, they were back together on the day of the accident. I accept that notwithstanding the tumultuous history of their relationship, the no-contact order and all that has happened since the accident, Mr. McMullen continues to care for Ms. Edwards.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Ever since he was a child Mr. McMullen has had to deal with a number of serious and challenging health conditions. He has been diagnosed with attention deficit disorder, attention deficit hyperactivity disorder, and fetal alcohol effects. Recently he has been diagnosed with post-traumatic stress disorder.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his testimony, Mr. McMullen explained how he and Ms. Edwards had consumed alcohol over the course of the evening of 7 - 8 August and how they eventually got into a heated argument. He explained that Ms. Edwards was quite intoxicated and acting irrationally at the time. He described how, at one point, he had to chase after her as she ran south along the eastern shoulder of Highway #1. He described her running so fast that he had trouble catching her. He said he had never seen her run so fast and was surprised how fast she was running. This was particularly memorable for Mr. McMullen because, according to him, Ms. Edwards was not wearing any footwear at the time. On one occasion when he caught up to her, he had to put his arms around her and restrain her to calm her down. He said he did so because he wanted to stop her from running away from him. His efforts were unsuccessful as Ms. Edwards did again run away. As he gave chase, she dashed across the southbound lanes of Highway #1, over the concrete median and into the northbound lanes. Mr. McMullen called out to her, pleading for her to return to the median. She did so, but remained on the north side of the median. According to Mr. McMullen, he then crossed the southbound lanes and met her at the median. She climbed over the median and he returned her shoes to her, which she put on. While they were standing at the median, a number of cars went past them. According to Mr. McMullen, he was still trying to calm Ms. Edwards, even though he says she was saying nothing to him at the time. Mr. McMullen testified that Ms. Edwards started to cross the southbound lanes and he followed her. He did not see or hear the defendant's vehicle coming. Suddenly he heard the screech of tires and then the collision.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McMullen acknowledged in his evidence that he "freaked" when he realized what had happened to Ms. Edwards. He described how he was traumatized by what had occurred and could not remember all the details of what he did or said around the time of the accident. Mr. McMullen also agreed that he was hysterical immediately after the accident and began acting irrationally. Although he remembered speaking with the police at some point that night, his recollection of that conversation was vague. When a transcript of an audio-recorded conversation he had with an RCMP officer was shown to him in cross-examination, he agreed that he had spoken with the officer but could not remember everything or exactly what he had said. While he denied saying some of the things about Ms. Edwards that were attributed to him in the statement, he acknowledged what he had said to the officer about what had occurred on the highway. With regard to how the accident occurred, Mr. McMullen told the officer:</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We went up in the underpass, sat there, listened to some music, had a few and then she just got upset again and staggered down, took off running. So I chased her running. I'm like, 'Larissa, Larissa, stop.' No ahh ... I'm like 'Larissa, please.' Okay. So she stopped, stopped. And then (indecipherable) then she would act up again, run to the middle. I'm like 'get back here.' I'm like 'get back here.' And then 'boom, boom,' she got hit...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When asked by the officer if he thought Ms. Edwards could be seen on the highway, Mr. McMullen replied: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No...Her hair is black...She was wearing, yeah, yeah, she was totally -- it was totally her fault. I kept telling, get in...she literally on the line like this...cars were like literally voo, voo, like pull her, I would pull her like... 'honey, come over here.'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At trial, Mr. McMullen explained that the story he told the officer was a disjointed one that had parts left out.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McMullen acknowledged that because of his erratic behaviour and certain things he had said to the police that night, he was admitted to the hospital's psychiatric ward. Apparently the police and hospital staff had grave concerns about Mr. McMullen harming himself.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On more than one occasion whilst testifying, Mr. McMullen indicated that he did not know or remember details of what he and Ms. Edwards did in the few hours leading up to the accident. Moreover, he was not confident or clear about certain aspects of how the accident happened. Often during his testimony he relied upon the fact that he was so intoxicated or that time did not matter to him to explain why he could not remember certain events or details. When asked about the nature of the highway and the traffic on it, Mr. McMullen replied that he did not know because he was not paying attention. When asked if he and Ms. Edwards had walked by or through an area known as Chase River, he replied he could not recall because he was so intoxicated. When asked to describe what he and Ms. Edwards had done in the hour or so before the accident, his response was simply "unknown"; which I took to mean he could not remember because he was so intoxicated at the time or that time did not matter to him.</w:t>
      </w:r>
      <w:r>
        <w:rPr>
          <w:lang w:val="en-US" w:eastAsia="en-US" w:bidi="ar-SA"/>
        </w:rPr>
        <w:cr/>
      </w:r>
    </w:p>
    <w:p>
      <w:pPr>
        <w:spacing w:line="260" w:lineRule="atLeast"/>
        <w:ind w:left="720"/>
        <w:rPr>
          <w:lang w:val="en-US" w:eastAsia="en-US" w:bidi="ar-SA"/>
        </w:rPr>
      </w:pPr>
      <w:r>
        <w:rPr>
          <w:rFonts w:ascii="arial" w:eastAsia="arial" w:hAnsi="arial" w:cs="arial"/>
          <w:color w:val="000000"/>
          <w:sz w:val="20"/>
          <w:u w:val="single"/>
          <w:lang w:val="en-US" w:eastAsia="en-US" w:bidi="ar-SA"/>
        </w:rPr>
        <w:t>Ms. Stroink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On the date of the accident, Ms. Stroink was 59 years old. She has had a driver's licence since she was 16.</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On the evening in question Ms. Stroink was driving home after having completed her regular work shift at a call-centre in Nanaimo. She was familiar with Highway #1, having travelled it many times before. She was aware that deer or other wildlife could suddenly appear on the highway, so she was paying particular attention to the road. She had her vehicle's high beam headlights activated and her speed set by cruise-control at 90 kilometres an hour, the highway's speed limit.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With the high beams of her vehicle activated, Ms. Stroink estimated that the road was illuminated to approximately 100 metres in front of her.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Ms. Stroink testified that she first saw Ms. Edwards when Ms. Edwards suddenly appeared to jump over the median, stumble and begin running across the centre southbound lane. She said she immediately slammed on her vehicle's brakes. According to Ms. Stroink, Ms. Edwards ran into the curb lane, Ms. Stroink's lane of travel, and turned towards Ms. Stroink's vehicle with her hands in the air just prior to the collision.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cross-examination Ms. Stroink acknowledged that on various occasions prior to trial she had described Ms. Edwards "hurdling", "jumping" or "hopping" over the median. Ms. Stroink explained that, to her, those terms basically meant the same thing, and that what she saw was one of Ms. Edwards' legs come over the median first, followed by the other. She agreed it was possible that Ms. Edwards may have been sitting on the median and then put one leg over it and then the other. Ms. Stroink noted that it all happened so fast. She was, however, steadfast in her evidence that she saw one leg come over the median first, followed by the other. Ms. Stroink maintained that she reacted as quickly as she could, as soon as she saw Ms. Edwards, but that there was insufficient time to avoid the collision.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uncontested forensic evidence from the accident scene indicates that Ms. Stroink's vehicle skidded approximately 37.6 metres before coming to a stop. The point of impact occurred approximately 12 metres into that skid mark. The forensic evidence also indicates that Ms. Stroink's vehicle was travelling approximately 72 kilometres an hour when the collision occurred. The force of the collision propelled Ms. Edwards 34.8 metres down the roadway before she came to a rest.</w:t>
      </w:r>
      <w:r>
        <w:rPr>
          <w:lang w:val="en-US" w:eastAsia="en-US" w:bidi="ar-SA"/>
        </w:rPr>
        <w:cr/>
      </w:r>
    </w:p>
    <w:p>
      <w:pPr>
        <w:spacing w:line="260" w:lineRule="atLeast"/>
        <w:ind w:left="720"/>
        <w:rPr>
          <w:lang w:val="en-US" w:eastAsia="en-US" w:bidi="ar-SA"/>
        </w:rPr>
      </w:pPr>
      <w:r>
        <w:rPr>
          <w:rFonts w:ascii="arial" w:eastAsia="arial" w:hAnsi="arial" w:cs="arial"/>
          <w:color w:val="000000"/>
          <w:sz w:val="20"/>
          <w:u w:val="single"/>
          <w:lang w:val="en-US" w:eastAsia="en-US" w:bidi="ar-SA"/>
        </w:rPr>
        <w:t>Expert Evidence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plaintiff presented the expert engineering evidence of Mr. Tim Leggett of Forensic Dynamics Inc. The defence presented the expert evidence of Mr. Kurt Ising of MEA Forensics.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Leggett testified that a typical pedestrian would or should be observed at approximately 114 metres by the driver of a vehicle that has its high beam headlights operating. With regard to the present case, Mr. Leggett opined that Ms. Stroink should have seen Ms. Edwards from approximately 92 metres, a sufficient enough distance to allow Ms. Stroink to react appropriately to avoid the collision. Mr. Leggett also concluded that Ms. Edwards likely did not run across the highway and must have been walking at a very slow rate, if not stopped, when she was struck by Ms. Stroink's vehicle.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Ising did not take issue with Mr. Leggett's evidence about the distance and area high beam headlights would illuminate. He did not, however, agree that Ms. Edwards was a "typical pedestrian", given what appears to have been her irrational actions and demeanour that evening. Nor, more importantly, did he agree that Ms. Edwards was likely observable or identifiable from 90 or 100 metres away. Based upon his assessment of the circumstances of the accident and the available forensic evidence, Mr. Ising opined that Ms. Edwards likely came over the median and began crossing the southbound lanes of Highway #1 when Ms. Stroink's vehicle was approximately 55 metres away.</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Discussion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my opinion, this case does not turn on expert evidence. One reason for that is the frailty of the expert opinions. Those frailties are based upon, amongst other things, a lack of a factual foundation to provide the opinions. This is particularly so for the opinions of Mr. Leggett. For example, there is no evidence that Ms. Edwards walked across the highway. Mr. McMullen had nothing to say about the manner in which Ms. Edwards crossed the roadway. The only evidence on this point is that of Ms. Stroink, and she says Ms. Edwards was running until the last moment when she turned towards Ms. Stroink's vehicle and put her hands in the air.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While Mr. Leggett and Mr. Ising are both experts in the field of forensic accident reconstruction, I find Mr. Ising has greater and more relevant expertise than Mr. Leggett when it comes to reconstructing an accident that has occurred at night on a dry road with the only lighting being that emanating from the headlights of a vehicle. Consequently, where I have had to rely on the expert evidence, I have placed greater weight on Mr. Ising's opinions.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my view, this case turns on the evidence of Mr. McMullen and Ms. Stroink. Their versions of events clash and cannot be reconciled on the important points. On Mr. McMullen's evidence, he and Ms. Edwards were at the median for at least a minute prior to the collision. If I accept this evidence, then both he and Ms. Edwards were there to be seen by Ms. Stroink with plenty of time for her to react and avoid the collision. On Ms. Stroink's evidence, Ms. Edwards appeared suddenly and moved quickly across her path of travel at a distance from her vehicle that did not allow her sufficient time to react. If I accept Ms. Stroink's evidence, then Ms. Edwards was not visible from such a distance that allowed Ms. Stroink to avoid the accident.</w:t>
      </w:r>
      <w:r>
        <w:rPr>
          <w:lang w:val="en-US" w:eastAsia="en-US" w:bidi="ar-SA"/>
        </w:rPr>
        <w:cr/>
      </w:r>
    </w:p>
    <w:p>
      <w:pPr>
        <w:spacing w:line="260" w:lineRule="atLeast"/>
        <w:ind w:left="720"/>
        <w:rPr>
          <w:lang w:val="en-US" w:eastAsia="en-US" w:bidi="ar-SA"/>
        </w:rPr>
      </w:pPr>
      <w:r>
        <w:rPr>
          <w:rFonts w:ascii="arial" w:eastAsia="arial" w:hAnsi="arial" w:cs="arial"/>
          <w:color w:val="000000"/>
          <w:sz w:val="20"/>
          <w:u w:val="single"/>
          <w:lang w:val="en-US" w:eastAsia="en-US" w:bidi="ar-SA"/>
        </w:rPr>
        <w:t>Credibility and Reliability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determination of this case comes down to whose evidence I find more persuasive: Mr. McMullen's or Ms. Stroink's.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Counsel for Ms. Edwards argues I should prefer Mr. McMullen's evidence over that of Ms. Stroink. He says Mr. McMullen was honest and candid with the court, especially about the difficulties he has had in his life and the tumultuous nature of his relationship with Ms. Edwards. Counsel contends that Mr. McMullen exhibited the hallmarks of a credible and reliable witness.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As for Ms. Stroink, Ms. Edwards' counsel does not suggest she was dishonest with the court. He does, however, point out that by her own admission she has replayed in her head, many times, only the important parts of what occurred on the night in question. Counsel submits that having done so, it is likely that Ms. Stroink has become confused about what she was doing and what happened just prior to the collision.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credibility of a witness is not the same as the reliability of a witness. Credibility has to do with a person's veracity or truthfulness, whereas reliability deals with the accuracy of the witness's testimony. Accuracy involves consideration of the witness's ability to accurately observe, recall and recount events in issue. Any witness whose evidence on an issue is not creditable cannot give reliable evidence on the same point. On the other hand, a finding that a witness is credible does not translate automatically into a finding that what that witness says about an event is accurate and reliable. That is, a credible witness may very well give unreliable evidence.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 found Mr. McMullen to be a credible witness when it came to most of what he testified about. However, he was not a particularly reliable witness, in that his recollection of the salient events was often unclear and lacking in details. For example, when it came to describing the manner in which Ms. Edwards crossed the highway just prior to being struck by Ms. Stroink's vehicle, Mr. McMullen had surprisingly little to say and what he did say was imprecise. I attribute his unreliable memory to a number of factors. He was intoxicated on the evening in question. He had been arguing with Ms. Edwards, and the atmosphere between them was tense and emotional. He was also seriously traumatized by the accident itself. Overall, it was a chaotic and surreal time for him. I find all of these factors have contributed to his inability to accurately recall and recount what occurred that night.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 should also add that at times I found Mr. McMullen's evidence to be internally inconsistent or contradictory. He said that when he was standing at the median with Ms. Edwards, he needed to calm her; yet he also said she was silent and not talking to him. This evidence left me to wonder how it was he concluded she was in need of calming. He suggested that Ms. Edwards was a "happy person who was always smiling"; yet he also described how despondent, unhappy and frustrated she often was with many aspects of her life. Moreover, he explained how Ms. Edwards could become aggressive and violent towards him, including breaking bones in his hands and giving him a black eye. These behavioural traits do not suggest Ms. Edwards was always a happy and smiling person. In my opinion, Mr. McMullen undermined his credibility and reliability by colouring his evidence in an attempt to place Ms. Edwards, his relationship with her, her behaviour on the night in question, and her current situation in the best possible light.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As for Ms. Stroink, on the whole I found her to be a credible and reliable witness who was able to accurately remember and describe what she observed and what she did on the night in question. Although she too was traumatized by the accident, her recollection of the events was stronger than Mr. McMullen's. While it is true that Ms. Stroink used various descriptors to explain or describe how she saw Ms. Edwards get over the median; in her evidence at trial she was consistent in the general description of what she saw. More importantly, she was able to explain in a convincing manner what she meant by the various terms she had previously used to describe Ms. Edward's actions.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Although counsel for Ms. Edwards has argued that the trauma of the accident and the passage of time have caused Ms. Stroink to become mixed-up about what actually happened, I find it is more likely that it is Mr. McMullen and not Ms. Stroink who has become confused. The accident was upsetting for Ms. Stroink but it was much more so for Mr. McMullen. The passage of time has quite possibly affected each of them in similar ways. Given Mr. McMullen's physical and emotional condition on the night of the accident and his ongoing personal health issues, I have concluded his ability to accurately recall the events of that night is less reliable than Ms. Stroink's. For all of these reasons, I find the evidence of Ms. Stroink preferable and more persuasive than that of Mr. McMullen. In particular, I accept Ms. Stroink's evidence that Ms. Edwards came over the median suddenly and unexpectedly and then proceeded quickly across the highway directly into the path of Ms. Stroink's oncoming vehicle. In my opinion, Ms. Edwards was not there to be seen by Ms. Stroink from a distance of 90 to 100 metres. At that distance from Ms. Stroink's vehicle, Ms. Edwards was still on the other side of the median and out of Ms. Stroink's field of view. I am not persuaded that the headlights of Ms. Stroink's vehicle, even on high beams, would have illuminated Ms. Edwards while she was on that side of the highway.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 find it is more likely that Mr. Ising is correct and that Ms. Edwards suddenly appeared from Ms. Stroink's left-hand side at a distance of approximately 55 metres. The skid mark on the road was approximately 37 metres long. The point of impact was at the 12 metre mark of the skid. The brakes of Ms. Stroink's vehicle were activated prior to the start of the skid. Both experts agree that Ms. Stroink likely started applying the brakes of her vehicle approximately .94 of a second before impact. Mr. Leggett says Ms. Stroink's perception response time would be about 1.1 seconds. Mr. Ising has opined that the response time would be approximately 1.5 seconds. On cross-examination, Mr. Leggett agreed that the perception response time could be as much as 1.25 seconds. Given the distance covered by Ms. Edwards, at what I find was a running speed as opposed to a walk, and the perception response time necessary for Ms. Stroink to identify Ms. Edwards as a potential hazard and begin applying her brakes, in my respectful opinion Ms. Stroink was left with insufficient time to avoid the collision.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my view, counsel for Ms. Stroink is correct when he submits that Ms. Stroink did everything that was reasonably expected of her in the circumstances and did not breach any of her statutory or common law duties as a driver on the highway. She was driving carefully at the speed limit with the high beams of her vehicle activated. She was being vigilant for unexpected developments on the roadway, such as the sudden appearance of deer or other hazards. Whether she applied the brakes of her vehicle immediately upon seeing Ms. Edward's first leg come over the median, or upon seeing Ms. Edwards stumble and start running across the southbound lanes shortly thereafter, is inconsequential in my opinion. In my view, Ms. Stroink reacted quickly and appropriately when she observed and realized there was a hazard on the roadway. Tragically, there was simply insufficient warning or time for her to avoid colliding with Ms. Edwards.</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I have considered the statutory as well as common law duties that both parties had in this case. I have also considered the principles articulated in jurisprudence that counsel have cited in support of their respective positions (See: </w:t>
      </w:r>
      <w:r>
        <w:rPr>
          <w:rFonts w:ascii="arial" w:eastAsia="arial" w:hAnsi="arial" w:cs="arial"/>
          <w:i/>
          <w:color w:val="000000"/>
          <w:sz w:val="20"/>
          <w:lang w:val="en-US" w:eastAsia="en-US" w:bidi="ar-SA"/>
        </w:rPr>
        <w:t>Townsend v. Kroppmanns</w:t>
      </w:r>
      <w:r>
        <w:rPr>
          <w:rFonts w:ascii="arial" w:eastAsia="arial" w:hAnsi="arial" w:cs="arial"/>
          <w:color w:val="000000"/>
          <w:sz w:val="20"/>
          <w:lang w:val="en-US" w:eastAsia="en-US" w:bidi="ar-SA"/>
        </w:rPr>
        <w:t xml:space="preserve">, </w:t>
      </w:r>
      <w:hyperlink r:id="rId1056" w:history="1">
        <w:r>
          <w:rPr>
            <w:rFonts w:ascii="arial" w:eastAsia="arial" w:hAnsi="arial" w:cs="arial"/>
            <w:i/>
            <w:color w:val="0077CC"/>
            <w:sz w:val="20"/>
            <w:u w:val="single"/>
            <w:shd w:val="clear" w:color="auto" w:fill="FFFFFF"/>
            <w:lang w:val="en-US" w:eastAsia="en-US" w:bidi="ar-SA"/>
          </w:rPr>
          <w:t>[1998] B.C.J. No. 897</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Christensen v. Gerber</w:t>
      </w:r>
      <w:r>
        <w:rPr>
          <w:rFonts w:ascii="arial" w:eastAsia="arial" w:hAnsi="arial" w:cs="arial"/>
          <w:color w:val="000000"/>
          <w:sz w:val="20"/>
          <w:lang w:val="en-US" w:eastAsia="en-US" w:bidi="ar-SA"/>
        </w:rPr>
        <w:t xml:space="preserve">, </w:t>
      </w:r>
      <w:hyperlink r:id="rId1057" w:history="1">
        <w:r>
          <w:rPr>
            <w:rFonts w:ascii="arial" w:eastAsia="arial" w:hAnsi="arial" w:cs="arial"/>
            <w:i/>
            <w:color w:val="0077CC"/>
            <w:sz w:val="20"/>
            <w:u w:val="single"/>
            <w:shd w:val="clear" w:color="auto" w:fill="FFFFFF"/>
            <w:lang w:val="en-US" w:eastAsia="en-US" w:bidi="ar-SA"/>
          </w:rPr>
          <w:t>2007 BCSC 1397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Wong-Lai v. Ong</w:t>
      </w:r>
      <w:r>
        <w:rPr>
          <w:rFonts w:ascii="arial" w:eastAsia="arial" w:hAnsi="arial" w:cs="arial"/>
          <w:color w:val="000000"/>
          <w:sz w:val="20"/>
          <w:lang w:val="en-US" w:eastAsia="en-US" w:bidi="ar-SA"/>
        </w:rPr>
        <w:t xml:space="preserve">, </w:t>
      </w:r>
      <w:hyperlink r:id="rId1058" w:history="1">
        <w:r>
          <w:rPr>
            <w:rFonts w:ascii="arial" w:eastAsia="arial" w:hAnsi="arial" w:cs="arial"/>
            <w:i/>
            <w:color w:val="0077CC"/>
            <w:sz w:val="20"/>
            <w:u w:val="single"/>
            <w:shd w:val="clear" w:color="auto" w:fill="FFFFFF"/>
            <w:lang w:val="en-US" w:eastAsia="en-US" w:bidi="ar-SA"/>
          </w:rPr>
          <w:t>2011 BCSC 1260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Mawani v. Pitcairn</w:t>
      </w:r>
      <w:r>
        <w:rPr>
          <w:rFonts w:ascii="arial" w:eastAsia="arial" w:hAnsi="arial" w:cs="arial"/>
          <w:color w:val="000000"/>
          <w:sz w:val="20"/>
          <w:lang w:val="en-US" w:eastAsia="en-US" w:bidi="ar-SA"/>
        </w:rPr>
        <w:t xml:space="preserve">, </w:t>
      </w:r>
      <w:hyperlink r:id="rId1059" w:history="1">
        <w:r>
          <w:rPr>
            <w:rFonts w:ascii="arial" w:eastAsia="arial" w:hAnsi="arial" w:cs="arial"/>
            <w:i/>
            <w:color w:val="0077CC"/>
            <w:sz w:val="20"/>
            <w:u w:val="single"/>
            <w:shd w:val="clear" w:color="auto" w:fill="FFFFFF"/>
            <w:lang w:val="en-US" w:eastAsia="en-US" w:bidi="ar-SA"/>
          </w:rPr>
          <w:t>2012 BCSC 1288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Lariviere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consequences for Ms. Edwards of what happened on the night of 8 August 2013 have been devastating and life altering. It is a tragedy for her and her family. The same events have also deeply affected Ms. Stroink. I have no doubt the same can be said about Mr. McMullen. I must nevertheless approach my task of determining who was legally responsible for the accident based solely on the evidence presented at trial and without any sympathy for any of the parties.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burden of proof is on the plaintiff. That is, she must prove on a balance of probabilities whether it was more likely than not that the accident occurred as she alleges it did. I am not satisfied the plaintiff has met that burden.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In my opinion Ms. Edwards is 100 percent responsible for the accident and no fault lies at the feet of Ms. Stroink. In the result, Ms. Edwards' action is dismissed.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 thank counsel for their work on this case.</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[DISCUSSION WITH COUNSEL]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COURT: All right, I thank you for those additional submissions and clarifications.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MR. TURNHAM: Would your lordship pronounce an order that there be no costs, then?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MR. JORDAN: Yes, we had an agreement with regard to costs, my lord.</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Order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COURT: The defendant does not seek her costs of this litigation. In light of that fact, Ms. Edwards' action is dismissed with each side bearing its own costs.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MR. TURNHAM: Right. Thank you, my lord.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COURT: Very good. Thank you.</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G.R.J. GAUL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2" style="position:absolute;z-index:25189273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060"/>
          <w:headerReference w:type="default" r:id="rId1061"/>
          <w:footerReference w:type="even" r:id="rId1062"/>
          <w:footerReference w:type="default" r:id="rId1063"/>
          <w:headerReference w:type="first" r:id="rId1064"/>
          <w:footerReference w:type="first" r:id="rId106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66" w:history="1">
        <w:r>
          <w:rPr>
            <w:rFonts w:ascii="arial" w:eastAsia="arial" w:hAnsi="arial" w:cs="arial"/>
            <w:b/>
            <w:bCs/>
            <w:i/>
            <w:color w:val="0077CC"/>
            <w:kern w:val="32"/>
            <w:sz w:val="28"/>
            <w:szCs w:val="32"/>
            <w:u w:val="single"/>
            <w:shd w:val="clear" w:color="auto" w:fill="FFFFFF"/>
            <w:lang w:val="en-US" w:eastAsia="en-US" w:bidi="ar-SA"/>
          </w:rPr>
          <w:t>Forliti (Guardian ad litem of) v. Woolley, [2003] B.C.J. No. 1627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Garson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26,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10,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C995496</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[2003] B.C.J. No. 1627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2003 BCSC 1082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17 B.C.L.R. (4th) 184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18 C.C.L.T. (3d) 98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123 A.C.W.S. (3d) 764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[2003] B.C.T.C. 1082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Blue Mattino Forliti, an infant by his Guardian ad Litem, Dawn Irene Forliti, plaintiff, and Dr. Harold Ewart Woolley, Dr. Malcolm Kim Sing, Burnary Hospital Society, Nurse P. Dowey, Nurse May Miguel, Nurse S. Low, Nurse M. Duncombe, Nurse Michand, Nurse Ekuelker, Radiologist Doe, Technologist Doe,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53" style="position:absolute;z-index:2517053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99" w:name="Keywords_44"/>
      <w:bookmarkEnd w:id="299"/>
      <w:r>
        <w:rPr>
          <w:rFonts w:ascii="arial" w:eastAsia="arial" w:hAnsi="arial" w:cs="arial"/>
          <w:b/>
          <w:color w:val="000000"/>
          <w:sz w:val="20"/>
          <w:lang w:val="en-US" w:eastAsia="en-US" w:bidi="ar-SA"/>
        </w:rPr>
        <w:t xml:space="preserve">Medicine — Liability of practitioners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or fault — Consent of patient — Duty of care to foetus — Practice — Pleadings — Amendment of pleadings — Adding new cause of action.</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00" w:name="Case Summary_41"/>
            <w:bookmarkEnd w:id="30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Appeal by the infant plaintiff Forliti from the dismissal of his application to amend his statement of claim to add an allegation that Woolley and the other defendants failed to obtain the informed consent of his mother to a vaginal breach delivery procedure. Appeal by Forliti's mother from the dismissal of her application to add herself as a plaintiff. The master found that the proposed amendments raised a new cause of action. He found it was not just and convenient to allow the amendment four years after the expiry of the limitation period. He concluded that the mother was not a necessary party to the effective adjudication of the proceeding and that her claim was a new cause of action and was not related to any relief claimed in the existing proceeding.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01" w:name="Holdings of Court_36"/>
            <w:bookmarkEnd w:id="301"/>
            <w:r>
              <w:rPr>
                <w:rFonts w:ascii="arial" w:eastAsia="arial" w:hAnsi="arial" w:cs="arial"/>
                <w:color w:val="000000"/>
                <w:sz w:val="20"/>
                <w:lang w:val="en-US" w:eastAsia="en-US" w:bidi="ar-SA"/>
              </w:rPr>
              <w:t>HELD: Appeal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cause of action contained in the proposed amendment was a novel claim. However, it could not be said that it was bound to fail and ought not to be permitted to proceed to trial. The amendment was not frivolous. The issue ought to proceed to trial where it might be argued more fully. The amendment was allowed against Woolley only. The mother's appeal was dismissed.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02" w:name="Legislation Cited_31"/>
      <w:bookmarkEnd w:id="30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54" style="position:absolute;z-index:2517565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Rules 15(5)(a)(ii), 15(5)(a)(iii), 19(24), 24, 24(1).</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Limitation Act, ss. 4(4), 6(4)(b).</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03" w:name="Counsel_45"/>
      <w:bookmarkEnd w:id="303"/>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55" style="position:absolute;z-index:2518077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G.V. Lauk, Q.C., for the plaintiff. K.F. Douglas, for the defendants, Dr. Woolley and Dr. Kim Singh. J.C. Grauer, for the defendants, Burnaby Hospital Society, Nurse P. Dowey, Nurse M. Miguel, Nurse S. Low, Nurse M. Duncombe and Nurse Ekuelker.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04" w:name="Judgment_44"/>
      <w:bookmarkEnd w:id="304"/>
      <w:r>
        <w:pict>
          <v:line id="_x0000_s1256" style="position:absolute;z-index:251856896"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[Quicklaw note: A Corrigendum was released by the Court July 29, 2003. The correction has been made to the text and the Corrigendum is appended to this document.]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05" w:name="GARSON J."/>
            <w:bookmarkEnd w:id="305"/>
            <w:r>
              <w:rPr>
                <w:rFonts w:ascii="arial" w:eastAsia="arial" w:hAnsi="arial" w:cs="arial"/>
                <w:b/>
                <w:color w:val="000000"/>
                <w:sz w:val="30"/>
                <w:lang w:val="en-US" w:eastAsia="en-US" w:bidi="ar-SA"/>
              </w:rPr>
              <w:t>GARSON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application of the infant plaintiff, Blue Mattino Forliti, and his mother and guardian ad litem, Dawn Forliti, to amend the Statement of Claim to add an allegation that Dr. Woolley and the other defendants failed to obtain the informed consent of the plaintiff to a vaginal breach delivery procedure. Dawn Forliti also applies to add herself as a plaintiff. The application was heard by a Master and dismissed. The plaintiff now appeals from the Order of the Master.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issue for me to decide is whether the infant plaintiff may amend the statement of claim to plead, on his own behalf, Dr. Woolley's failure to obtain the informed consent of his mother or whether such a cause of action may only be advanced by his mother, in which case it is said the cause of action is statute barred. The mother is not now a plaintiff except as guardian ad litem of the infant.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amendments set out in a draft Amended Statement of Claim attached to the Notice of Motion are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particulars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contract and fiduciary duty of Dr. Woolley, Dr. Sing ... are as follows...</w:t>
      </w:r>
    </w:p>
    <w:p>
      <w:pPr>
        <w:numPr>
          <w:numId w:val="29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explain the risks of a vaginal frank breach delivery procedure to the plaintiff Dawn;</w:t>
      </w:r>
    </w:p>
    <w:p>
      <w:pPr>
        <w:numPr>
          <w:numId w:val="29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obtain an informed consent to the procedure from the plaintiff Dawn.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 Lauk confirms that he does not seek damages for Dawn Forliti (the mother) in her own right. In fact, he says he is not particularly concerned that Dawn Forliti be added as a plaintiff. What he really seeks is the amendment entitling the infant, Blue Forliti, to advance the allegations as set out in [paragraph] 20 (i) and (j) just quoted. That is, the allegation of a failure to obtain informed consent.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Lauk argues that the right to information as to the safe method of delivery could not be transmitted to the child in utero but only to his mother. But upon his live birth that right to information and to give the informed consent of his mother accrues to his benefit.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This issue was not, I gather from counsel, argued explicitly before Master Barber, and it is not mentioned in his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Master's decision may be summarized as follows:</w:t>
      </w:r>
      <w:r>
        <w:rPr>
          <w:rFonts w:ascii="arial" w:eastAsia="arial" w:hAnsi="arial" w:cs="arial"/>
          <w:sz w:val="20"/>
          <w:lang w:val="en-US" w:eastAsia="en-US" w:bidi="ar-SA"/>
        </w:rPr>
        <w:cr/>
      </w:r>
    </w:p>
    <w:p>
      <w:pPr>
        <w:numPr>
          <w:numId w:val="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child was born on October 18, 1997.</w:t>
      </w:r>
    </w:p>
    <w:p>
      <w:pPr>
        <w:numPr>
          <w:numId w:val="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Ms. Forliti retained legal counsel on July 18, 1998.</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Statement of Claim was issued by the infant Blue Forliti, through his guardian ad litem on October 22, 1999.</w:t>
      </w:r>
    </w:p>
    <w:p>
      <w:pPr>
        <w:numPr>
          <w:numId w:val="5"/>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limitation period is two years. The Master found the limitation period expired two years after the birth, on October 17, 1999.</w:t>
      </w:r>
    </w:p>
    <w:p>
      <w:pPr>
        <w:numPr>
          <w:numId w:val="6"/>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proposed amendments raise a new cause of action.</w:t>
      </w:r>
    </w:p>
    <w:p>
      <w:pPr>
        <w:numPr>
          <w:numId w:val="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Master concluded that the plaintiff had not proven that the limitation period should be postponed past the ordinary expiry period (two years) pursuant to s. 6(4)(b) of the Limitation Act.</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 4(4) of the Limitation Act has no application because it is only applicable where a limitation period expired "since the commencement of the plaintiff's action not before."</w:t>
      </w:r>
    </w:p>
    <w:p>
      <w:pPr>
        <w:numPr>
          <w:numId w:val="9"/>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doctors submitted that Rule 24 permits amendments with leave of the Court at any time. However, if the Court finds that an amendment raises causes of action which have become statute barred after the issuance of the Writ, the party seeking the amendment must convince the Court that it is both "just and convenient" that the amendments be granted. The Master adopted this submission and the submission that it was not "just and convenient" to allow the amendment to plead a new cause of action four years after the expiry of the limitation period.</w:t>
      </w:r>
    </w:p>
    <w:p>
      <w:pPr>
        <w:numPr>
          <w:numId w:val="10"/>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Master concluded that Rules 15(5)(a)(ii) and (iii) did not assist the plaintiff and he declined to add Ms. Forliti as a plaintiff. He stated that the applicant did not come under sub rule (ii) because the proposed party, Ms. Forliti, was not a necessary party to the effective adjudication of the proceeding as required by that Rule. Similarly he declined to add Ms. Forliti under sub rule (iii) because her claim was a new cause of action and was "not related to any relief claimed in the existing proceeding or with any subject matter of the proceeding itself except in a tangential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The standard of review on an appeal from a Master's interlocutory order requires that the appellant demonstrate the Master's decision was clearly wrong: Abermin Corp. v. Granges Exploration Ltd. </w:t>
      </w:r>
      <w:hyperlink r:id="rId1067" w:history="1">
        <w:r>
          <w:rPr>
            <w:rFonts w:ascii="arial" w:eastAsia="arial" w:hAnsi="arial" w:cs="arial"/>
            <w:i/>
            <w:color w:val="0077CC"/>
            <w:sz w:val="20"/>
            <w:u w:val="single"/>
            <w:shd w:val="clear" w:color="auto" w:fill="FFFFFF"/>
            <w:lang w:val="en-US" w:eastAsia="en-US" w:bidi="ar-SA"/>
          </w:rPr>
          <w:t>(1990), 45 B.C.L.R. (2d) 188</w:t>
        </w:r>
      </w:hyperlink>
      <w:r>
        <w:rPr>
          <w:rFonts w:ascii="arial" w:eastAsia="arial" w:hAnsi="arial" w:cs="arial"/>
          <w:color w:val="000000"/>
          <w:sz w:val="20"/>
          <w:lang w:val="en-US" w:eastAsia="en-US" w:bidi="ar-SA"/>
        </w:rPr>
        <w:t xml:space="preserve"> at 193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 have reviewed the Master's Reasons for Judgment and on the issues which were argued before him, I cannot find that he was clearly wrong. Mr. Lauk pursued this appeal not on the basis of errors found in the Master's reasons, but rather in reliance on a new ground for the amendment sought.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Mr. Grauer for the hospital and remaining defendants, other than the doctors, says that if the amendment is permitted it ought not to be allowed as an omnibus amendment against all the defendants. He notes that a plea of informed consent can succeed without the finding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but cannot succeed as against his clients as the duty, if owed, is owed by the doctors. I agree with Mr. Grauer. Mr. Lauk did not take issue with Mr. Grauer's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 turn first to a consideration of the onus on a plaintiff seeking an amendment to a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Rule 24(1) of the Rules of Court says: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party may amend an originating process or pleading issued or filed by the party at any time with leave of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The general principles with respect to amendments were set out by McLachlin J. (as she then was) in Victoria Grey Metro Trust Company v. Fort Gary Trust Company </w:t>
      </w:r>
      <w:hyperlink r:id="rId1068" w:history="1">
        <w:r>
          <w:rPr>
            <w:rFonts w:ascii="arial" w:eastAsia="arial" w:hAnsi="arial" w:cs="arial"/>
            <w:i/>
            <w:color w:val="0077CC"/>
            <w:sz w:val="20"/>
            <w:u w:val="single"/>
            <w:shd w:val="clear" w:color="auto" w:fill="FFFFFF"/>
            <w:lang w:val="en-US" w:eastAsia="en-US" w:bidi="ar-SA"/>
          </w:rPr>
          <w:t>(1982), 30 B.C.L.R. (2d) 45</w:t>
        </w:r>
      </w:hyperlink>
      <w:r>
        <w:rPr>
          <w:rFonts w:ascii="arial" w:eastAsia="arial" w:hAnsi="arial" w:cs="arial"/>
          <w:color w:val="000000"/>
          <w:sz w:val="20"/>
          <w:lang w:val="en-US" w:eastAsia="en-US" w:bidi="ar-SA"/>
        </w:rPr>
        <w:t xml:space="preserve"> at pages 46 - 47 (S.C.):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Before addressing the proposed pleadings, I refer to the principles which govern the granting of amendments to pleadings. The basic rule, set out expressly in the former rules and no doubt still applicable, is that such amendments should be permitted as are necessary to determine the real question in issue between the parties ... However, the court will not allow useless amendments ... it may be noted that it is only in the clearest cases that a pleading will be struck out as disclosing no reasonable claim; </w:t>
      </w:r>
      <w:r>
        <w:rPr>
          <w:rFonts w:ascii="arial" w:eastAsia="arial" w:hAnsi="arial" w:cs="arial"/>
          <w:color w:val="000000"/>
          <w:sz w:val="20"/>
          <w:u w:val="single"/>
          <w:lang w:val="en-US" w:eastAsia="en-US" w:bidi="ar-SA"/>
        </w:rPr>
        <w:t>where there is doubt on either the facts or law, the matter should be allowed to proceed for determination at trial</w:t>
      </w:r>
      <w:r>
        <w:rPr>
          <w:rFonts w:ascii="arial" w:eastAsia="arial" w:hAnsi="arial" w:cs="arial"/>
          <w:color w:val="000000"/>
          <w:sz w:val="20"/>
          <w:lang w:val="en-US" w:eastAsia="en-US" w:bidi="ar-SA"/>
        </w:rPr>
        <w:t xml:space="preserve"> .... If there is any doubt, it should be resolved in favour of permitting the pleadings to stand ... While these cases deal with striking out claims already pleaded, consistency demands that the same considerations apply to the question of amendment to permit new claims.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(See also Quintette Coal Ltd. v. Bow Valley Resource Services Ltd. </w:t>
      </w:r>
      <w:hyperlink r:id="rId1069" w:history="1">
        <w:r>
          <w:rPr>
            <w:rFonts w:ascii="arial" w:eastAsia="arial" w:hAnsi="arial" w:cs="arial"/>
            <w:i/>
            <w:color w:val="0077CC"/>
            <w:sz w:val="20"/>
            <w:u w:val="single"/>
            <w:shd w:val="clear" w:color="auto" w:fill="FFFFFF"/>
            <w:lang w:val="en-US" w:eastAsia="en-US" w:bidi="ar-SA"/>
          </w:rPr>
          <w:t>(1986), 6 B.C.L.R. (2d) 347</w:t>
        </w:r>
      </w:hyperlink>
      <w:r>
        <w:rPr>
          <w:rFonts w:ascii="arial" w:eastAsia="arial" w:hAnsi="arial" w:cs="arial"/>
          <w:color w:val="000000"/>
          <w:sz w:val="20"/>
          <w:lang w:val="en-US" w:eastAsia="en-US" w:bidi="ar-SA"/>
        </w:rPr>
        <w:t xml:space="preserve"> at 354.(S.C.)).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Hunt v. Carey Canada Inc., </w:t>
      </w:r>
      <w:r>
        <w:rPr>
          <w:rFonts w:ascii="arial" w:eastAsia="arial" w:hAnsi="arial" w:cs="arial"/>
          <w:i/>
          <w:color w:val="000000"/>
          <w:sz w:val="20"/>
          <w:lang w:val="en-US" w:eastAsia="en-US" w:bidi="ar-SA"/>
        </w:rPr>
        <w:t>[1990] 2 S.C.R. 959</w:t>
      </w:r>
      <w:r>
        <w:rPr>
          <w:rFonts w:ascii="arial" w:eastAsia="arial" w:hAnsi="arial" w:cs="arial"/>
          <w:color w:val="000000"/>
          <w:sz w:val="20"/>
          <w:lang w:val="en-US" w:eastAsia="en-US" w:bidi="ar-SA"/>
        </w:rPr>
        <w:t>, concerned an application, pursuant to Rule 19(24), to strike a statement of claim because it disclosed no reasonable cause of action. As noted by McLachlin J. in Victoria Grey, and by Lysyk J. in Quintette, the test on such an application would be similar or analogous to the test to be applied on an application to amend a statement of claim. At [paragraph] 52, Wilson J. held: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fact that a pleading reveals "an arguable, difficult or important point of law" cannot justify striking out part of the statement of claim. Indeed, I would go so far as to suggest that where a statement of claim reveals a difficult and important point of law, it may well be critical that the action be allowed to proceed. Only in this way can we be sure that the common law in general, and the law of torts in particular, will continue to evolve to meet the legal challenges that arise in our modern industrial society.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Does the infant's proposed amendment meet the threshold described in the Victoria Grey, Quintette and Hunt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cause of action which Mr. Lauk advances on behalf of the infant plaintiff is undoubtedly a novel claim. Counsel have been unable to refer me to any authority in which a claim for failure to obtain the mother's informed consent has been advanced by an infant, successfully or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Ms. Douglas, for the doctors, says that Cherry (Guardian Ad Litem) v. Borsman </w:t>
      </w:r>
      <w:hyperlink r:id="rId1070" w:history="1">
        <w:r>
          <w:rPr>
            <w:rFonts w:ascii="arial" w:eastAsia="arial" w:hAnsi="arial" w:cs="arial"/>
            <w:i/>
            <w:color w:val="0077CC"/>
            <w:sz w:val="20"/>
            <w:u w:val="single"/>
            <w:shd w:val="clear" w:color="auto" w:fill="FFFFFF"/>
            <w:lang w:val="en-US" w:eastAsia="en-US" w:bidi="ar-SA"/>
          </w:rPr>
          <w:t>(1992),94 D.L.R. (4th) 487</w:t>
        </w:r>
      </w:hyperlink>
      <w:r>
        <w:rPr>
          <w:rFonts w:ascii="arial" w:eastAsia="arial" w:hAnsi="arial" w:cs="arial"/>
          <w:color w:val="000000"/>
          <w:sz w:val="20"/>
          <w:lang w:val="en-US" w:eastAsia="en-US" w:bidi="ar-SA"/>
        </w:rPr>
        <w:t xml:space="preserve"> (B.C.C.A.), is authority for the proposition that there are two separate and distinct duties of care owed in a medical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case, one to the mother and one to the fetus. She argues that a fetus in utero is a non-legal entity. The fetus could not contract in utero. Any contract would be entered into with the mother.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Further, she says it would be a "complete legal fiction to assert that the fetus has a right to informed consent. Only the mother can assert such a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In Cherry, supra, a medical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was commenced following a failed abortion procedure which resulted in the birth of a severely disabled infant. Both the infant and his mother were named as plaintiffs in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As Ms. Douglas notes, the Cherry case stands for the proposition that the rights of an infant vest at birth. In other words, the infant's ability to commence a legal action to recover damages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for breach of contract are dependent on his live birth. The Court of Appeal stated (at 504) that "the injuries inflicted upon the fetus resulted in rights which accrued to the child upon her life birth. Had the abortion been effective, her cause of action would not have arisen".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At page 505 the Court of Appeal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significant that the infant plaintiff relies on the injuries she alleges she suffered in the August 31st operation [the failed abortion]. No reliance is placed by the infant plaintiff on the defendant's failure to realize the abortion had failed. The duty of care in that respect, says the plaintiffs, is a duty to the mother and the mother only. That, says the plaintiff, is why this is not a wrongful life case. We agree with that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Lauk responds by arguing that here the mother is essentially the agent of the fetus; that she, as the agent of the fetus, was not provided with information sufficient to give the informed consent to the breach delivery; that that duty of care which the doctor owed to the fetus was exercised by the mother while the fetus was in utero, but vests in the child upon the live birth.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While it is true that this is a novel argument, I cannot at this stage say that it is bound to fail and ought not to be permitted to proceed to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For the reasons which follow, I find that the cause of action delineated in the proposed amendments is not frivolous, although I have some doubt as to the correctness of the agency position advanced by Mr. Lauk. While the legal issue, of whether the infant may advance the informed consent cause of action, at first appears capable of resolution on a summary basis, I am not sure that the narrow ground upon which each party based their argument is sufficient to dispose of this complex question. The following jurisprudence illustrates some of the broad considerations involved. I conclude that the issue raised by this application deserves a fuller argument preferably within the factual context available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Informed Consent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The notion of informed consent relates, in the vast majority of cases, to a cause of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rather than battery but may be said to have evolved from the notion of battery. A battery occurs when there is "an unprivileged, unconsented to and intentional invasion of [a person's] bodily integrity": Reibl v. Hughes </w:t>
      </w:r>
      <w:hyperlink r:id="rId1071" w:history="1">
        <w:r>
          <w:rPr>
            <w:rFonts w:ascii="arial" w:eastAsia="arial" w:hAnsi="arial" w:cs="arial"/>
            <w:i/>
            <w:color w:val="0077CC"/>
            <w:sz w:val="20"/>
            <w:u w:val="single"/>
            <w:shd w:val="clear" w:color="auto" w:fill="FFFFFF"/>
            <w:lang w:val="en-US" w:eastAsia="en-US" w:bidi="ar-SA"/>
          </w:rPr>
          <w:t>(1980), 114 D.L.R. (3d) 1</w:t>
        </w:r>
      </w:hyperlink>
      <w:r>
        <w:rPr>
          <w:rFonts w:ascii="arial" w:eastAsia="arial" w:hAnsi="arial" w:cs="arial"/>
          <w:color w:val="000000"/>
          <w:sz w:val="20"/>
          <w:lang w:val="en-US" w:eastAsia="en-US" w:bidi="ar-SA"/>
        </w:rPr>
        <w:t xml:space="preserve"> at 10 (S.C.C.). With respect to medical treatment, a battery occurs when there is either no consent to treatment at all, or that consent is obtained via fraud or misrepresentation. On the other hand, a failure to disclose the attendant risks of a procedure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relates to an informed choice of submitting to or refusing recommended and appropriate treatment ... [and] arises as a breach of an anterior duty of due care, comparable in legal obligation to the duty of due care in carrying out the particular treatment to which the patient has consented: Reibl v. Hughes, supra at 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In other words, failure to properly inform a patient of the risks of a procedure goes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Tort Liability for Prenatal </w:t>
      </w: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It is now well established that a live-born infant may bring an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damages arising from the actions of a third party while the infant was a fetus in utero: Cherry v. Borsman, supra; Duval v. Seguin, </w:t>
      </w:r>
      <w:hyperlink r:id="rId1072" w:history="1">
        <w:r>
          <w:rPr>
            <w:rFonts w:ascii="arial" w:eastAsia="arial" w:hAnsi="arial" w:cs="arial"/>
            <w:i/>
            <w:color w:val="0077CC"/>
            <w:sz w:val="20"/>
            <w:u w:val="single"/>
            <w:shd w:val="clear" w:color="auto" w:fill="FFFFFF"/>
            <w:lang w:val="en-US" w:eastAsia="en-US" w:bidi="ar-SA"/>
          </w:rPr>
          <w:t>(1972) 26 D.L.R. (3d) 418</w:t>
        </w:r>
      </w:hyperlink>
      <w:r>
        <w:rPr>
          <w:rFonts w:ascii="arial" w:eastAsia="arial" w:hAnsi="arial" w:cs="arial"/>
          <w:color w:val="000000"/>
          <w:sz w:val="20"/>
          <w:lang w:val="en-US" w:eastAsia="en-US" w:bidi="ar-SA"/>
        </w:rPr>
        <w:t xml:space="preserve"> (Ont. H.C.), aff'd </w:t>
      </w:r>
      <w:hyperlink r:id="rId1073" w:history="1">
        <w:r>
          <w:rPr>
            <w:rFonts w:ascii="arial" w:eastAsia="arial" w:hAnsi="arial" w:cs="arial"/>
            <w:i/>
            <w:color w:val="0077CC"/>
            <w:sz w:val="20"/>
            <w:u w:val="single"/>
            <w:shd w:val="clear" w:color="auto" w:fill="FFFFFF"/>
            <w:lang w:val="en-US" w:eastAsia="en-US" w:bidi="ar-SA"/>
          </w:rPr>
          <w:t>(1973), 1 O.R. (2d) 482</w:t>
        </w:r>
      </w:hyperlink>
      <w:r>
        <w:rPr>
          <w:rFonts w:ascii="arial" w:eastAsia="arial" w:hAnsi="arial" w:cs="arial"/>
          <w:color w:val="000000"/>
          <w:sz w:val="20"/>
          <w:lang w:val="en-US" w:eastAsia="en-US" w:bidi="ar-SA"/>
        </w:rPr>
        <w:t xml:space="preserve"> (C.A.); Montreal Tramways Co. v. Léveillé, </w:t>
      </w:r>
      <w:hyperlink r:id="rId1074" w:history="1">
        <w:r>
          <w:rPr>
            <w:rFonts w:ascii="arial" w:eastAsia="arial" w:hAnsi="arial" w:cs="arial"/>
            <w:i/>
            <w:color w:val="0077CC"/>
            <w:sz w:val="20"/>
            <w:u w:val="single"/>
            <w:shd w:val="clear" w:color="auto" w:fill="FFFFFF"/>
            <w:lang w:val="en-US" w:eastAsia="en-US" w:bidi="ar-SA"/>
          </w:rPr>
          <w:t>[1933] S.C.R. 456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rationale underlying such cause of action has been explained in two ways. In Duval, Fraser J. applied the "neighbour principle" as set out in Donoghue v. Stevenson, [1932] A.C. 562 (H.L.). He stated, at 433: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Ann's mother was plainly one of a class within the area of foreseeable risk and one to whom the defendants therefore owed a duty. Was Ann any the less so? I think not. Procreation is normal and necessary for the preservation of the race. If a driver drives on a highway without due care for other users it is foreseeable that some of the other users of the highway will be pregnant women and that a child en ventre sa mere may be injured. Such a child therefore falls well within the area of potential danger which the driver is required to foresee and take reasonable care to avoid.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my opinion it is not necessary in the present case to consider whether the unborn child was a person in law or at which stage she became a person.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to be a tort there must be damages. While it was the fetus or child en ventre sa mere who was injured, the damages sued for are the damages suffered by the plaintiff Ann since birth and which she will continue to suffer as a result of that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Justice Lamont, in Montreal Tramways, invoked general principles of compensation and the concept of natural justice and stated, at 464: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a child after birth has no right of action for pre-natal injuries, we have a wrong inflicted for which there is no remedy, for, although the father may be entitled to compensation for the loss he has incurred and the mother for what she has suffered, yet there is a residuum of injury for which compensation cannot be had save at the suit of the child. If a right of action be denied to the child it will be compelled, without any fault on its part, to go through life carrying the seal of another's fault and bearing a very heavy burden of infirmity and inconvenience without any compensation therefore. To my mind it is but natural justice that a child, if born alive and viable, should be allowed to maintain an action in the courts for injuries wrongfully committed upon its person while in the womb of its mother.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Unity of Mother and Fetus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It is also equally clear from the jurisprudence that an unborn fetus is not a legal person and is possessed of no legal right: Winnipeg Child and Family Services (Northwest Area) v. D.F.G., </w:t>
      </w:r>
      <w:hyperlink r:id="rId1075" w:history="1">
        <w:r>
          <w:rPr>
            <w:rFonts w:ascii="arial" w:eastAsia="arial" w:hAnsi="arial" w:cs="arial"/>
            <w:i/>
            <w:color w:val="0077CC"/>
            <w:sz w:val="20"/>
            <w:u w:val="single"/>
            <w:shd w:val="clear" w:color="auto" w:fill="FFFFFF"/>
            <w:lang w:val="en-US" w:eastAsia="en-US" w:bidi="ar-SA"/>
          </w:rPr>
          <w:t>[1997] 3 S.C.R. 925</w:t>
        </w:r>
      </w:hyperlink>
      <w:r>
        <w:rPr>
          <w:rFonts w:ascii="arial" w:eastAsia="arial" w:hAnsi="arial" w:cs="arial"/>
          <w:color w:val="000000"/>
          <w:sz w:val="20"/>
          <w:lang w:val="en-US" w:eastAsia="en-US" w:bidi="ar-SA"/>
        </w:rPr>
        <w:t xml:space="preserve"> at [paragraph] 16. As noted above, those rights (including the ability to sue in tort) accrue on the live birth of the infant.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Where are these legal rights accruing </w:t>
      </w:r>
      <w:r>
        <w:rPr>
          <w:rFonts w:ascii="arial" w:eastAsia="arial" w:hAnsi="arial" w:cs="arial"/>
          <w:color w:val="000000"/>
          <w:sz w:val="20"/>
          <w:u w:val="single"/>
          <w:lang w:val="en-US" w:eastAsia="en-US" w:bidi="ar-SA"/>
        </w:rPr>
        <w:t>from</w:t>
      </w:r>
      <w:r>
        <w:rPr>
          <w:rFonts w:ascii="arial" w:eastAsia="arial" w:hAnsi="arial" w:cs="arial"/>
          <w:color w:val="000000"/>
          <w:sz w:val="20"/>
          <w:lang w:val="en-US" w:eastAsia="en-US" w:bidi="ar-SA"/>
        </w:rPr>
        <w:t xml:space="preserve"> while the fetus is </w:t>
      </w:r>
      <w:r>
        <w:rPr>
          <w:rFonts w:ascii="arial" w:eastAsia="arial" w:hAnsi="arial" w:cs="arial"/>
          <w:b/>
          <w:color w:val="000000"/>
          <w:sz w:val="20"/>
          <w:lang w:val="en-US" w:eastAsia="en-US" w:bidi="ar-SA"/>
        </w:rPr>
        <w:t>in utero</w:t>
      </w:r>
      <w:r>
        <w:rPr>
          <w:rFonts w:ascii="arial" w:eastAsia="arial" w:hAnsi="arial" w:cs="arial"/>
          <w:color w:val="000000"/>
          <w:sz w:val="20"/>
          <w:lang w:val="en-US" w:eastAsia="en-US" w:bidi="ar-SA"/>
        </w:rPr>
        <w:t>? In Winnipeg Child and Family Services, McLachlin J. (as she was then) asserted at [paragraph] 27,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Before birth the mother and unborn child are one in the sense that "[t]he 'life' of the fetus is intimately connected with, and cannot be regarded in isolation from, the life of the pregnant woman": Paton v. United Kingdom (1980), 3 E.H.R.R. 408 (Comm.), at p. 415, applied in Re F (in utero), [1988] 2 All E.R. 193. It is only after birth that the fetus assumes a separate personality. </w:t>
      </w:r>
      <w:r>
        <w:rPr>
          <w:rFonts w:ascii="arial" w:eastAsia="arial" w:hAnsi="arial" w:cs="arial"/>
          <w:b/>
          <w:color w:val="000000"/>
          <w:sz w:val="20"/>
          <w:lang w:val="en-US" w:eastAsia="en-US" w:bidi="ar-SA"/>
        </w:rPr>
        <w:t>Accordingly, the law has always treated the mother and unborn child as one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In Dobson (Litigation Guardian of) v. Dobson, </w:t>
      </w:r>
      <w:hyperlink r:id="rId1076" w:history="1">
        <w:r>
          <w:rPr>
            <w:rFonts w:ascii="arial" w:eastAsia="arial" w:hAnsi="arial" w:cs="arial"/>
            <w:i/>
            <w:color w:val="0077CC"/>
            <w:sz w:val="20"/>
            <w:u w:val="single"/>
            <w:shd w:val="clear" w:color="auto" w:fill="FFFFFF"/>
            <w:lang w:val="en-US" w:eastAsia="en-US" w:bidi="ar-SA"/>
          </w:rPr>
          <w:t>[1999] 2 S.C.R. 753</w:t>
        </w:r>
      </w:hyperlink>
      <w:r>
        <w:rPr>
          <w:rFonts w:ascii="arial" w:eastAsia="arial" w:hAnsi="arial" w:cs="arial"/>
          <w:color w:val="000000"/>
          <w:sz w:val="20"/>
          <w:lang w:val="en-US" w:eastAsia="en-US" w:bidi="ar-SA"/>
        </w:rPr>
        <w:t xml:space="preserve"> at [paragraph] 20, for the purposes of determining whether an infant could sue its birth-mother for damages caused by the mother's actions while the fetus was in utero, the Supreme Court of Canada was willing to assume, without deciding, that a pregnant woman and her fetus could be treated as distinct legal entities. However, given the Court's decision and its reluctance to determine the issue as a matter of law, this assumption is dicta and of no determinative force.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Informed Consent and the Infant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The crux of the issue here is whether a live-born infant may bring suit against a doctor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relying on a lack of informed consent on the part of the mother. Given the principles outlined above, there is at least an arguable case that this is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If the mother and fetus are to be treated as one legal entity during the span of time at which informed consent is relevant, then negligently failing to disclose relevant risks to the mother may arguably be tantamount to negligently failing to disclose risks to the fetus. It may be argued that the duty of care is owed to the legal entity made up of the mother/fetus and, if breached, may be sued upon immediately by the mother and upon live birth by the infant.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Without deciding the issue as to whether the infant does have, in his own right, a valid cause of action for the failure of Dr. Woolley to obtain the mother's informed consent, I conclude, as already noted above, that the proposed amended pleading is not frivolous and is not bound to fail and ought to be permitted to be decided at trial. There is doubt on the law, and the issue ought to proceed to trial where it may be argued more fully than it was before me on this application to amend the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Accordingly the appeal is allowed in part, and paragraphs 20 (i) and (j) are amended as an allegation against only Dr. Woolley. The appeal is dismissed in respect to the application to add Dawn Forliti as a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GARSON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Released: July 29,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 On page one of my reasons for judgment dated July 10, 2003, the initials for counsel for the defendants Burnaby Hospital Society, Nurse P. Dowey, Nurse M. Miguel, Nurse S. Low, Nurse M. Duncombe and Nurse Ekuelker are incorrect and should read "J.C." Grauer and not C.J. Grauer.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GARSON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57" style="position:absolute;z-index:25189376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077"/>
          <w:headerReference w:type="default" r:id="rId1078"/>
          <w:footerReference w:type="even" r:id="rId1079"/>
          <w:footerReference w:type="default" r:id="rId1080"/>
          <w:headerReference w:type="first" r:id="rId1081"/>
          <w:footerReference w:type="first" r:id="rId108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83" w:history="1">
        <w:r>
          <w:rPr>
            <w:rFonts w:ascii="arial" w:eastAsia="arial" w:hAnsi="arial" w:cs="arial"/>
            <w:b/>
            <w:bCs/>
            <w:i/>
            <w:color w:val="0077CC"/>
            <w:kern w:val="32"/>
            <w:sz w:val="28"/>
            <w:szCs w:val="32"/>
            <w:u w:val="single"/>
            <w:shd w:val="clear" w:color="auto" w:fill="FFFFFF"/>
            <w:lang w:val="en-US" w:eastAsia="en-US" w:bidi="ar-SA"/>
          </w:rPr>
          <w:t>GE Capital Canada Equipment Financing Inc. v. Bank of Montreal, [2003] B.C.J. No. 1791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Gerow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27,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28,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S011186</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[2003] B.C.J. No. 1791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2003 BCSC 1180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17 B.C.L.R. (4th) 304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124 A.C.W.S. (3d) 466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[2003] B.C.T.C. 1180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GE Capital Canada Equipment Financing Inc., plaintiff, and Bank of Montreal, defendant, and GE Capital Canada Equipment Financing Inc., G.E. Capital Canada Leasing Services Inc. et al.,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58" style="position:absolute;z-index:2517063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06" w:name="Keywords_45"/>
      <w:bookmarkEnd w:id="306"/>
      <w:r>
        <w:rPr>
          <w:rFonts w:ascii="arial" w:eastAsia="arial" w:hAnsi="arial" w:cs="arial"/>
          <w:b/>
          <w:color w:val="000000"/>
          <w:sz w:val="20"/>
          <w:lang w:val="en-US" w:eastAsia="en-US" w:bidi="ar-SA"/>
        </w:rPr>
        <w:t>Practice — Parties — Third party procedure — When available — Pleadings — Striking out pleadings — Grounds, failure to disclose a cause of action or defence — Grounds, new claim in statement of defence.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07" w:name="Case Summary_42"/>
            <w:bookmarkEnd w:id="30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GE Capital to strike portions of the Bank's statement of defence and the bank's entire third party notice against GE Capital and GE Leasing. Two GE employees were alleged to have engaged in a fraudulent scheme that involved entering into false loan agreements and depositing cheques totalling $13 million into various accounts at the Bank of Montreal. The funds were then paid out to other parties alleged to have been participants in the fraud. The Bank sought to raise a defence of contributory fault in its statement of defence. GE argued that contributory fault was not available as a defence to claims of conversion or knowing assistance of others in the breach of fiduciary duties. The third party notice advanced a claim for contribution that GE argued was not available as a matter of law and a claim for indemnification that GE argued should have been raised as a defence. GE also argued that an agreement the parties had entered into at an early stage of the proceedings prevented the Bank from relying on a plea of contributory fault.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08" w:name="Holdings of Court_37"/>
            <w:bookmarkEnd w:id="308"/>
            <w:r>
              <w:rPr>
                <w:rFonts w:ascii="arial" w:eastAsia="arial" w:hAnsi="arial" w:cs="arial"/>
                <w:color w:val="000000"/>
                <w:sz w:val="20"/>
                <w:lang w:val="en-US" w:eastAsia="en-US" w:bidi="ar-SA"/>
              </w:rPr>
              <w:t>HELD: Application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agreement between the parties reserved the Bank's right to rely on the defence of contributory fault once GE amended its statement of claim to assert new claims. The plea of contributory fault was not available as a defence to the allegation of conversion, so to that extent, the defence was struck. It was arguable that the defence was available with respect to the claim that the Bank knowingly assisted in a fraudulent breach of a fiduciary duty. It was premature to determine whether the Bank could rely on GE's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support of a defence of preclusion. GE Capital was the plaintiff and therefore not an appropriate third party, so the third party notice to it was struck, but the third party notice against GE Leasing was neither unnecessary nor duplicative, so it was not struck. The allegations raised in that notice were novel but they were not necessarily bound to fail.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09" w:name="Legislation Cited_32"/>
      <w:bookmarkEnd w:id="30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59" style="position:absolute;z-index:2517575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Bills of Exchange Act, </w:t>
      </w:r>
      <w:hyperlink r:id="rId1084" w:history="1">
        <w:r>
          <w:rPr>
            <w:rFonts w:ascii="arial" w:eastAsia="arial" w:hAnsi="arial" w:cs="arial"/>
            <w:i/>
            <w:color w:val="0077CC"/>
            <w:sz w:val="20"/>
            <w:u w:val="single"/>
            <w:shd w:val="clear" w:color="auto" w:fill="FFFFFF"/>
            <w:lang w:val="en-US" w:eastAsia="en-US" w:bidi="ar-SA"/>
          </w:rPr>
          <w:t>R.S.C. 1985, c. B-4, s. 48</w:t>
        </w:r>
      </w:hyperlink>
      <w:r>
        <w:rPr>
          <w:rFonts w:ascii="arial" w:eastAsia="arial" w:hAnsi="arial" w:cs="arial"/>
          <w:color w:val="000000"/>
          <w:sz w:val="20"/>
          <w:lang w:val="en-US" w:eastAsia="en-US" w:bidi="ar-SA"/>
        </w:rPr>
        <w:t>(1). British Columbia Supreme Court Rules, Rule 19(24), 19(24)(a).</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10" w:name="Counsel_46"/>
      <w:bookmarkEnd w:id="310"/>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60" style="position:absolute;z-index:2518087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Robert J. Sewell, Q.C. and William H. Veenstra, for the plaintiff. Gerald W. Ghikas, Q.C. and Grant H. Mayovsky, for the defendant.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11" w:name="Judgment_45"/>
      <w:bookmarkEnd w:id="311"/>
      <w:r>
        <w:pict>
          <v:line id="_x0000_s1261" style="position:absolute;z-index:251857920"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7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12" w:name="GEROW J."/>
            <w:bookmarkEnd w:id="312"/>
            <w:r>
              <w:rPr>
                <w:rFonts w:ascii="arial" w:eastAsia="arial" w:hAnsi="arial" w:cs="arial"/>
                <w:b/>
                <w:color w:val="000000"/>
                <w:sz w:val="30"/>
                <w:lang w:val="en-US" w:eastAsia="en-US" w:bidi="ar-SA"/>
              </w:rPr>
              <w:t>GEROW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application by the plaintiff to strike portions of the further amended statement of defence and the entire third party notice as against the plaintiff and GE Capital Canada Leasing Services Inc. (GE Leasing) pursuant to Rule 19(24) of the Rules of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This is a dispute between two financial institutions, one of which had employees who were fraudulent. The plaintiff operated a branch of its business in Cranbrook, B.C. through which it, amongst other things, financed loans of heavy construction equipment as part of its business. The manager of the Cranbrook branch was Mr. Paul LeBlanc and the assistant manager was Ronald Puffer. Messrs. LeBlanc and Puffer were authorized by the plaintiff to sign cheques drawn by the plaintiff on its account with the National Bank of Canada in Montreal, Quebec. The limit of their signing authority was $250,000.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alleges that from about December 1998 to about February 2000 Messrs. LeBlanc and Puffer engaged in a fraudulent scheme by which they caused the plaintiff to enter into a number of loan agreements on the basis of fraudulent representations.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Pursuant to the scheme Messrs. LeBlanc and Puffer caused a number of cheques to be issued to entities with accounts at the Golden, B.C. branch of the Bank of Montreal. The further amended statement of claim refers to 90 cheques totalling over $13 million. The plaintiff alleges the payees were participants in the fraudulent scheme. The defendant admits that the cheques were issued and that they were deposited into accounts at its Golden branch but denies that the cheques were part of a fraudulent scheme and denies that the payees were participants in any such scheme.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two paragraphs the plaintiff seeks to strike out of the further amended statement of defence include allegations of contributory fault. The plaintiffs position is that contributory fault is not, as a matter of law, available where the cause of action relied on by the plaintiff is either conversion or knowing assistance in the breach by others of fiduciary duties owed to the plaintiff. As well, the plaintiff relies on an agreement whereby the defendant withdrew similar pleas of contributory fault contained in an earlier version of the statement of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and GE Leasing seek to strike out the third party notice on the grounds that the third party notice advances a claim for contribution which is not available as a matter of law and includes a claim for indemnification which should properly be raised as a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issues to be decided on this application are:</w:t>
      </w:r>
      <w:r>
        <w:rPr>
          <w:rFonts w:ascii="arial" w:eastAsia="arial" w:hAnsi="arial" w:cs="arial"/>
          <w:sz w:val="20"/>
          <w:lang w:val="en-US" w:eastAsia="en-US" w:bidi="ar-SA"/>
        </w:rPr>
        <w:cr/>
      </w:r>
    </w:p>
    <w:p>
      <w:pPr>
        <w:numPr>
          <w:numId w:val="30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earlier agreement precludes the defendant from raising the defences contained in paragraphs 28 and 29; and</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it is plain and obvious that the defence based on contributory fault is bound to fail;</w:t>
      </w:r>
    </w:p>
    <w:p>
      <w:pPr>
        <w:numPr>
          <w:numId w:val="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third party notice should be struck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two impugned paragraphs in the statement of defence are:</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Alternatively, any loss or damage suffered by the plaintiff was caused solely by or contributed to by the fault of the plaintiff, or the fault of the plaintiff and others for whom in law the Bank is not responsible, and the Bank pleads and relies upon.</w:t>
      </w:r>
    </w:p>
    <w:p>
      <w:pPr>
        <w:numPr>
          <w:numId w:val="5"/>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1996, c. 333, ss. 1-4; and</w:t>
      </w:r>
    </w:p>
    <w:p>
      <w:pPr>
        <w:numPr>
          <w:numId w:val="5"/>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principle of law that liability should be apportioned in accordance with the degree of fault.</w:t>
      </w:r>
    </w:p>
    <w:p>
      <w:pPr>
        <w:numPr>
          <w:numId w:val="6"/>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Particulars of the fault of the plaintiff include:</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conduct the appropriate and necessary investigations when hiring staff in financially sensitive positions;</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institute such monitoring and supervision of employees in financially sensitive positions as was necessary to prevent or identify fraudulent conduct, including:</w:t>
      </w:r>
    </w:p>
    <w:p>
      <w:pPr>
        <w:numPr>
          <w:numId w:val="8"/>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segregation of duties amongst employees between negotiation of loan terms and authorizing issuance of Cheques in support of such loans;</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rotating employees in sensitive financial positions through job duties on a regular and periodic basis;</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preparing and updating lists of aged loan receivables on a regular and periodic basis;</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monitoring loan receivables on a regular and periodic basis;</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examining and reconciling account statements with loan receivable listings on a regular and periodic basis;</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contacting and verifying the status, existence or legitimacy of accounts receivable with customers showing accounts receivable on a regular and periodic basis and responding to all account enquiries immediately; and</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questioning and investigating all discrepancies noted in a timely manner, and taking all appropriate conduct following such investigation.</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institute such policies and procedures as are commercially and reasonably necessary to audit or investigate the conduct of its employees on a regular basis so as to identify any fraud or irregularities;</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upon becoming aware of or upon the date on which the plaintiff ought to have become aware of the fraud or discrepancies in the conduct of its employees, failing to institute investigation and additional controls to determine the source of the perceived discrepancies or irregularities and to prevent additional opportunities for its employees to cause financial loss to the plaintiff until such times as such errors or irregularities are fully investigated;</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take all immediate and necessary steps to secure and recover any and all funds misappropriated by the employees, and others, immediately following discovery of the irregularities and fraudulent conduct; and</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wrongful conduct of Puffer and LeBlanc, for which in law the plaintiff is vicariously 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SHOULD PARAGRAPHS 28 AND 29 OF THE STATEMENT OF DEFENCE BE STRUCK PURSUANT TO RULE 19(24) OR THE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The Supreme Court of Canada set out the test governing the application of Rule 19(24)(a) in Hunt v. Carrey Canada Inc., </w:t>
      </w:r>
      <w:r>
        <w:rPr>
          <w:rFonts w:ascii="arial" w:eastAsia="arial" w:hAnsi="arial" w:cs="arial"/>
          <w:i/>
          <w:color w:val="000000"/>
          <w:sz w:val="20"/>
          <w:lang w:val="en-US" w:eastAsia="en-US" w:bidi="ar-SA"/>
        </w:rPr>
        <w:t>[1990] 2 S.C.R. 959</w:t>
      </w:r>
      <w:r>
        <w:rPr>
          <w:rFonts w:ascii="arial" w:eastAsia="arial" w:hAnsi="arial" w:cs="arial"/>
          <w:color w:val="000000"/>
          <w:sz w:val="20"/>
          <w:lang w:val="en-US" w:eastAsia="en-US" w:bidi="ar-SA"/>
        </w:rPr>
        <w:t>. It must be plain and obvious that the pleading discloses no reasonable claim or defence. Only if the defence or action is sure to fail because it contains a radical defect should the relevant portions of the statement of defence be struck out. Both the plaintiff and the defendant agree this is the test to be applied.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Guidelines for the plain and obvious rule are set out in Midwest Management (1987) Ltd./Monad Contractors Ltd. v. B.C. Gas Utility Ltd. </w:t>
      </w:r>
      <w:hyperlink r:id="rId1085" w:history="1">
        <w:r>
          <w:rPr>
            <w:rFonts w:ascii="arial" w:eastAsia="arial" w:hAnsi="arial" w:cs="arial"/>
            <w:i/>
            <w:color w:val="0077CC"/>
            <w:sz w:val="20"/>
            <w:u w:val="single"/>
            <w:shd w:val="clear" w:color="auto" w:fill="FFFFFF"/>
            <w:lang w:val="en-US" w:eastAsia="en-US" w:bidi="ar-SA"/>
          </w:rPr>
          <w:t>(1997), 34 B.L.R. (2d) 28</w:t>
        </w:r>
      </w:hyperlink>
      <w:r>
        <w:rPr>
          <w:rFonts w:ascii="arial" w:eastAsia="arial" w:hAnsi="arial" w:cs="arial"/>
          <w:color w:val="000000"/>
          <w:sz w:val="20"/>
          <w:lang w:val="en-US" w:eastAsia="en-US" w:bidi="ar-SA"/>
        </w:rPr>
        <w:t xml:space="preserve"> (B.C.S.C.) at 33 and include:</w:t>
      </w:r>
      <w:r>
        <w:rPr>
          <w:rFonts w:ascii="arial" w:eastAsia="arial" w:hAnsi="arial" w:cs="arial"/>
          <w:sz w:val="20"/>
          <w:lang w:val="en-US" w:eastAsia="en-US" w:bidi="ar-SA"/>
        </w:rPr>
        <w:cr/>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there is a question fit to be tried regardless of the complexity or novelty;</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outcome of the claim at trial is beyond a reasonable doubt;</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serious questions of law or questions of general importance are raised or if facts should be known before rights are decided;</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pleadings might be amended; and</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whether there is an element of abuse of process: Hunt v. T&amp;N plc, </w:t>
      </w:r>
      <w:r>
        <w:rPr>
          <w:rFonts w:ascii="arial" w:eastAsia="arial" w:hAnsi="arial" w:cs="arial"/>
          <w:i/>
          <w:color w:val="000000"/>
          <w:sz w:val="20"/>
          <w:lang w:val="en-US" w:eastAsia="en-US" w:bidi="ar-SA"/>
        </w:rPr>
        <w:t>[1990] 2 S.C.R. 959</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49 B.C.L.R. (2d) 273</w:t>
      </w:r>
      <w:r>
        <w:rPr>
          <w:rFonts w:ascii="arial" w:eastAsia="arial" w:hAnsi="arial" w:cs="arial"/>
          <w:color w:val="000000"/>
          <w:sz w:val="20"/>
          <w:lang w:val="en-US" w:eastAsia="en-US" w:bidi="ar-SA"/>
        </w:rPr>
        <w:t xml:space="preserve"> (S.C.C.).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 plaintiffs original claim was based solely on the tort of conversion. The statement of defence pleaded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 xml:space="preserve"> and requested an apportionment of fault. The plaintiff brought an application to strike out 8 and 9 of the statement of defence on the grounds that, as a matter of law, contributory fault cannot be raised as a defence to claims based on the tort of conversion. The parties agreed that the application and the paragraphs would be withdrawn; however, as evidenced by letter, the agreement was without prejudice to the defendants right to re-assert reliance on the defences if the plaintiff amended its statement of claim to assert claims not advanced in the original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Since the agreement, the plaintiff has amended its statement of claim twice and is proposing further amendments. The amendments to date include the addition of further cheques thereby increasing the claim from $3 million to $13 million and a new cause of action against the defendant. The plaintiff is now claiming that the defendant knowingly assisted Messrs. LeBlanc and Puffer in their fraudulent breach of fiduciary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defendant submits that 28 and 29 only partially overlap with the paragraphs which were withdrawn pursuant to the agreement. To the extent the paragraphs overlap, the defendants position is that the agreement does not preclude their reintroduction into the statement of defence in light of the amendments made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agreement clearly reserves the defendants right to reassert reliance on the defences if the plaintiff seeks to amend its statement of claim to assert new claims. There have been significant amendments to the statement of claim. Under the terms of the agreement the defendant is entitled to reassert the defences of contributory fault with respect to the new claims being advanced.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The plaintiff argues that as a matter of law the defence of contributory fault is not available with respect to the tort of conversion because it is a strict liability tort. This issue was recently addressed in Boma Manufacturing Ltd. et al. v. Canadian Imperial Bank of Commerce, </w:t>
      </w:r>
      <w:hyperlink r:id="rId1086" w:history="1">
        <w:r>
          <w:rPr>
            <w:rFonts w:ascii="arial" w:eastAsia="arial" w:hAnsi="arial" w:cs="arial"/>
            <w:i/>
            <w:color w:val="0077CC"/>
            <w:sz w:val="20"/>
            <w:u w:val="single"/>
            <w:shd w:val="clear" w:color="auto" w:fill="FFFFFF"/>
            <w:lang w:val="en-US" w:eastAsia="en-US" w:bidi="ar-SA"/>
          </w:rPr>
          <w:t>[1996] 3 S.C.R. 727</w:t>
        </w:r>
      </w:hyperlink>
      <w:r>
        <w:rPr>
          <w:rFonts w:ascii="arial" w:eastAsia="arial" w:hAnsi="arial" w:cs="arial"/>
          <w:color w:val="000000"/>
          <w:sz w:val="20"/>
          <w:lang w:val="en-US" w:eastAsia="en-US" w:bidi="ar-SA"/>
        </w:rPr>
        <w:t xml:space="preserve"> in which Chief Justice Lamer writing for the majority confirmed that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not available as a defence to conversion because of the strict liability nature of conversion (35).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Boma was followed in Nesbitt Burns Inc. v. Canada Trustco Mortgage, </w:t>
      </w:r>
      <w:hyperlink r:id="rId1087" w:history="1">
        <w:r>
          <w:rPr>
            <w:rFonts w:ascii="arial" w:eastAsia="arial" w:hAnsi="arial" w:cs="arial"/>
            <w:i/>
            <w:color w:val="0077CC"/>
            <w:sz w:val="20"/>
            <w:u w:val="single"/>
            <w:shd w:val="clear" w:color="auto" w:fill="FFFFFF"/>
            <w:lang w:val="en-US" w:eastAsia="en-US" w:bidi="ar-SA"/>
          </w:rPr>
          <w:t>[2000] O.J. No. 868</w:t>
        </w:r>
      </w:hyperlink>
      <w:r>
        <w:rPr>
          <w:rFonts w:ascii="arial" w:eastAsia="arial" w:hAnsi="arial" w:cs="arial"/>
          <w:color w:val="000000"/>
          <w:sz w:val="20"/>
          <w:lang w:val="en-US" w:eastAsia="en-US" w:bidi="ar-SA"/>
        </w:rPr>
        <w:t xml:space="preserve"> (C.A.) where the court held that a plea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not available as a defence to a claim for conversion (41). Although both authorities refer to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 opposed to contributory fault the principles are the same. Based on the authorities I conclude that it is plain and obvious that the plea of contributory fault is not available as a defence to the allegation of conversion.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However, it is not plain and obvious that the plea of contributory fault is unavailable in response to the plaintiffs claim for knowing assistance in the fraudulent breach of a fiduciary duty. The plaintiff has cited no authority that stands for such a proposition.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 agree with the defendant that the fact that the issue has not been decided by the courts militates against striking out the pleading of contributory fault as a defence to the claim of knowing assistance in the breach of a fiduciary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plaintiffs claim is not that the defendant owed a fiduciary duty to the plaintiff which it breached but rather that the bank negotiated cheques recklessly and with wilful blindness to the dishonest breach of fiduciary duty on the part of Messrs. LeBlanc and Puffer and thereby assisted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To succeed in a claim based on knowing assistance in a breach of fiduciary duty the plaintiff must show that the defendant actually knew of the breach of fiduciary duty or acted recklessly or was wilfully blind. The plaintiff takes the position based on Citadel General Assurance v. Lloyds Bank Canada, </w:t>
      </w:r>
      <w:hyperlink r:id="rId314" w:history="1">
        <w:r>
          <w:rPr>
            <w:rFonts w:ascii="arial" w:eastAsia="arial" w:hAnsi="arial" w:cs="arial"/>
            <w:i/>
            <w:color w:val="0077CC"/>
            <w:sz w:val="20"/>
            <w:u w:val="single"/>
            <w:shd w:val="clear" w:color="auto" w:fill="FFFFFF"/>
            <w:lang w:val="en-US" w:eastAsia="en-US" w:bidi="ar-SA"/>
          </w:rPr>
          <w:t>[1997] 3 S.C.R. 805</w:t>
        </w:r>
      </w:hyperlink>
      <w:r>
        <w:rPr>
          <w:rFonts w:ascii="arial" w:eastAsia="arial" w:hAnsi="arial" w:cs="arial"/>
          <w:color w:val="000000"/>
          <w:sz w:val="20"/>
          <w:lang w:val="en-US" w:eastAsia="en-US" w:bidi="ar-SA"/>
        </w:rPr>
        <w:t xml:space="preserve"> that there does not have to be actual knowledge on the part of the assistor that there is a breach of fiduciary duty, but recklessness or wilful blindness will suffice; i.e. if the defendant did not actually know of the breach, under the circumstances the defendant should have known or be deemed to have known because its lack of awareness was due to recklessness or wilful blindness.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There has been no decision cited with respect to whether the defence of contributory fault would be available to a party who was found not to have actual knowledge of the breach of fiduciary duty but to have liability as an assistor as a result of being reckless or wilfully blind.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Both the plaintiff and the defendant presented arguments as to why contributory fault should or should not be an available defence and cited numerous cases in support of their positions. The issues of whether contributory fault should apply in the case of contracts that import a duty of care for non fraudulent breach of fiduciary duty has not been addressed by the either the Court of Appeal or Supreme Court of Canada so the law is unsettled. (Seaboard Life Insurance Co. v. Bank of Montreal </w:t>
      </w:r>
      <w:hyperlink r:id="rId1088" w:history="1">
        <w:r>
          <w:rPr>
            <w:rFonts w:ascii="arial" w:eastAsia="arial" w:hAnsi="arial" w:cs="arial"/>
            <w:i/>
            <w:color w:val="0077CC"/>
            <w:sz w:val="20"/>
            <w:u w:val="single"/>
            <w:shd w:val="clear" w:color="auto" w:fill="FFFFFF"/>
            <w:lang w:val="en-US" w:eastAsia="en-US" w:bidi="ar-SA"/>
          </w:rPr>
          <w:t>(2002), 23 B.L.R. (3d) 163</w:t>
        </w:r>
      </w:hyperlink>
      <w:r>
        <w:rPr>
          <w:rFonts w:ascii="arial" w:eastAsia="arial" w:hAnsi="arial" w:cs="arial"/>
          <w:color w:val="000000"/>
          <w:sz w:val="20"/>
          <w:lang w:val="en-US" w:eastAsia="en-US" w:bidi="ar-SA"/>
        </w:rPr>
        <w:t xml:space="preserve"> at 63 (B.C.C.A.)).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Although, plaintiffs counsel argued that the issue had been decided with respect to fraudulent breach of trust in United Services Funds (Trustees of) v. Richardson Greenshields of Canada Ltd. </w:t>
      </w:r>
      <w:hyperlink r:id="rId1089" w:history="1">
        <w:r>
          <w:rPr>
            <w:rFonts w:ascii="arial" w:eastAsia="arial" w:hAnsi="arial" w:cs="arial"/>
            <w:i/>
            <w:color w:val="0077CC"/>
            <w:sz w:val="20"/>
            <w:u w:val="single"/>
            <w:shd w:val="clear" w:color="auto" w:fill="FFFFFF"/>
            <w:lang w:val="en-US" w:eastAsia="en-US" w:bidi="ar-SA"/>
          </w:rPr>
          <w:t>(1988), 22 B.C.L.R. (2d) 322</w:t>
        </w:r>
      </w:hyperlink>
      <w:r>
        <w:rPr>
          <w:rFonts w:ascii="arial" w:eastAsia="arial" w:hAnsi="arial" w:cs="arial"/>
          <w:color w:val="000000"/>
          <w:sz w:val="20"/>
          <w:lang w:val="en-US" w:eastAsia="en-US" w:bidi="ar-SA"/>
        </w:rPr>
        <w:t xml:space="preserve"> (C.A.) I do not read the case as precluding a plea of contributory fault in the case of an assistor who has acted recklessly or with wilful blindness.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defendant argued that, as a matter of principle, in circumstances where the plaintiff was also reckless or wilfully blind so that the defendant is no more at fault than the plaintiff for causing the plaintiffs loss the defendant should not be deprived of the defence of contributory fault and entitlement to seek apportionment.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my view the question of whether the defence of contributory fault is available with respect to the claim that the defendant knowingly assisted in a fraudulent breach of fiduciary duty, in that they acted recklessly or were wilfully blind is a novel question which is fit to be tried. Given the state of the law and without knowledge of the evidence a determination regarding this issue cannot be made on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Although I agree that the plea of contributory fault cannot stand in respect of the claim in conversion the impugned paragraphs contain broad language. Paragraph 28 claims that any loss or damage suffered by the plaintiff was caused solely by, or contributed to by, the fault of the plaintiff and paragraph 29 sets out particulars of the alleged fault. The defendant argues that the paragraphs also raise a defence based on causation, i.e. that it was the conduct of the plaintiff or others and not the defendant which caused the plaintiffs loss. I agree that nothing in the plaintiffs submissions precludes a defence on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Finally, the defendant argues that Boma does not prevent a defendant from relying on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plaintiff in support of a defence of preclusion under s. 48(1) of the Bills of Exchange Act, </w:t>
      </w:r>
      <w:hyperlink r:id="rId1090" w:history="1">
        <w:r>
          <w:rPr>
            <w:rFonts w:ascii="arial" w:eastAsia="arial" w:hAnsi="arial" w:cs="arial"/>
            <w:i/>
            <w:color w:val="0077CC"/>
            <w:sz w:val="20"/>
            <w:u w:val="single"/>
            <w:shd w:val="clear" w:color="auto" w:fill="FFFFFF"/>
            <w:lang w:val="en-US" w:eastAsia="en-US" w:bidi="ar-SA"/>
          </w:rPr>
          <w:t>R.S.C. 1985, c. B-4</w:t>
        </w:r>
      </w:hyperlink>
      <w:r>
        <w:rPr>
          <w:rFonts w:ascii="arial" w:eastAsia="arial" w:hAnsi="arial" w:cs="arial"/>
          <w:color w:val="000000"/>
          <w:sz w:val="20"/>
          <w:lang w:val="en-US" w:eastAsia="en-US" w:bidi="ar-SA"/>
        </w:rPr>
        <w:t xml:space="preserve"> and the facts alleged in 28 and 29 support the preclusion defence. The plaintiff argues that the preclusion defence is only available in the case of forgery or want of authority and not available to the defendant in this case as there is no allegation that a forgery has occurred. Although the plaintiff has no objection to the defendant relying on the defence of preclusion it argues that the particulars set out in 28 and 29 cannot support a defence of preclusion. In my view it is premature to determine this issue without knowledge of the evidence and before any findings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It is not clear that either the question of the application of contributory fault to the claim of knowing assistance of fraudulent breach of fiduciary duty or the preclusion defence will fail at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As a result of my conclusion that it is not plain and obvious that the defences set out in 28 and 29 are unavailable with respect to some of the claims being advanced by the plaintiff the paragraphs should not be struck out except insofar as the paragraphs may be pleadings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response to the claim of conversion. To the extent the paragraphs may be a pleading for contributory fault as a defence to the claim of conversion they are struck. However, the defendant is entitled to leave to amend if it so chooses. Any amendment should state clearly what claim the defence of contributory fault applies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SHOULD THE THIRD PARTY NOTICE BE STRUCK AS AGAINST THE PLAINTIFF AND GE LEASING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defendant argues that the claims against the plaintiff and GE Leasing contained in the third party notice are not based on contributory fault. Rather the claims are based on allegations that apart from any fraud they may have committed upon the plaintiff, Messrs. LeBlanc and Puffer defrauded the defendant and conspired with one another to do so. The defendant alleges that it is entitled to recover damages from Messrs. LeBlanc and Puffer for those independent torts and that since they are employees of the plaintiff and GE Leasing the third parties are vicariously liable for those independent wrongs.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As well, the third party notice is based on an express contractual indemnity given by the plaintiff and GE Leasing to the defendant. Since GE Leasing is not a plaintiff the defendant takes the position that insofar as GE Leasing is concerned the only way the defendant can advance its claims for indemnity is by way of a third party notice.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plaintiff takes the position that the indemnity claim should be advanced by way of a defence and refers to the plea in the further amended statement of defence based on the indemnity agreement. The plaintiff argues that if the defendant succeeds in establishing the allegation there will be no judgment in the main claim for which the defendant could seek relief pursuant to its third party notice.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I am of the view that the plaintiff is not an appropriate third party and am therefore striking out the third party notice against the plaintiff. As stated by Madam Justice McLachlin (as she then was) in McNaughton v. Baker </w:t>
      </w:r>
      <w:hyperlink r:id="rId258" w:history="1">
        <w:r>
          <w:rPr>
            <w:rFonts w:ascii="arial" w:eastAsia="arial" w:hAnsi="arial" w:cs="arial"/>
            <w:i/>
            <w:color w:val="0077CC"/>
            <w:sz w:val="20"/>
            <w:u w:val="single"/>
            <w:shd w:val="clear" w:color="auto" w:fill="FFFFFF"/>
            <w:lang w:val="en-US" w:eastAsia="en-US" w:bidi="ar-SA"/>
          </w:rPr>
          <w:t>(1988), 25 B.C.L.R. (2d) 17</w:t>
        </w:r>
      </w:hyperlink>
      <w:r>
        <w:rPr>
          <w:rFonts w:ascii="arial" w:eastAsia="arial" w:hAnsi="arial" w:cs="arial"/>
          <w:color w:val="000000"/>
          <w:sz w:val="20"/>
          <w:lang w:val="en-US" w:eastAsia="en-US" w:bidi="ar-SA"/>
        </w:rPr>
        <w:t xml:space="preserve"> (C.A.):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Third party proceedings are a form of pleading by which a defendant asserts a claim </w:t>
      </w:r>
      <w:r>
        <w:rPr>
          <w:rFonts w:ascii="arial" w:eastAsia="arial" w:hAnsi="arial" w:cs="arial"/>
          <w:color w:val="000000"/>
          <w:sz w:val="20"/>
          <w:u w:val="single"/>
          <w:lang w:val="en-US" w:eastAsia="en-US" w:bidi="ar-SA"/>
        </w:rPr>
        <w:t>against someone other than the plaintiff</w:t>
      </w:r>
      <w:r>
        <w:rPr>
          <w:rFonts w:ascii="arial" w:eastAsia="arial" w:hAnsi="arial" w:cs="arial"/>
          <w:color w:val="000000"/>
          <w:sz w:val="20"/>
          <w:lang w:val="en-US" w:eastAsia="en-US" w:bidi="ar-SA"/>
        </w:rPr>
        <w:t xml:space="preserve"> in the event the defendant is found liable to the plaintiff. (p. 20)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Third party proceedings are not available against a plaintiff, rather the available form of pleadings are a defence, set off or counter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The plaintiff argues that the reference to the indemnity in the third party notice with respect to both the plaintiff and GE Leasing is duplicative and unnecessary and should be struck out based on Adams v. Thompson </w:t>
      </w:r>
      <w:hyperlink r:id="rId996" w:history="1">
        <w:r>
          <w:rPr>
            <w:rFonts w:ascii="arial" w:eastAsia="arial" w:hAnsi="arial" w:cs="arial"/>
            <w:i/>
            <w:color w:val="0077CC"/>
            <w:sz w:val="20"/>
            <w:u w:val="single"/>
            <w:shd w:val="clear" w:color="auto" w:fill="FFFFFF"/>
            <w:lang w:val="en-US" w:eastAsia="en-US" w:bidi="ar-SA"/>
          </w:rPr>
          <w:t>(1987), 39 D.L.R. (4th) 314</w:t>
        </w:r>
      </w:hyperlink>
      <w:r>
        <w:rPr>
          <w:rFonts w:ascii="arial" w:eastAsia="arial" w:hAnsi="arial" w:cs="arial"/>
          <w:color w:val="000000"/>
          <w:sz w:val="20"/>
          <w:lang w:val="en-US" w:eastAsia="en-US" w:bidi="ar-SA"/>
        </w:rPr>
        <w:t xml:space="preserve"> (B.C.C.A.). However, in Adams the defendant did not have a contractual claim against the third party and Madam Justice Southin found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authorities establish that where a plaintiff contracts with two parties, such as a contractor and an engineer, and later sues one of them, the one sued cannot claim contribution or indemnity from the other on the ground that the other failed to properly execute his duties, where the substance of the third party claim can be raised against the plaintiff by way of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78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60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 317)</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this case the defendant alleges it has a contractual right to be indemnified by GE Leasing and therefore the reasoning in Adams does not apply.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plaintiff takes the position a finding of liability against the defendant in conversion or knowing assistance of breach of fiduciary duty negates the defence of vicarious liability because of the strict liability feature of both those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claim against GE Leasing is set out in the third party notice:</w:t>
      </w:r>
      <w:r>
        <w:rPr>
          <w:rFonts w:ascii="arial" w:eastAsia="arial" w:hAnsi="arial" w:cs="arial"/>
          <w:sz w:val="20"/>
          <w:lang w:val="en-US" w:eastAsia="en-US" w:bidi="ar-SA"/>
        </w:rPr>
        <w:cr/>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[GE third parties] are vicariously liable for the wrongful conduct of their employees, agents and representatives, Puffer and LeBlanc.</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GE third parties] are liable to indemnify and save the defendant harmless from any and all claims arising against the defendant by virtue of the collection of the Cheques by virtue of the Indemnity as defined in the further amended statement of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relevant section of the further amended statement of defence 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Indemnification</w:t>
      </w:r>
    </w:p>
    <w:p>
      <w:pPr>
        <w:numPr>
          <w:numId w:val="1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or about late 1999 or early 2000, the Bank became aware of the possible connection between funds being deposited to the accounts of the Sutley Companies and payments being made to LeBlanc and Puffer, and notified the parent corporation of the plaintiff of its concerns.</w:t>
      </w:r>
    </w:p>
    <w:p>
      <w:pPr>
        <w:numPr>
          <w:numId w:val="1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consideration of the Bank raising such concerns and providing evidence to the plaintiff, the plaintiff entered into an indemnity agreement dated February 21, 2000, (the Indemnity) whereby the plaintiff and GE Capital Canada Leasing Services Inc. agreed to indemnify and keep indemnified the Bank against all claims and demands of every person, and also of, from and against all actions, suits or other proceedings whatsoever in respect of the provision by the Bank to the plaintiff of any document, records or information in whatever form relating to any of the accounts or drafts, and against all loss, interest, costs (including without limitation legal costs on a solicitor and own client basis), damages and expenses which the Bank may suffer, incur or sustain by reason of any such claim. Further the Indemnity stipulated that is shall be irrevocable, unconditional and shall apply to each and every claim made and in respect of each and every claimant making a claim.</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claim arises from matters covered by the Indemnity.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The plaintiff argues that the allegation in the third party notice is not a sufficient pleading as there is no allegation that any actions of Messrs. LeBlanc and Puffer were done on behalf of GE Leasing within their actual or ostensible authority, or of any other basis which might give rise to a claim of vicarious liability against GE Leasing. With respect to GE Leasing the plaintiff submits that the pleading cannot be supplemented by reference to the matters pleaded in the statement of defence. However, the test to be applied under Rule 19 (24) is whether the claim is bound to fail on the basis of the pleadings as they stand or as they might be amended. Kripps v. Touche Ross &amp; Co. </w:t>
      </w:r>
      <w:hyperlink r:id="rId1091" w:history="1">
        <w:r>
          <w:rPr>
            <w:rFonts w:ascii="arial" w:eastAsia="arial" w:hAnsi="arial" w:cs="arial"/>
            <w:i/>
            <w:color w:val="0077CC"/>
            <w:sz w:val="20"/>
            <w:u w:val="single"/>
            <w:shd w:val="clear" w:color="auto" w:fill="FFFFFF"/>
            <w:lang w:val="en-US" w:eastAsia="en-US" w:bidi="ar-SA"/>
          </w:rPr>
          <w:t>(1992), 69 B.C.L.R. (2d) 62</w:t>
        </w:r>
      </w:hyperlink>
      <w:r>
        <w:rPr>
          <w:rFonts w:ascii="arial" w:eastAsia="arial" w:hAnsi="arial" w:cs="arial"/>
          <w:color w:val="000000"/>
          <w:sz w:val="20"/>
          <w:lang w:val="en-US" w:eastAsia="en-US" w:bidi="ar-SA"/>
        </w:rPr>
        <w:t xml:space="preserve"> at 68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law is unclear with respect to whether a plea of contributory fault relying on the vicarious liability of the employees is available as a defence to the claim of knowing assistance of breach of fiduciary duty. As well, the defendant raises the issue of an independent cause of action based on the indemnity. Although novel the allegations are not bound to fail at trial. In my view the issues should not be determined without any knowledge of the facts on which the allegations are based.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It follows that the third party notice against GE Leasing is neither unnecessary nor duplicative and I am therefore dismissing the application to strike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Due to the divided success on the application each party should bear its own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GEROW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62" style="position:absolute;z-index:25189478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092"/>
          <w:headerReference w:type="default" r:id="rId1093"/>
          <w:footerReference w:type="even" r:id="rId1094"/>
          <w:footerReference w:type="default" r:id="rId1095"/>
          <w:headerReference w:type="first" r:id="rId1096"/>
          <w:footerReference w:type="first" r:id="rId109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98" w:history="1">
        <w:r>
          <w:rPr>
            <w:rFonts w:ascii="arial" w:eastAsia="arial" w:hAnsi="arial" w:cs="arial"/>
            <w:b/>
            <w:bCs/>
            <w:i/>
            <w:color w:val="0077CC"/>
            <w:kern w:val="32"/>
            <w:sz w:val="28"/>
            <w:szCs w:val="32"/>
            <w:u w:val="single"/>
            <w:shd w:val="clear" w:color="auto" w:fill="FFFFFF"/>
            <w:lang w:val="en-US" w:eastAsia="en-US" w:bidi="ar-SA"/>
          </w:rPr>
          <w:t>Gerber v. Johnston, [2001] B.C.J. No. 1088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Paris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9, 10,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28,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S003549</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[2001] B.C.J. No. 1088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2001 BCSC 687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105 A.C.W.S. (3d) 600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William Gerber and E. Jon Oksenholt, plaintiffs, and John Brian Johnston, Canaccord Capital Corporation, and Gary Stanhiser,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63" style="position:absolute;z-index:2517073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13" w:name="Keywords_46"/>
      <w:bookmarkEnd w:id="313"/>
      <w:r>
        <w:rPr>
          <w:rFonts w:ascii="arial" w:eastAsia="arial" w:hAnsi="arial" w:cs="arial"/>
          <w:b/>
          <w:color w:val="000000"/>
          <w:sz w:val="20"/>
          <w:lang w:val="en-US" w:eastAsia="en-US" w:bidi="ar-SA"/>
        </w:rPr>
        <w:t>Practice — Persons who can sue and be sued — Individuals and corporations, status or standing — Class actions, certification, considerations — Appointment of representative plaintiffs.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14" w:name="Case Summary_43"/>
            <w:bookmarkEnd w:id="31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was an application by the plaintiffs to certify this action as a class proceeding. The action concerned a scheme put in place by the defendants to raise funds from the public to purchase shares in other companies without complying with the usual requirements of the Securities Act. The plaintiffs alleged the funds provided by them were misappropriated, and that they had not received the shares they were supposed to for their investments. The claims against the defendants alleged fraud,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tortious conspiracy and breach of trust. Although the defendants conceded that the action should be certified as a class proceeding, they contested the definition of the classes, the definition of the issues proposed and the appropriateness of the present plaintiffs being representatives of subclasses. The defendants' main dispute was that some of the persons who invested were themselves involved in the scheme and had been acting as employees or agents of the defendants or otherwise induced or encouraged other persons to participate in the scheme.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15" w:name="Holdings of Court_38"/>
            <w:bookmarkEnd w:id="315"/>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Although there might be situations where an investor should not be included in the class, it could not be said that everybody who suggested to others that they invest in the scheme must necessarily be precluded from advancing claims themselves. It was possible that the investors who were connected to the defendants might have been misled and suffered losses. Whether their cases against the defendants were as strong as the other plaintiffs was a matter to be determined later on the evidence. Furthermore, the certification order could be amended at any time if it was appropriate to do so. Accordingly, the class was defined essentially as proposed by the plaintiffs with minor modifications. The issues proposed by the plaintiffs were framed in so as to move the litigation forward in a meaningful and efficient way. The proposed class representatives would fairly and adequately represent the interests of their respective sub-classes. There was nothing in the material which confirmed any conflict of interest with respect to the common issues, and it was not necessary that all members of the class be situated identically or have identical claims.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16" w:name="Legislation Cited_33"/>
      <w:bookmarkEnd w:id="31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64" style="position:absolute;z-index:2517585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Class Proceedings Act, ss. 4, 4(1)(a), 4(1)(d), 4(2), 4(2), 6, 8(1), 8(3), 37(2).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Securities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Securities Rules, ss. 57, 58.</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17" w:name="Counsel_47"/>
      <w:bookmarkEnd w:id="317"/>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65" style="position:absolute;z-index:2518097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David Church and Andrew Pearson, for the plaintiffs. Donald Sorochan, Q.C., Suzanne Williams and Mari Worfolk, for the defendants, John Brian Johnston and Canaccord Capital Corporation.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18" w:name="Judgment_46"/>
      <w:bookmarkEnd w:id="318"/>
      <w:r>
        <w:pict>
          <v:line id="_x0000_s1266" style="position:absolute;z-index:251858944"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[Quicklaw note: A Corrigendum was released by the Court June 12, 2001. The corrections have been made to the text and the Corrigendum is appended to the document.]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5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19" w:name="PARIS J."/>
            <w:bookmarkEnd w:id="319"/>
            <w:r>
              <w:rPr>
                <w:rFonts w:ascii="arial" w:eastAsia="arial" w:hAnsi="arial" w:cs="arial"/>
                <w:b/>
                <w:color w:val="000000"/>
                <w:sz w:val="30"/>
                <w:lang w:val="en-US" w:eastAsia="en-US" w:bidi="ar-SA"/>
              </w:rPr>
              <w:t>PARIS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This is an application pursuant to the Class Proceedings Act, </w:t>
      </w:r>
      <w:r>
        <w:rPr>
          <w:rFonts w:ascii="arial" w:eastAsia="arial" w:hAnsi="arial" w:cs="arial"/>
          <w:i/>
          <w:color w:val="000000"/>
          <w:sz w:val="20"/>
          <w:lang w:val="en-US" w:eastAsia="en-US" w:bidi="ar-SA"/>
        </w:rPr>
        <w:t>R.S.B.C. 1996, c. 50</w:t>
      </w:r>
      <w:r>
        <w:rPr>
          <w:rFonts w:ascii="arial" w:eastAsia="arial" w:hAnsi="arial" w:cs="arial"/>
          <w:color w:val="000000"/>
          <w:sz w:val="20"/>
          <w:lang w:val="en-US" w:eastAsia="en-US" w:bidi="ar-SA"/>
        </w:rPr>
        <w:t>, to certify this action as a class proceeding and for certain ancillary orders.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defendants Johnston and Canaccord Capital Corporation have entered appearances and a joint statement of defence. The defendant Stanhiser has not entered an appearance, nor did he appear on this application although served with the notice of motion and supporting material.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action concerns a plan put in place and executed by Stanhiser, allegedly with the involvement of Johnston and Canaccord (Johnston is an employee of Canaccord), to raise funds from the public both in Canada and the United States, which funds were used to purchase for those investors shares in various junior companies by way of private placements without complying with the usual requirements of British Columbia securities legislation relating either to the sale of shares to the public or of private placements of shares. Johnston and Canaccord are both registered under the Securities Act, </w:t>
      </w:r>
      <w:r>
        <w:rPr>
          <w:rFonts w:ascii="arial" w:eastAsia="arial" w:hAnsi="arial" w:cs="arial"/>
          <w:i/>
          <w:color w:val="000000"/>
          <w:sz w:val="20"/>
          <w:lang w:val="en-US" w:eastAsia="en-US" w:bidi="ar-SA"/>
        </w:rPr>
        <w:t>R.S.B.C. 1996, c. 418</w:t>
      </w:r>
      <w:r>
        <w:rPr>
          <w:rFonts w:ascii="arial" w:eastAsia="arial" w:hAnsi="arial" w:cs="arial"/>
          <w:color w:val="000000"/>
          <w:sz w:val="20"/>
          <w:lang w:val="en-US" w:eastAsia="en-US" w:bidi="ar-SA"/>
        </w:rPr>
        <w:t>. The investors advanced funds to Canaccord in British Columbia and thence to certain of Stanhiser's companies which had accounts with Canaccord which were to purchase the shares for the investors.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details of the plan are set out in paragraph 8 of the statement of claim, as follows:</w:t>
      </w:r>
      <w:r>
        <w:rPr>
          <w:rFonts w:ascii="arial" w:eastAsia="arial" w:hAnsi="arial" w:cs="arial"/>
          <w:sz w:val="20"/>
          <w:lang w:val="en-US" w:eastAsia="en-US" w:bidi="ar-SA"/>
        </w:rPr>
        <w:cr/>
      </w:r>
    </w:p>
    <w:p>
      <w:pPr>
        <w:numPr>
          <w:numId w:val="30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Stanhiser set up three off-shore corporations: Excel Funding Inc.; Diomondmark Investments Limited; and Excel International Investment Corp. (collectively the "Off-Shore Corporations");</w:t>
      </w:r>
    </w:p>
    <w:p>
      <w:pPr>
        <w:numPr>
          <w:numId w:val="30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Off-Shore Corporations established securities trading accounts with Canaccord, including accounts numbered 24-4894-A, 24-4894-B, 24-9535-A, 24-9536-B, 25-3294-A and 25-3294-B;</w:t>
      </w:r>
    </w:p>
    <w:p>
      <w:pPr>
        <w:numPr>
          <w:numId w:val="30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through Johnston and Canaccord, the Off-Shore Corporations were introduced to junior companies, some of which were listed on the Vancouver Stock Exchange, which were seeking equity financing from investors (the "Distributing Companies");</w:t>
      </w:r>
    </w:p>
    <w:p>
      <w:pPr>
        <w:numPr>
          <w:numId w:val="30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acting through a British Columbia company registered under the name Excell Asset Management Inc. (but actually doing business as Excel Asset Management Inc.) ("Excel"), Stanhiser and the Off-Shore Corporations actively sought out potential investors to provide them with funds. Stanhiser's promotional activities included meetings with potential investors during which Johnston attended and made presentations to the potential investors;</w:t>
      </w:r>
    </w:p>
    <w:p>
      <w:pPr>
        <w:numPr>
          <w:numId w:val="30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Stanhiser, to the knowledge of both Johnston and Canaccord, purported to "borrow" monies from the individual investors, for the stated purpose of lending money to one or more of the Off-Shore Corporations so that they could purchase securities in the Distributing Companies pursuant to private placements;</w:t>
      </w:r>
    </w:p>
    <w:p>
      <w:pPr>
        <w:numPr>
          <w:numId w:val="30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potential investors were encouraged to deposit their funds, which were to be used to purchase units of securities in the Distributing Companies with Johnston at Canaccord, prior to the funds being transferred to the Off-Shore Corporations. Johnston caused a number of such accounts to be opened at Canaccord;</w:t>
      </w:r>
    </w:p>
    <w:p>
      <w:pPr>
        <w:numPr>
          <w:numId w:val="30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promotional material distributed by Stanhiser, Excel and the Off-Shore Corporations, to the knowledge of both Johnston and Canaccord, purported to provide that investors would be entitled to an interest in the securities of the Distributing Companies, which were being purchased under the private placements;</w:t>
      </w:r>
    </w:p>
    <w:p>
      <w:pPr>
        <w:numPr>
          <w:numId w:val="30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 prospectuses were issued or provided to investors in connection with the "private placement" transactions described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various steps in the plan and their consummation are referred to collectively in the statement of claim as "the Scheme". That is also the word used in the statement of defence and counsel for both sides used it during submissions. For convenience I will do so as well, but only in the general sense of the word and not in the pejorative sense with which it is sometimes used. Indeed, it is part of the defendants' defence that the Scheme was not unlawful.)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sum, it can be seen from paragraph 8, especially subparagraph e, that the core element of the Scheme was that the funds advanced by investors were, or were to be considered as, loans to Stanhiser's companies, repayment of which was to be effected by the shares they were used to purchase. Typical form documents which accompanied these transactions are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836"/>
        <w:gridCol w:w="962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81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w:t>
            </w:r>
          </w:p>
        </w:tc>
        <w:tc>
          <w:tcPr>
            <w:tcW w:w="9421"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CANACCORD CAPITAL CORP.</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Att. John Johnston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2200 - 609 Granville Street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BC V7Y 1H2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Dear Mr. Johnston;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enclosed cheque for $_____________ represents funds I wish to have held by Canaccord Capital Corp. It is my intention to lend these funds to DiomondMark Trust to participate in investments that DiomondMark Trust will make on my behalf.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Please forward a receipt for these funds to the address below.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Sincerely,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___________________________________________</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836"/>
        <w:gridCol w:w="962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81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w:t>
            </w:r>
          </w:p>
        </w:tc>
        <w:tc>
          <w:tcPr>
            <w:tcW w:w="9421"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___ June 1996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CANACCORD CAPITAL CORP.</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Att. John Johnston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2200 - 609 Granville Street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BC V7Y 1H2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Dear Mr. Johnston;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authorize you to discharge to DiomondMark Trust $______________ that I have on deposit to purchase a portion of DiomondMark's private placement made with SAMEX Mining Corp.</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Sincerely,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like the following name/s to appear on the stock certificate that will be issued.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182"/>
        <w:gridCol w:w="627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09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614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__________________________________________</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836"/>
        <w:gridCol w:w="962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81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w:t>
            </w:r>
          </w:p>
        </w:tc>
        <w:tc>
          <w:tcPr>
            <w:tcW w:w="9421"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 May 1996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CANACCORD CAPITAL CORP.</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Att. John Johnston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2200 - 609 Granville Street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BC V7Y 1H2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Dear Mr. Johnston;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authorize you to discharge US$10,000 that I have on deposit as a loan to DiomondMark Trust to participate in the private placement being made to RFID Systens Corp. at the price of US$1.00 per share.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Sincerely,</w:t>
      </w:r>
    </w:p>
    <w:p>
      <w:pPr>
        <w:numPr>
          <w:numId w:val="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Bill Gerber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like the following name/s to appear to the stock certificate that will be issued.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BILL and BONNIE GERBER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___________________________________________</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836"/>
        <w:gridCol w:w="962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81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w:t>
            </w:r>
          </w:p>
        </w:tc>
        <w:tc>
          <w:tcPr>
            <w:tcW w:w="9421"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CANACCORD CAPITAL CORP.</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Att. John Johnston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2200 - 609 Granville Street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BC V7Y 1H2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 EXCEL ASSET MANAGEMENT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Mary Vincelli, Account Manager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1100 - 675 West Hastings Street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B.C V6B 1N2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Or Via Fax 604-689-5892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Dear Mr. Johnston;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enclosed certified check/money order for $5,000.00 US/CDN (please circle only one) represents funds I wish to have held by Canaccord Capital Corporation. It is my intention to lend these funds to Excel Funding Inc. to enable Excel to participate in the private placement being made to SAMEX (III) Mining Corp.</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Sincerely,</w:t>
      </w:r>
    </w:p>
    <w:p>
      <w:pPr>
        <w:numPr>
          <w:numId w:val="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Bill Gerber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___________________________________________</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836"/>
        <w:gridCol w:w="962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81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w:t>
            </w:r>
          </w:p>
        </w:tc>
        <w:tc>
          <w:tcPr>
            <w:tcW w:w="9421"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Instructions for Completing the Golden Hat Resources, Inc. Private Placement II Offering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Excel Asset Management has entered into an agreement to provide a private placement to GOLDEN HAT RESOURCES, INC. a mining company with mining properties in the State of Durango, Mexico. You have indicated your desired to be one of the private placement partners. DiomondMark Trust has been established to hold the collective funds for this transaction. As such, you are making a loan to DiomondMark Trust, who will forward the collective funds to Golden Hat upon closing of the private placement and will repay your loan in Golden Hat units valued at $0.50 per unit. Free trading shares in Golden Hat are expected in September 1996. The warrant attached to each unit may be redeemed for an additional share for $0.50 if exercised in the first year or $0.575 if exercised in the second year.</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Phone Canaccord Capital Corporation in Vancouver, BC to open an account if you do not already have a broker account. You should ask for Terri Messer. You may phone toll free at the numbers listed below:</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Canada 1-800-663-1899 US 1-800-663-8061 Vancouver area 643-7549</w:t>
      </w:r>
    </w:p>
    <w:p>
      <w:pPr>
        <w:numPr>
          <w:numId w:val="5"/>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Send a certified check or bank draft via courier to:</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CANACCORD CAPITAL CORP. Att. John Johnston 2200 -</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609 Granville Street Vancouver, BC CANADA V7Y 1H2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Your check should be made out to CANACCORD CAPITAL CORP. On the memo line on the check write 'DiomondMark Trust'. Enclose the completed copies of the two attached letters.</w:t>
      </w:r>
    </w:p>
    <w:p>
      <w:pPr>
        <w:numPr>
          <w:numId w:val="6"/>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This private placement will close on May 13, 1996. We will have to have your check in time to make closing at 1:00 pm on that day.</w:t>
      </w:r>
    </w:p>
    <w:p>
      <w:pPr>
        <w:numPr>
          <w:numId w:val="6"/>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Should you have any questions relating to any of the above, please feel free to call (604) 534-4729. Del and/or Linda Knowlton will be happy to answer any questions you may have regarding Golden Hat Resources, Inc. or this private placement.</w:t>
      </w:r>
    </w:p>
    <w:p>
      <w:pPr>
        <w:numPr>
          <w:numId w:val="6"/>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You may have your Golden Hat stock transferred to the brokerage house of your choice or you may retain Canaccord Capital to act on your behalf. John Johnston, a broker who is fully aware of Golden Hat, would be capable of handling your trading account. You can keep in touch with him via the 1-800 number from anywhere in Canada or the USA.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Some of the investors opened accounts with Canaccord, some did not. However, all the investors who are meant to be included in this action deposited their funds with Canaccord and Canaccord has a record of all such persons and how much they deposited. I am told they number approximately 388 persons.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Prospectuses were not issued to the investors and very few of the investments were for the $97,000 or more which is the minimum amount of investment permitted by the Securities Act for private placements. In the event, it is alleged, Stanhiser misappropriated a portion of the funds invested and many of the investors did not receive the shares they were supposed to for their "loans".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The plaintiffs claim against Stanhiser primarily in fraud and against Johnston and Canaccord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tortious conspiracy and breach of trust. No claim in fraud or negligent misrepresentation is pursued against Johnston and Canaccord.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claim of fraud against Stanhiser appears to be based on his inducement of the investors to invest their funds in a scheme that he knew or ought to have known was illegal and, as well, his misappropriation thereafter of some of those funds and failure to provide many of the investors with the shares they were supposed to receive.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Johnston and Canaccord are that as depositaries of the funds of the investors they owed a duty of care to the investors and were in breach of that duty by permitting them to invest in the scheme that they knew or ought to have known was illegal or would put their funds at risk. Particulars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alleged are set out in paragraph 17 of the statement of claim as follows:</w:t>
      </w:r>
      <w:r>
        <w:rPr>
          <w:rFonts w:ascii="arial" w:eastAsia="arial" w:hAnsi="arial" w:cs="arial"/>
          <w:sz w:val="20"/>
          <w:lang w:val="en-US" w:eastAsia="en-US" w:bidi="ar-SA"/>
        </w:rPr>
        <w:cr/>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Particulars of the negligent actions of the defendants Canaccord and Johnston include:</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assisting Stanhiser, the Off-Shore Corporations and Excel in the collection and distribution of monies in the Scheme and by assisting in the physical distribution of securities purchased through the Scheme in the absence of a prospectus or an exemption under the Securities Act;</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inquire into and learn about the business operations of the Off-Shore Corporations contrary to the Rules made pursuant to the Securities Act;</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establish and apply written prudent business procedures for dealing with clients including the plaintiffs;</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put in place adequate mechanisms to ensure that their client's funds were not delivered to Stanhiser, directly or indirectly, without their clients receiving shares in the companies that were purportedly the subject of the plaintiffs' investment; and</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with respect to Canaccord, failing to supervise its employees adequately and properly.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allegations with respect to the claim of tortious conspiracy are that Johnston and Canaccord agreed with and assisted Stanhiser in the development and execution of his unlawful scheme, thereby causing loss to the investors.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allegations of breach of trust are twofold, firstly, a breach of a trust created by sections 57 and 58 of the Securities Rules (funds of a client to be held in trust) and secondly, an implied trust created by virtue of Canaccord as a reputable investment house receiving funds from members of the public and permitting them to be used for an unlawful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The defendants Johnston and Canaccord deny that the scheme was unlawful or, in the alternative, that they knew or ought to have known that it was unlawful. They therefore deny that there is any basis for the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tortious conspiracy and breach of trust. They say that any funds deposited with them were dealt with pursuant to explicit written instructions from the plaintiffs. They further assert that if Stanhiser perpetrated any fraud they had no knowledge of it and did not participate in it in any way. Finally, they say that the plaintiffs knowingly accepted the risk inherent in investing in the scheme.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events out of which the action arises have been the subject of other legal proceedings. On October 14, 1998 twenty persons brought an action against Stanhiser, Johnston, Canaccord and other persons in Washington State. On October 26, 1998 six persons, three trusts and a limited partnership brought an action in California against Stanhiser, Johnston, Canaccord and others. On March 30, 1999 five persons started an action against Stanhiser, Johnston, Canaccord and others in California. All three of those actions have been dismissed as against Johnston and Canaccord on jurisdictional grounds, apparently being that British Columbia is the appropriate venue for such claims against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In January 2000 two separate actions brought by a total of three claimants against Johnston, Canaccord and one other person were tried together in the Small Claims division of the Provincial Court of British Columbia. The claims were for breach of contract,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fiduciary duty. The actions were dismissed after a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1998 the Securities Commission brought enforcement proceedings under the Securities Act against Stanhiser, some of his companies and two other persons.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On April 28, 1999 the Commission issued its findings that all the respondents had contravened the Act by distributing securities without being registered pursuant to the Act and without issuing prospectuses. It also made a finding of fraudulent conduct on the part of Stanhiser. In June and July 2000 without any enforcement hearing being conducted, Johnston and Canaccord arrived at settlements with the Securities Commission with respect to their part in the Scheme.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ORDERS SOUGHT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S. 4 of the Class Proceedings Act provides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Class Certification</w:t>
      </w:r>
    </w:p>
    <w:p>
      <w:pPr>
        <w:numPr>
          <w:numId w:val="9"/>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must certify a proceeding as a class proceeding on an application under s. 2 or 3 if all of the following requirements are met:</w:t>
      </w:r>
    </w:p>
    <w:p>
      <w:pPr>
        <w:numPr>
          <w:numId w:val="10"/>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pleadings disclose a cause of action;</w:t>
      </w:r>
    </w:p>
    <w:p>
      <w:pPr>
        <w:numPr>
          <w:numId w:val="10"/>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an identifiable class of 2 or more persons;</w:t>
      </w:r>
    </w:p>
    <w:p>
      <w:pPr>
        <w:numPr>
          <w:numId w:val="10"/>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claims of the class members raise common issues, whether or not those common issues predominate over issues affecting only individual members;</w:t>
      </w:r>
    </w:p>
    <w:p>
      <w:pPr>
        <w:numPr>
          <w:numId w:val="11"/>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class proceeding would be the preferable procedure for the fair and efficient resolution of the common issues;</w:t>
      </w:r>
    </w:p>
    <w:p>
      <w:pPr>
        <w:numPr>
          <w:numId w:val="11"/>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 representative plaintiff who</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would fairly and adequately represent the interests of the class,</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has produced a plan for the proceeding that sets out a workable method of advancing the proceeding on behalf of the class and of notifying class members of the proceeding, and</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does not have, on the common issues, an interest that is in conflict with the interests of other class members.</w:t>
      </w:r>
    </w:p>
    <w:p>
      <w:pPr>
        <w:numPr>
          <w:numId w:val="1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determining whether a class proceeding would be the preferable procedure for the fair and efficient resolution of the common issues, the court must consider all relevant matters including the following:</w:t>
      </w:r>
    </w:p>
    <w:p>
      <w:pPr>
        <w:numPr>
          <w:numId w:val="1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questions of fact or law common to the members of the class predominate over any questions affecting only individual members;</w:t>
      </w:r>
    </w:p>
    <w:p>
      <w:pPr>
        <w:numPr>
          <w:numId w:val="1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a significant number of the members of the class have a valid interest in individually controlling the prosecution of separate actions;</w:t>
      </w:r>
    </w:p>
    <w:p>
      <w:pPr>
        <w:numPr>
          <w:numId w:val="1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class proceedings would involve claims that are or have been the subject of any other proceedings;</w:t>
      </w:r>
    </w:p>
    <w:p>
      <w:pPr>
        <w:numPr>
          <w:numId w:val="1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other means of resolving the claims are less practical or less efficient;</w:t>
      </w:r>
    </w:p>
    <w:p>
      <w:pPr>
        <w:numPr>
          <w:numId w:val="1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administration of the class proceeding would create greater difficulties than those likely to be experienced if relief were sought by other means.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 have previously ruled that the pleadings disclose a cause of action so that the requirements of s. 4(1)(a) have already been met.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S. 8(1) of the Act provides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Contents of certification order</w:t>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certification order must</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describe the class in respect of which the order was made by setting out the class's identifying characteristics,</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appoint the representative plaintiff for the class,</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state the nature of the claims asserted on behalf of the class,</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state the relief sought by the class,</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set out the common issues for the class,</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state the manner in which and the time within which a class member may opt out of the proceeding,</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state the manner in which and the time within which a person who is not a resident of British Columbia may opt in to the proceeding, and</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include any other provisions the court considers appropriate.</w:t>
      </w:r>
    </w:p>
    <w:p>
      <w:pPr>
        <w:numPr>
          <w:numId w:val="1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a class includes a subclass whose members have claims that raise common issues not shared by all the class members so that, in the opinion of the court, the issues not shared by all the class members so that, in the opinion of the court, the protection of the interests of the subclass members requires that they be separately represented, the certification order must include the same information in relation to the subclass that, under subsection (1), is required in relation to the class.</w:t>
      </w:r>
    </w:p>
    <w:p>
      <w:pPr>
        <w:numPr>
          <w:numId w:val="1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on the application of a party or class member, may at any time amend a certification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the outline of their application submitted to the Court for this hearing the plaintiffs set out the contents of the certification order which they seek as follows:</w:t>
      </w:r>
      <w:r>
        <w:rPr>
          <w:rFonts w:ascii="arial" w:eastAsia="arial" w:hAnsi="arial" w:cs="arial"/>
          <w:sz w:val="20"/>
          <w:lang w:val="en-US" w:eastAsia="en-US" w:bidi="ar-SA"/>
        </w:rPr>
        <w:cr/>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Relief Sought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plaintiffs seek the following orders:</w:t>
      </w:r>
    </w:p>
    <w:p>
      <w:pPr>
        <w:numPr>
          <w:numId w:val="2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certifying this action as a class proceeding;</w:t>
      </w:r>
    </w:p>
    <w:p>
      <w:pPr>
        <w:numPr>
          <w:numId w:val="2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defining the class as: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all persons residing both inside and outside of British Columbia, who provided funds to Canaccord Capital Corporation, for the purpose of "lending" the same to one or more of the defendant Gary Stanhiser, Excel Asset Management Ltd. or one or more of the "Off-Shore Corporations" (as that term is defined in the Further Amended Statement of Claim in this matter).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or such other parameters as the Court may deem appropriate, and segregating the class into subclasses as follows:</w:t>
      </w:r>
    </w:p>
    <w:p>
      <w:pPr>
        <w:numPr>
          <w:numId w:val="22"/>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those class members residing in British Columbia as of the date of the Certification Order; and</w:t>
      </w:r>
    </w:p>
    <w:p>
      <w:pPr>
        <w:numPr>
          <w:numId w:val="23"/>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those class members residing outside of British Columbia as of the date of the Certification Order;</w:t>
      </w:r>
    </w:p>
    <w:p>
      <w:pPr>
        <w:numPr>
          <w:numId w:val="2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appointing William Gerber as the representative plaintiff for those class members resident in British Columbia as of the date of the Certification Order;</w:t>
      </w:r>
    </w:p>
    <w:p>
      <w:pPr>
        <w:numPr>
          <w:numId w:val="2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appointing E. Jon Oksenholt as the representative plaintiff for those class members resident outside of British Columbia as of the date of the Certification Order;</w:t>
      </w:r>
    </w:p>
    <w:p>
      <w:pPr>
        <w:numPr>
          <w:numId w:val="2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certifying the following issues as common issues:</w:t>
      </w:r>
    </w:p>
    <w:p>
      <w:pPr>
        <w:numPr>
          <w:numId w:val="2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did one or more of Gary Stanhiser ("Stanhiser"), Canaccord Capital Corporation ("Canaccord") and John Brian Johnston ("Johnston") participate in a "Scheme", as that term is defined in paragraph 8 of the Further Amended Statement of Claim, and was the Scheme illegal;</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a trust created between members of the proposed class and Canaccord in connection with the deposit of funds with Canaccord by the class members, either by virtue of the provisions of the British Columbia Securities Act and the Rules promulgated thereunder, or by the relationship between the class members and Canaccord;</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(iii)did Stanhiser misappropriate funds provided by the class members;</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Stanhiser perpetrate a fraud on members of the class as a result of his involvement in the Scheme?</w:t>
      </w:r>
    </w:p>
    <w:p>
      <w:pPr>
        <w:numPr>
          <w:numId w:val="2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did one or more of Stanhiser, Canaccord and Johnston owe a duty of care to the members of the proposed class;</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one or more of Stanhiser, Canaccord and Johnston owed a duty of care to the members of the proposed class, did one or more of them breach that duty of care;</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(vii)did one or more of Johnston, Canaccord and Stanhiser conspire together and agree to develop and implement the Scheme?</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(viii)did the defendants know, or ought they to have known, that injury to members of the class would, or was likely to, result as a consequence of their actions? and</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 the actions of any of Stanhiser, Johnson or Canaccord warrant an award of punitive damages against them?</w:t>
      </w:r>
    </w:p>
    <w:p>
      <w:pPr>
        <w:numPr>
          <w:numId w:val="3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approving the form and method of notice to be given to members of the class to notify them of the certification of the class proceedings;</w:t>
      </w:r>
    </w:p>
    <w:p>
      <w:pPr>
        <w:numPr>
          <w:numId w:val="3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directing the manner and time limits in which class members may opt out of the class proceedings and by which persons who reside outside of British Columbia, but who otherwise are members of the class may opt into these proceedings; and</w:t>
      </w:r>
    </w:p>
    <w:p>
      <w:pPr>
        <w:numPr>
          <w:numId w:val="3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such further Orders as this Honourable Court may deem just.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S. 6 of the Act provides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Subclass certification</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Despite s. 4(1), if a class includes a subclass whose members have claims that raise common issues not shared by all the class members so that, in the opinion of the court, the protection of the interests of the subclass members requires that they be separately represented, the court must not certify the proceeding as a class proceeding unless there is, in addition to the representative plaintiff for the class, a representative plaintiff who</w:t>
      </w:r>
    </w:p>
    <w:p>
      <w:pPr>
        <w:numPr>
          <w:numId w:val="33"/>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would fairly and adequately represent the interests of the subclass,</w:t>
      </w:r>
    </w:p>
    <w:p>
      <w:pPr>
        <w:numPr>
          <w:numId w:val="33"/>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has produced a plan for the proceeding that sets out a workable method of advancing the proceeding on behalf of the subclass and of notifying subclass members of the proceeding, and</w:t>
      </w:r>
    </w:p>
    <w:p>
      <w:pPr>
        <w:numPr>
          <w:numId w:val="33"/>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does not have, on the common issues for the subclass, an interest that is in conflict with the interests of other subclass members.</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class that comprises persons resident in British Columbia and persons not resident in British Columbia must be divided into subclasses along those lines.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plaintiff Gerber resides in British Columbia and the plaintiff Oksenholt resides in Oregon. They are therefore put forward as being the representative plaintiffs for the subclasses mandated by s. 6(2).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Counsel for the defendants conceded that the action should be certified as a class proceeding. However, they contest the definition of the class (or subclasses) proposed by the plaintiffs, the definition of the issues proposed (except those relating to Stanhiser only) and the appropriateness of the present plaintiffs being representatives of the subclasses. They also have suggestions as to the plan to be ordered for the carrying forward of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CLASS AND SUBCLASSES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From the above description of the circumstances it is evident that there is a class of more than two persons arising out of the allegations in the present plaintiffs' action which is readily identifiable. It is comprised of those persons who in order to invest in the shares of certain junior companies participated in the Scheme described above by advancing funds, either directly or through intermediaries, to Canaccord. Some of those persons reside in British Columbia and some do not so that s. 6(2) applies, that is, that the class must be "divided into subclasses along those lines".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Counsel for the defendants argue, however, that the class so identified and defined is too broad in the following respect. Some of the persons who invested were themselves involved in the Scheme, that is, were acting as employees or agents of Stanhiser or otherwise induced or encouraged other persons to participate in the Scheme. It is said that it is inappropriate that they be included in any such class carrying forward this action because they do not "come to court with clean hands" and may therefore not have valid claims. Furthermore, it is said that to include them in the class risks bogging down the conduct of the action because the defendants Johnston and Canaccord may in future wish to bring third party proceedings against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However, I do not believe that everybody who suggested to others that they invest in the Scheme must necessarily be precluded from advancing claims themselves. Firstly, it is quite common for persons who believe they are on to a "good thing" to quite innocently encourage relatives and friends to become involved. Secondly, it is possible that even those who were connected to Stanhiser or his companies may have been themselves misled and suffered losses and therefore have interests in common with the other members of the class. Whether their cases against Johnston and Canaccord are as strong as their cases against Stanhiser is a matter to be determined later on the evidence. Finally, and in any event, if it appears later that any person or persons should be excluded from the class or declared a further subclass, the Court, pursuant to s. 8(3) "may at any time amend a certification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It is also suggested that those who did not themselves open accounts at Canaccord should not be included with those who did and that those who did not attend the information "seminars" conducted by Excel (the company through which Stanhiser was mainly operating his Scheme) particularly those held at Canaccord's premises, should not be included with those who did. However, I do not think those distinctions make the persons involved any less members of a class who have common interests as investors in the Scheme and whose "claims ... raise common issues" (s. 4(1)(c)), which issues I shall discuss shortly. In any event, I note again that should it become necessary, s. 8(3) permits the Court to amend a certification order at any time to create a subclass.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Accordingly I will define the class largely as proposed but with some minor modifications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All persons residing both inside and outside of British Columbia, who directly or indirectly provided funds to Canaccord Capital Corporation, for the purpose of advancing those funds to one or more of the defendant Gary Stanhiser, Excel Asset Management Ltd. or one or more of the "Offshore Corporations" (as that term is defined in the Further Amended Statement of Claim in this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Pursuant to s. 6(2), the class will be divided into the following sub-clauses:</w:t>
      </w:r>
      <w:r>
        <w:rPr>
          <w:rFonts w:ascii="arial" w:eastAsia="arial" w:hAnsi="arial" w:cs="arial"/>
          <w:sz w:val="20"/>
          <w:lang w:val="en-US" w:eastAsia="en-US" w:bidi="ar-SA"/>
        </w:rPr>
        <w:cr/>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those class members inside of British Columbia as of the date of the certification order; and</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those class members residing outside of British Columbia as of the date of the certification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COMMON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authorities have repeatedly said that for issues to be certified as common issues pursuant to s. 4(1)(c) it is not necessary that they be determinative of liability but only that they will "move the litigation forward" in a meaningful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Proposed Issues (e)(i) and (vii)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first issue proposed in counsel's Outline, at least down to the last words ("and was the Scheme illegal") deals with the principal facts or cause of action that are the foundation of the various claims in law of the plaintiffs, namely, the carrying out of the Scheme. Proposed issue (e)(vii) deals with the conception of the Scheme, that is, the presumably prior agreement or conspiracy of the parties to carry out the Scheme. Counsel for the defendants suggested that the latter should be collapsed into the former, and I agree. Proof or disproof of the conception of the Scheme and its execution are certainly factual issues which will move the litigation forward.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On the other hand, the illegality or not of the Scheme seems to raise a discrete issue of law. It, of course, relates principally to the question of whether notwithstanding the structure of the transactions - "loans" to be repaid in shares - they were violations of the Securities Act relating to trading in securities. In my view, it should be certified as a separate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sum, I will collapse proposed issues (e)(i) and (vii) but hive off the last part of (e)(i) as follows:</w:t>
      </w:r>
      <w:r>
        <w:rPr>
          <w:rFonts w:ascii="arial" w:eastAsia="arial" w:hAnsi="arial" w:cs="arial"/>
          <w:sz w:val="20"/>
          <w:lang w:val="en-US" w:eastAsia="en-US" w:bidi="ar-SA"/>
        </w:rPr>
        <w:cr/>
      </w:r>
    </w:p>
    <w:p>
      <w:pPr>
        <w:numPr>
          <w:numId w:val="3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Did one or more of Gary Stanhiser ("Stanhiser"), Canaccord Capital Corporation ("Canaccord") and John Brian Johnson ("Johnston") agree upon, that is, conspire to and, in fact, participate in a "Scheme", as that term is defined in paragraph 8 of the Further Amended Statement of Claim;</w:t>
      </w:r>
    </w:p>
    <w:p>
      <w:pPr>
        <w:numPr>
          <w:numId w:val="3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Scheme illegal as being a contravention of the Securities Act and Regulations and Rules issued pursuant thereto?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Proposed Issue (e)(viii)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As I understood the submissions of counsel for the defendants, they were that this issue should also be collapsed into the first issue as being a subsidiary aspect of it. However, in this case knowledge that injury was likely to result from the proposed scheme is one factual component of a tortious conspiracy. That is not disputed by counsel for either side. (As a matter of fact, it also is very close if not identical to a dimension of the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to which I shall return.) Therefore, there does not seem to be any reason why it cannot be certified as a separate common issue, which I do as follows:</w:t>
      </w:r>
      <w:r>
        <w:rPr>
          <w:rFonts w:ascii="arial" w:eastAsia="arial" w:hAnsi="arial" w:cs="arial"/>
          <w:sz w:val="20"/>
          <w:lang w:val="en-US" w:eastAsia="en-US" w:bidi="ar-SA"/>
        </w:rPr>
        <w:cr/>
      </w:r>
    </w:p>
    <w:p>
      <w:pPr>
        <w:numPr>
          <w:numId w:val="3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defendants or any of them know, or ought they to have known, that injury to members of the class would, or was likely to, result as a consequence of their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Proposed Common Issues (e)(v) and (vi)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These proposed common issues relate to the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first expresses the legal issue involved in an allegation of the tort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that is, the broad "neighbour" principle that a duty of reasonable care arises when the possibility of harm from one's actions to a person or class of persons is foreseeable. The second relates to the factual issue in such an action, that is, did the defendants breach the standard of care that applied in that particular case. Was their conduct unreasonable or negligent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this regard defendants' counsel raised concerns similar to those raised with respect to the definition of the class, namely, that some of the people who invested were in quite different positions vis-a-vis Johnston and Canaccord than others. For example, as mentioned, some opened accounts at Canaccord but others did not. Furthermore, it is said some "pooled" their money, that is, sent it to Canaccord through other persons who were investing in the Scheme.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 note, firstly, with respect to the latter point that whether it received funds from investors directly or indirectly Canaccord apparently has a list of all such persons who paid it money to invest in the Scheme and this action is sought to be brought on behalf of, and my definition of the class includes, only those persons who advanced funds to Canaccord.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I also note again that the definition of the legal issue in a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 the duty of care - is broad in nature as opposed to the determination of the appropriate standard of care - the factual issue - which can be much more specific and particular depending on the circumstances of the case. In this case, I see no conceptual or practical difficulty in posing the very broad question as to whether any of the defendants owed a duty of care to the members of the class I have defined.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The defendants object, of course, that the evidence could eventually show that a duty of care existed with respect to certain members of the class but not with respect to others. However it has been held that the possibility of different answers to the questions posed for different parts of the class does not make the question any less a common issue. In Cooper v. Hobart </w:t>
      </w:r>
      <w:hyperlink r:id="rId1099" w:history="1">
        <w:r>
          <w:rPr>
            <w:rFonts w:ascii="arial" w:eastAsia="arial" w:hAnsi="arial" w:cs="arial"/>
            <w:i/>
            <w:color w:val="0077CC"/>
            <w:sz w:val="20"/>
            <w:u w:val="single"/>
            <w:shd w:val="clear" w:color="auto" w:fill="FFFFFF"/>
            <w:lang w:val="en-US" w:eastAsia="en-US" w:bidi="ar-SA"/>
          </w:rPr>
          <w:t>(1999), 68 B.C.L.R. (3d) 293</w:t>
        </w:r>
      </w:hyperlink>
      <w:r>
        <w:rPr>
          <w:rFonts w:ascii="arial" w:eastAsia="arial" w:hAnsi="arial" w:cs="arial"/>
          <w:color w:val="000000"/>
          <w:sz w:val="20"/>
          <w:lang w:val="en-US" w:eastAsia="en-US" w:bidi="ar-SA"/>
        </w:rPr>
        <w:t xml:space="preserve"> (S.C.), Tysoe J. said at para. 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8051"/>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If it is determined that the Registrar owed a duty of care to the proposed class, it is possible that the Court may determine that he did not breach the duty before a certain date and that he was in breach of it after a certain date. However, the fact that the issue may be answered one way for part of the class and another way for the rest of the class does not mean that it is not a common issue: see Chace v. Crane Canada Inc. [</w:t>
            </w:r>
            <w:hyperlink r:id="rId1100" w:history="1">
              <w:r>
                <w:rPr>
                  <w:rFonts w:ascii="arial" w:eastAsia="arial" w:hAnsi="arial" w:cs="arial"/>
                  <w:i/>
                  <w:color w:val="0077CC"/>
                  <w:sz w:val="18"/>
                  <w:u w:val="single"/>
                  <w:shd w:val="clear" w:color="auto" w:fill="FFFFFF"/>
                  <w:lang w:val="en-US" w:eastAsia="en-US" w:bidi="ar-SA"/>
                </w:rPr>
                <w:t>(1997), 44 B.C.L.R. (3d) 264</w:t>
              </w:r>
            </w:hyperlink>
            <w:r>
              <w:rPr>
                <w:rFonts w:ascii="arial" w:eastAsia="arial" w:hAnsi="arial" w:cs="arial"/>
                <w:color w:val="000000"/>
                <w:sz w:val="18"/>
                <w:lang w:val="en-US" w:eastAsia="en-US" w:bidi="ar-SA"/>
              </w:rPr>
              <w:t xml:space="preserve"> (C.A.)].</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same concern arises (obviously even more strongly) with respect to the factual issue of the breach of the duty of care. For example, did the fact that some of the class members had opened accounts with Canaccord mean that it owed them more care than those who did not and, if so, was that higher standard of care breached with respect to them but not with those who had no accounts? Conversely, did any exemption from liability clauses in the account documents effectively lower the otherwise applicable standard of care? Again, the fact that these questions might be answered differently for different parts of a class does not make the issue any the less a common issue and I cannot say at this point that the Court after it hears the evidence in the case will not be able to answer the question comprehensively and, if necessary, break down the answer in a meaningful form.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 note further that it is not necessary that the parts of the action framed by the certification order dispose of every issue in the law-suit with respect to every member of the defined class. The question is whether the trial of the common issues as framed moves the litigation forward in a meaningful and efficient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any event I note again that the Court can amend a certification order and if it becomes evident as the litigation progresses that such differences - accounts or no accounts, connected to Stanhiser or not, pooled or non-pooled funds - are crucial, further subclasses can be created and the common issues can be refined or redefined.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Accordingly I define these two issues as follows:</w:t>
      </w:r>
      <w:r>
        <w:rPr>
          <w:rFonts w:ascii="arial" w:eastAsia="arial" w:hAnsi="arial" w:cs="arial"/>
          <w:sz w:val="20"/>
          <w:lang w:val="en-US" w:eastAsia="en-US" w:bidi="ar-SA"/>
        </w:rPr>
        <w:cr/>
      </w:r>
    </w:p>
    <w:p>
      <w:pPr>
        <w:numPr>
          <w:numId w:val="3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Did one or more of Stanhiser, Canaccord and Johnston owe a duty of care to the members of the class?</w:t>
      </w:r>
    </w:p>
    <w:p>
      <w:pPr>
        <w:numPr>
          <w:numId w:val="3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one or more of Stanhiser, Canaccord and Johnston owed a duty of care to the members of the class, did one or more of them breach that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Proposed Issue (e)(ii)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This proposed issue relates to the claim in trust and involves questions of both fact and law. The concern of the defendants in this regard is essentially the same as with respect to the two previous issues, that because of the differences in situation between some members of the class the result could be different for such different members. The answers to the concern are the same. That the results could be different for some does not per se mean that the issue is not common to the class and in any event the Court in future could amend the order to create new subclasses or redefine the issue. That issue is defined as follows:</w:t>
      </w:r>
      <w:r>
        <w:rPr>
          <w:rFonts w:ascii="arial" w:eastAsia="arial" w:hAnsi="arial" w:cs="arial"/>
          <w:sz w:val="20"/>
          <w:lang w:val="en-US" w:eastAsia="en-US" w:bidi="ar-SA"/>
        </w:rPr>
        <w:cr/>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a trust created between members of the proposed class and Canaccord in connection with the deposit of funds with Canaccord by the class members, either by virtue of the provisions of the British Columbia Securities Act and the Regulations and Rules promulgated thereunder, or by the relationship between the class members and Canaccord?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Proposed Issues (e)(iii) and (iv)</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Counsel for the defendants Johnston and Canaccord took no position with respect to these proposed issues regarding the allegations against Stanhiser of misappropriation of funds and fraud. They appear to be appropriate common issues to certify (bearing in mind that proof of individual damages will take place at a later stage in the proceedings) and I do so in the wording set out in the Outline:</w:t>
      </w:r>
      <w:r>
        <w:rPr>
          <w:rFonts w:ascii="arial" w:eastAsia="arial" w:hAnsi="arial" w:cs="arial"/>
          <w:sz w:val="20"/>
          <w:lang w:val="en-US" w:eastAsia="en-US" w:bidi="ar-SA"/>
        </w:rPr>
        <w:cr/>
      </w:r>
    </w:p>
    <w:p>
      <w:pPr>
        <w:numPr>
          <w:numId w:val="4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Did Stanhiser perpetuate a fraud on the members of the class as a result of his involvement in the Scheme?</w:t>
      </w:r>
    </w:p>
    <w:p>
      <w:pPr>
        <w:numPr>
          <w:numId w:val="4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Did Stanhiser misappropriate funds provided by the members of the class as a result of his involvement in the Scheme?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Proposed Issue (e)(ix)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defendants object to the issue of punitive damages being set out as a common issue as being premature. Obviously compensatory damages will have to be determined later on an individual basis. However, the trial of the common issues will focus mainly on the actions of the defendants and the focus of the issue of punitive damages will be whether their actions as a whole relative to the conception and execution of the scheme were morally culpable in such a way as to attract an order of punitive damages by the Court. The cases have held that for those reasons punitive damages are appropriate for certification in a class action (Chace v. Crane Canada Inc., supra). I set out that issue as follows:</w:t>
      </w:r>
      <w:r>
        <w:rPr>
          <w:rFonts w:ascii="arial" w:eastAsia="arial" w:hAnsi="arial" w:cs="arial"/>
          <w:sz w:val="20"/>
          <w:lang w:val="en-US" w:eastAsia="en-US" w:bidi="ar-SA"/>
        </w:rPr>
        <w:cr/>
      </w:r>
    </w:p>
    <w:p>
      <w:pPr>
        <w:numPr>
          <w:numId w:val="41"/>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Do the actions of any of Stanhiser, Johnston or Canaccord warrant an award of punitive damages against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CLASS REPRESENTATIVES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plaintiffs Gerber and Oksenholt have filed and been cross-examined on affidavits which set out at length their involvement as investors in the scheme. They assert that they know of no interest they have that is in conflict with other members of their respective subclasses and that they are willing and prepared to carry forward the action as class representatives.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The defendants again raise the issue that the circumstances relating to the involvement of some members of the class are somewhat different than others and different than the present plaintiffs. However, it is not necessary that the class representatives and all members of the class be situated identically on the facts or have identical claims (Campbell v. Flexwatt Corp. </w:t>
      </w:r>
      <w:hyperlink r:id="rId834" w:history="1">
        <w:r>
          <w:rPr>
            <w:rFonts w:ascii="arial" w:eastAsia="arial" w:hAnsi="arial" w:cs="arial"/>
            <w:i/>
            <w:color w:val="0077CC"/>
            <w:sz w:val="20"/>
            <w:u w:val="single"/>
            <w:shd w:val="clear" w:color="auto" w:fill="FFFFFF"/>
            <w:lang w:val="en-US" w:eastAsia="en-US" w:bidi="ar-SA"/>
          </w:rPr>
          <w:t>(1997), 44 B.C.L.R. (3d) 343</w:t>
        </w:r>
      </w:hyperlink>
      <w:r>
        <w:rPr>
          <w:rFonts w:ascii="arial" w:eastAsia="arial" w:hAnsi="arial" w:cs="arial"/>
          <w:color w:val="000000"/>
          <w:sz w:val="20"/>
          <w:lang w:val="en-US" w:eastAsia="en-US" w:bidi="ar-SA"/>
        </w:rPr>
        <w:t xml:space="preserve"> (C.A.); and Endean v. Canadian Red Cross Society et al. </w:t>
      </w:r>
      <w:hyperlink r:id="rId876" w:history="1">
        <w:r>
          <w:rPr>
            <w:rFonts w:ascii="arial" w:eastAsia="arial" w:hAnsi="arial" w:cs="arial"/>
            <w:i/>
            <w:color w:val="0077CC"/>
            <w:sz w:val="20"/>
            <w:u w:val="single"/>
            <w:shd w:val="clear" w:color="auto" w:fill="FFFFFF"/>
            <w:lang w:val="en-US" w:eastAsia="en-US" w:bidi="ar-SA"/>
          </w:rPr>
          <w:t>(1997), 36 B.C.L.R. (3d) 350</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Defendants' counsel points out that apparently Gerber pooled some of his money with that of other people before sending it to Canaccord and that Oksenholt apparently had family connections to people who were working for, or at least acting as agents for, Stanhiser. However, I do not think that because of those reasons, nor because of anything else I have observed in the material, they are in a position of a conflict of interest with respect to the common issues I have set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suggestion is also made that there is a possibility that some members of the class may have a right of action against certain other members and that the present plaintiffs might be in such a position one way or the other. However, I am concerned with the action as presently constituted and the question is whether the class members and the proposed class representatives have common claims against and common issues to be resolved with respect to the present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 am satisfied that the present plaintiffs would fairly and adequately represent the interests of their respective subclasses.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S. 4(1)(e) requires that the proposed class representatives submit a plan for the conduct of the proceedings and s. 8(1)(f) requires that a certification order state the manner in which and the time within which class members may opt out of or into the action. Such a plan, including suggestions as to time lines for opting out and in, has been put forward. For the most part I find it acceptable, subject to the following observations.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principal concern of the parties originally seemed to be what they referred to as the "method of notification" by which I infer that they meant the source of the identity and addresses of the parties to whom notice should be sent. That concern seems now to have been resolved because counsel for the defendants have advised that Canaccord has a specific list of the names and addresses of the persons who directly or indirectly forwarded funds to Canaccord to participate in the Scheme. I took it that counsel are now agreed that that list can be used as the basis for the notification, based on the assumption, of course, that my order would declare those persons to constitute the class, which I have done. If there is any further difficulty about the adequacy of that information and counsel cannot agree as to its resolution they should appear before me as soon as 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notice may be sent by regular mail.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proposed notice to class members (Exhibit E to Gerber's affidavit of December 19, 2000) is acceptable subject to the following. I confess to being somewhat puzzled as to precisely what is referred to in paragraph (b) of the proposed plan relating to advertising the availability of materials to the class members given that, pursuant to paragraph (a), a copy of the certification order and of the pleadings will have been included with the notice. However, if counsel wish to agree to something else in that regard being done they may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deadlines proposed for opting out and in are acceptable, namely, July 30, 2001 for B.C. residents to opt out and August 15, 2001 for non-B.C. residents to opt 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first case management conference should be scheduled through the Registry for some time in the first two weeks starting October 1, 2001. Thereafter I will conduct case management conferences and motions subject to my availability, which can be confirmed through the Registry. I have previously pointed out to counsel my present supernumerary status as a Judge of this Court. As suggested, Rule 65 will be waived as to interlocutory motions, except if counsel anticipate the hearing will be lengthy and the materials voluminous. In any event, a written outline of argument should be submitted for any hearing estimated to take more than thirty minutes. Discovery of documents will not take place until after the opting in period has transpired (August 15, 2001) and the members of the sub-classes participating in the action have been determined.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One final matter with respect to the provisions of s. 4(1)(d) and s. 4(2). I think it is implicit in what I have set out above why I have found that "a class proceeding would be the preferable procedure for the fair and efficient resolution of the common issues". I note that in arriving at that conclusion I have considered the matters raised in s. 4(2)(a) to (e). Those matters of course relate to the requirements of s. 4(1)(d). In a word, given the nature of the Scheme and the number of persons who invested in it, there is obviously a great area of commonality of interest and of issues that lend themselves in the interests of efficient justice to be resolved in a class proceeding and there is no evidence that there is a significant number of the members of the class who have a valid interest in individually controlling the prosecution of separate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In the course of this judgment I have set out my findings with respect to each of the requirements of s. 8(1)(a) to (g) so I will not repeat them. The one exception to that is s. 8(1)(d) ("state the relief sought by the class"). The prayer for relief in the statement of claim asks for damages, aggravated damages, punitive damages, Court order interest and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Bearing in mind the provisions of s. 37(2), there will be no order as to costs of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PARIS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Released: June 12,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 Counsel has brought to my attention certain errors in my Reasons for Judgment dated May 28, 2001.</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1. The first name of counsel for the defendants, Ms. Worfolk, is spelled Mari rather than Marie.</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2. The word "outside" in paragraph 31(1) of my Reasons should be "inside".</w:t>
      </w:r>
      <w:r>
        <w:rPr>
          <w:rFonts w:ascii="arial" w:eastAsia="arial" w:hAnsi="arial" w:cs="arial"/>
          <w:sz w:val="20"/>
          <w:lang w:val="en-US" w:eastAsia="en-US" w:bidi="ar-SA"/>
        </w:rPr>
        <w:cr/>
      </w:r>
    </w:p>
    <w:p>
      <w:pPr>
        <w:numPr>
          <w:numId w:val="42"/>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correct docket number is S003549.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 My reasons are amended accordingly.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PARIS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67" style="position:absolute;z-index:25189580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101"/>
          <w:headerReference w:type="default" r:id="rId1102"/>
          <w:footerReference w:type="even" r:id="rId1103"/>
          <w:footerReference w:type="default" r:id="rId1104"/>
          <w:headerReference w:type="first" r:id="rId1105"/>
          <w:footerReference w:type="first" r:id="rId110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107" w:history="1">
        <w:r>
          <w:rPr>
            <w:rFonts w:ascii="arial" w:eastAsia="arial" w:hAnsi="arial" w:cs="arial"/>
            <w:b/>
            <w:bCs/>
            <w:i/>
            <w:color w:val="0077CC"/>
            <w:kern w:val="32"/>
            <w:sz w:val="28"/>
            <w:szCs w:val="32"/>
            <w:u w:val="single"/>
            <w:shd w:val="clear" w:color="auto" w:fill="FFFFFF"/>
            <w:lang w:val="en-US" w:eastAsia="en-US" w:bidi="ar-SA"/>
          </w:rPr>
          <w:t>Grey Mortgage Investment Corp. v. Campbell &amp; Pound Ltd., [2002] B.C.J. No. 964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Warren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10 - 14, November 9 and 13 - 15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6,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Nos. C981907, C981908</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[2002] B.C.J. No. 964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2002 BCSC 685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113 A.C.W.S. (3d) 741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Grey Mortgage Investment Corp. formerly known as Greyfriars Mortgage Investment Corp., plaintiff, and Campbell &amp; Pound Ltd., Warren Taylor and Daniel M. Jones, defendants (Vancouver Registry No. C981907) And between Grey Mortgage Investment Corp. formerly known as Greyfriars Mortgage Investment Corp., plaintiffs, and Campbell &amp; Pound Ltd., Josephine C. Guevara, Warren Taylor and Daniel M. Jones, defendants (Vancouver Registry No. C981908)</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68" style="position:absolute;z-index:2517084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20" w:name="Keywords_47"/>
      <w:bookmarkEnd w:id="320"/>
      <w:r>
        <w:rPr>
          <w:rFonts w:ascii="arial" w:eastAsia="arial" w:hAnsi="arial" w:cs="arial"/>
          <w:b/>
          <w:color w:val="000000"/>
          <w:sz w:val="20"/>
          <w:lang w:val="en-US" w:eastAsia="en-US" w:bidi="ar-SA"/>
        </w:rPr>
        <w:t xml:space="preserve">Professional occupations — Appraisers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of care — Standard of care, reports — Defences,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Defences, disclaimer — Fraud and misrepresentation — Negligent advice — Defences — Unreasonable reliance — Reliance on apparent careless representations or negligent statements — Failure to question or recognize error — Failure to take remedial action.</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21" w:name="Case Summary_44"/>
            <w:bookmarkEnd w:id="32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Grey Mortgage Investment against Campbell &amp; Pound for damages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Grey was a mortgage lender. Campbell did professional real-estate appraisals. Borrowers supplied Grey with Campbell's appraisals. Some were done for another lender and others were done for the borrowers. The appraisals showed a market downturn trend. They limited reliance to the date of the appraisal, but were supplied to Grey by the borrowers after the appraisal date, and contained clerical and overvaluation errors. Grey glanced at the appraisal values, but did not read the appraisals. Grey was knowledgeable in market trends. It advanced mortgage funds for a year after the appraisal date. There were large registered prior encumbrances. Grey lost part of its loans when the borrowers defaulted. Grey sued Campbell for negligent misrepresentation.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22" w:name="Holdings of Court_39"/>
            <w:bookmarkEnd w:id="322"/>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Campbell had no duty to Grey with respect to appraisals prepared for the other lender, as Grey's use was not within Campbell's reasonable contemplation. Campbell had a duty to Grey in the preparation of the appraisals done for the borrowers, since Grey's use was within reasonable contemplation. However, Grey's reliance on the appraisals was not reasonable given its knowledge of, and the appraisals' indication of, the downturn trend in the real estate market, and given Grey's knowledge that appraisals go stale, and the appraisals' stated limitations. Grey was also negligent in ignoring the appraisals' errors and discrepancies and failing to make further inquiries, and in continuing to advance funds for a year after the appraisal date.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23" w:name="Counsel_48"/>
      <w:bookmarkEnd w:id="32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69" style="position:absolute;z-index:2517596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I.D. Hall, for the plaintiff. G.M. Nijman and C.M. York, for the defendants.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24" w:name="Judgment_47"/>
      <w:bookmarkEnd w:id="324"/>
      <w:r>
        <w:pict>
          <v:line id="_x0000_s1270" style="position:absolute;z-index:251810816"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[Quicklaw note: A Corrigendum was released by the Court May 10, 2002. The correction has been made to the text and the Corrigendum is appended to this document.]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25" w:name="WARREN J."/>
            <w:bookmarkEnd w:id="325"/>
            <w:r>
              <w:rPr>
                <w:rFonts w:ascii="arial" w:eastAsia="arial" w:hAnsi="arial" w:cs="arial"/>
                <w:b/>
                <w:color w:val="000000"/>
                <w:sz w:val="30"/>
                <w:lang w:val="en-US" w:eastAsia="en-US" w:bidi="ar-SA"/>
              </w:rPr>
              <w:t>WARREN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In this action the plaintiff, a secondary mortgage lender, claims damages against the personal defendants who are or were at all material times real estate appraisers employed by the corporate defendant, Campbell &amp; Pound Ltd. ("Campbell &amp; Pound") for the negligent appraisal of two parcels of land located in the Agricultural Land Reserve (the "ALR") in Richmond, British Columbia. The appraisals were prepared in January and December 1995 on two properties owned by Rajinder and Prabjot Nijjer, located at 11540 and 11590 Granville Avenue, Richmond ("11540" and "11590", respectively). The plaintiff says that it relied upon the appraisals to its detriment and suffered a loss as a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On January 26, 1995, National Trust Company ("National Trust") requested Campbell &amp; Pound prepare an appraisal of 11590. National Trust was considering lending money to the Nijjers, using the property as security. The defendant Jones took the order and noted that National Trust "needs $1,300,000". He then referred the matter to Josephine Guevara; as she was "articling", he continued to supervise the appraisal. After first inspecting the property, Guevara prepared an appraisal which concluded with an indicated "market value of the subject property as at Jan 27th 1995" of $1,300,000. The appraisal clearly noted on the cover page that it was prepared for National Trust. Later that year, Nijjer asked the defendant company to appraise 11540. The defendant Taylor prepared a "Complete Summary Appraisal" in which he expressed the opinion that the market value as of June 15, 1995 was $1,200,000. On December 10, 1995, Taylor did another appraisal of 11540 for the Nijjers - a "Limited Summary Appraisal" - and opined the market value was $1,175,000. Finally, on the same day, Taylor performed a "Limited Summary Appraisal" of 11590, concluding that it had a market value as at that date of $1,200,000. It is not clear whether National Trust advanced any money to the Nijjers but on December 7, 1995 the Nijjers applied to the plaintiff for a loan of $165,000 secured by a mortgage on their property. Mr. Mercier testified that he would have received the January 27, 1995 appraisal sometime before he sent out the commitment letter to the Nijjers on December 8, 1995. The letter from the plaintiff required a new appraisal on 11590 and an updated appraisal on 11540.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loaned money to the Nijjers secured by mortgages charging both properties as follows: December 13, 1995, $165,000; February 19, 1996, $135,000; May 9, 1996, $75,000; and December 19, 1996, $130,000. Each of these mortgages ranked behind three previous mortgages. According to the notes taken on December 7, 1995 by someone at the plaintiff company, 11590 was subject to a $450,000 first mortgage in favour of Richmond Savings, a $275,000 second mortgage in favour of Aaron Acceptance, and a $134,000 third mortgage in favour of Aaron Acceptance. 11540 was encumbered by a $260,000 first mortgage to the Royal Bank as well as the mortgages to Aaron Acceptance. The Nijjers had also mortgaged a third property at 58761 No. 6 Road, Richmond. The C.I.B.C. had a mortgage of $432,000 against that property, and Aaron Acceptance had registered its mortgages on this property as additional security. The total indebtedness of the Nijjers prior to the plaintiff's mortgages was approximately $1,700,000 and, as far as I can determine, required monthly payments in excess of $10,000.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first loan advanced by the plaintiff on December 13, 1995 for $165,000 had an interest rate of 19%, calculated monthly, and represented a 55.07% Loan To Value ("LTV") ratio. It required a monthly payment of $2,640. Later loans increased the LTV ratio to 66.83% and then to 70.18% (the highest LTV acceptable to the plaintiff's president, Mr. Mercier) based upon the valuations done by the defendants in 1995.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When the Nijjers defaulted in late 1997 or early 1998 the plaintiff foreclosed and the properties were sold. 11540 sold for $700,500 and 11590 sold for $710,000, prices considerably below the value expressed by the defendants in 1995. The plaintiff received only $123,514.02 on its 11540 mortgages and $24,871.00 on its 11590 mortgages, resulting in a loss which Mr. Mercier calculated either as the mortgage rate of interest to the date of the last sale and Court Ordered Interest thereafter to the beginning of the trial ($524,884.42), or the mortgage rate until the sale and thereafter at 8.24% representing the average cost of borrowing until the date of payment. By the start of the trial he had calculated the loss to amount to $584,637.00.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Position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says the defendants were professionally negligent when they overvalued the properties. In support of this assertion the plaintiff relies upon the opinions of Compton Appraisals Ltd. ("Compton"), dated November 30, 1999. Compton was of the opinion that 11540 had a market value of $1,021,000 on June 15, 1995 and $921,000 on December 10, 1995. The property at 11590 Granville had a market value of $1,063,000 on January 27, 1995 and $936,000 on December 10, 1995. These values range between 15% and 22% below the values expressed in the defendants' appraisals.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 says the defendants were negligent in the adjustments used in the direct comparison appraisal approach and, because there were such large adjustments required to make the comparables "fit", it was incumbent upon the defendants to explain the adjustments. Further, the defendants should have warned readers of their appraisals of the poor quality of the comparables.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 says that the defendants were also negligent in assuming prospective purchasers would pay a premium for the location of the land because it was west of Highway 99, even though the land was in the ALR and was not likely to be removed at any time in the foreseeable future. In any event, the appraisal should have alerted readers to this assumption.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In claiming that the defendants negligently misrepresented the values of the properties, the plaintiff relies particularly upon the following decisions: Queen v. Cognos Inc., </w:t>
      </w:r>
      <w:hyperlink r:id="rId14" w:history="1">
        <w:r>
          <w:rPr>
            <w:rFonts w:ascii="arial" w:eastAsia="arial" w:hAnsi="arial" w:cs="arial"/>
            <w:i/>
            <w:color w:val="0077CC"/>
            <w:sz w:val="20"/>
            <w:u w:val="single"/>
            <w:shd w:val="clear" w:color="auto" w:fill="FFFFFF"/>
            <w:lang w:val="en-US" w:eastAsia="en-US" w:bidi="ar-SA"/>
          </w:rPr>
          <w:t>[1993] 1 S.C.R. 87</w:t>
        </w:r>
      </w:hyperlink>
      <w:r>
        <w:rPr>
          <w:rFonts w:ascii="arial" w:eastAsia="arial" w:hAnsi="arial" w:cs="arial"/>
          <w:color w:val="000000"/>
          <w:sz w:val="20"/>
          <w:lang w:val="en-US" w:eastAsia="en-US" w:bidi="ar-SA"/>
        </w:rPr>
        <w:t xml:space="preserve">; Kripps v. Touche Ross &amp; Co. </w:t>
      </w:r>
      <w:hyperlink r:id="rId1108" w:history="1">
        <w:r>
          <w:rPr>
            <w:rFonts w:ascii="arial" w:eastAsia="arial" w:hAnsi="arial" w:cs="arial"/>
            <w:i/>
            <w:color w:val="0077CC"/>
            <w:sz w:val="20"/>
            <w:u w:val="single"/>
            <w:shd w:val="clear" w:color="auto" w:fill="FFFFFF"/>
            <w:lang w:val="en-US" w:eastAsia="en-US" w:bidi="ar-SA"/>
          </w:rPr>
          <w:t>(1997), 33 B.C.L.R. (3d) 254</w:t>
        </w:r>
      </w:hyperlink>
      <w:r>
        <w:rPr>
          <w:rFonts w:ascii="arial" w:eastAsia="arial" w:hAnsi="arial" w:cs="arial"/>
          <w:color w:val="000000"/>
          <w:sz w:val="20"/>
          <w:lang w:val="en-US" w:eastAsia="en-US" w:bidi="ar-SA"/>
        </w:rPr>
        <w:t xml:space="preserve"> (C.A.); Kokanee Mortgage MIC Ltd. v. Concord Appraisals Ltd., </w:t>
      </w:r>
      <w:hyperlink r:id="rId1109" w:history="1">
        <w:r>
          <w:rPr>
            <w:rFonts w:ascii="arial" w:eastAsia="arial" w:hAnsi="arial" w:cs="arial"/>
            <w:i/>
            <w:color w:val="0077CC"/>
            <w:sz w:val="20"/>
            <w:u w:val="single"/>
            <w:shd w:val="clear" w:color="auto" w:fill="FFFFFF"/>
            <w:lang w:val="en-US" w:eastAsia="en-US" w:bidi="ar-SA"/>
          </w:rPr>
          <w:t>[2000] B.C.J. No. 1629</w:t>
        </w:r>
      </w:hyperlink>
      <w:r>
        <w:rPr>
          <w:rFonts w:ascii="arial" w:eastAsia="arial" w:hAnsi="arial" w:cs="arial"/>
          <w:color w:val="000000"/>
          <w:sz w:val="20"/>
          <w:lang w:val="en-US" w:eastAsia="en-US" w:bidi="ar-SA"/>
        </w:rPr>
        <w:t xml:space="preserve">, </w:t>
      </w:r>
      <w:hyperlink r:id="rId1109" w:history="1">
        <w:r>
          <w:rPr>
            <w:rFonts w:ascii="arial" w:eastAsia="arial" w:hAnsi="arial" w:cs="arial"/>
            <w:i/>
            <w:color w:val="0077CC"/>
            <w:sz w:val="20"/>
            <w:u w:val="single"/>
            <w:shd w:val="clear" w:color="auto" w:fill="FFFFFF"/>
            <w:lang w:val="en-US" w:eastAsia="en-US" w:bidi="ar-SA"/>
          </w:rPr>
          <w:t>2000 BCSC 1197</w:t>
        </w:r>
      </w:hyperlink>
      <w:r>
        <w:rPr>
          <w:rFonts w:ascii="arial" w:eastAsia="arial" w:hAnsi="arial" w:cs="arial"/>
          <w:color w:val="000000"/>
          <w:sz w:val="20"/>
          <w:lang w:val="en-US" w:eastAsia="en-US" w:bidi="ar-SA"/>
        </w:rPr>
        <w:t xml:space="preserve">); Hercules Managements Ltd. v. Ernst &amp; Young, </w:t>
      </w:r>
      <w:hyperlink r:id="rId982" w:history="1">
        <w:r>
          <w:rPr>
            <w:rFonts w:ascii="arial" w:eastAsia="arial" w:hAnsi="arial" w:cs="arial"/>
            <w:i/>
            <w:color w:val="0077CC"/>
            <w:sz w:val="20"/>
            <w:u w:val="single"/>
            <w:shd w:val="clear" w:color="auto" w:fill="FFFFFF"/>
            <w:lang w:val="en-US" w:eastAsia="en-US" w:bidi="ar-SA"/>
          </w:rPr>
          <w:t>[1997] 2 S.C.R. 165</w:t>
        </w:r>
      </w:hyperlink>
      <w:r>
        <w:rPr>
          <w:rFonts w:ascii="arial" w:eastAsia="arial" w:hAnsi="arial" w:cs="arial"/>
          <w:color w:val="000000"/>
          <w:sz w:val="20"/>
          <w:lang w:val="en-US" w:eastAsia="en-US" w:bidi="ar-SA"/>
        </w:rPr>
        <w:t xml:space="preserve">; and Esselmont v. Harker Appraisals Ltd. </w:t>
      </w:r>
      <w:hyperlink r:id="rId1110" w:history="1">
        <w:r>
          <w:rPr>
            <w:rFonts w:ascii="arial" w:eastAsia="arial" w:hAnsi="arial" w:cs="arial"/>
            <w:i/>
            <w:color w:val="0077CC"/>
            <w:sz w:val="20"/>
            <w:u w:val="single"/>
            <w:shd w:val="clear" w:color="auto" w:fill="FFFFFF"/>
            <w:lang w:val="en-US" w:eastAsia="en-US" w:bidi="ar-SA"/>
          </w:rPr>
          <w:t>(1979), 14 B.C.L.R. 116</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Position of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defendants say that they did not owe a duty of care to the plaintiff, that there was no reasonable reliance on the appraisals by the plaintiff, that the chain of causation was broken in respect of loans made by the plaintiff to the Nijjers, and that the appraisals were, in any event, not negligently prepared.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Alternatively, if negligent misrepresentation is established, then the defendants say that the plaintiff is only entitled to partial damages because it would have advanced the first loan in any event. Further, the plaintiff contributed to its own loss as a result of its negligent and deficient lending practices, and any damages should be restricted to the loss on the mortgage investment plus pre-judgment interest at court ordered rates.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Law of Negligent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Queen v. Cognos Inc., Iacobucci J. set out the five general requirements for a successful claim in negligent misrepresentation at p. 110:</w:t>
      </w:r>
      <w:r>
        <w:rPr>
          <w:rFonts w:ascii="arial" w:eastAsia="arial" w:hAnsi="arial" w:cs="arial"/>
          <w:sz w:val="20"/>
          <w:lang w:val="en-US" w:eastAsia="en-US" w:bidi="ar-SA"/>
        </w:rPr>
        <w:cr/>
      </w:r>
    </w:p>
    <w:p>
      <w:pPr>
        <w:numPr>
          <w:numId w:val="30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must be a duty of care based on a "special relationship" between the representor and the representee; (2) the representation in question must be untrue, inaccurate, or misleading; (3) the representor must have acted negligently in making the said misrepresentation; (4) the representee must have relied, in a reasonable manner, on the negligent misrepresentation; and (5) the reliance must have been detrimental to the representee in the sense that damages resulted.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Kripps, supra, the plaintiffs had invested in a company whose primary business was providing loans secured by mortgages on real property. They were persuaded to do so after considering the prospectus of the company, part of which was the defendant's audit report which included financial statements not prepared by the defendant. A critical portion of the audit report read: "... these financial statements present fairly the financial position of the company as at December 31, 1983. . . . in accordance with generally accepted accounting principles applied on a consistent basis." The audit was prepared as part of the requirements of the Securities Act and the defendant informed the Superintendent of Brokers of its consent to the use of the audit and the use of the statement "that, to its knowledge, the information was fairly presented and not misleading." On appeal from the trial judge's dismissal of the claims on the ground the plaintiffs had failed to prove that they had actually relied on the misstated loss provisions, Finch, J.A. wrote: at paras. 94-95: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learned trial judge made two errors in reaching this conclusion: First, he treated the misstatement for which the defendant is liable as the misstated loss provision in the financial statement. However,... the defendant's misstatement is the auditor's report that the financial statements presented the financial position of [the company] fairly. Second, he misstated the test and set too high a standard for the plaintiff to meet.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the question of the statement to which the test should be applied, the plaintiffs were not owed a duty of care that the audit be carried out properly; they were owed an auditor's report that could reasonably be relied upon. The defendant's negligent misstatement was the unqualified auditor's report.... The issue therefore is whether the plaintiffs would have invested had the prospectus they read contained a qualified audit.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Evidence of a Special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Esselmont, at par. 118, Gould J.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 appraiser of real estate owes a duty of care not only to the client on whose instructions he prepares his appraisal but to all other persons to whom it may be shown and who might be expected to rely on it in dealing with the subject matter by way of purchase, mortgage, security or otherwise: see Cari-Van Hotel Ltd. v. Globe Estates Ltd., </w:t>
      </w:r>
      <w:hyperlink r:id="rId1111" w:history="1">
        <w:r>
          <w:rPr>
            <w:rFonts w:ascii="arial" w:eastAsia="arial" w:hAnsi="arial" w:cs="arial"/>
            <w:i/>
            <w:color w:val="0077CC"/>
            <w:sz w:val="20"/>
            <w:u w:val="single"/>
            <w:shd w:val="clear" w:color="auto" w:fill="FFFFFF"/>
            <w:lang w:val="en-US" w:eastAsia="en-US" w:bidi="ar-SA"/>
          </w:rPr>
          <w:t>[1974] 6 W.W.R. 707</w:t>
        </w:r>
      </w:hyperlink>
      <w:r>
        <w:rPr>
          <w:rFonts w:ascii="arial" w:eastAsia="arial" w:hAnsi="arial" w:cs="arial"/>
          <w:color w:val="000000"/>
          <w:sz w:val="20"/>
          <w:lang w:val="en-US" w:eastAsia="en-US" w:bidi="ar-SA"/>
        </w:rPr>
        <w:t>, a decision of Ruttan J. of this court, following Hedley Byrne and Co. v. Heller &amp; Partners, [1964] A.C. 465.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 Esselmont there was no privity between the plaintiff and the defendant appraisers at any time; and, in fact, the appraisal had been prepared for the owners of the property 10 months before it was given to Esselmont in support of a request for a third mortgage. There is no mention in the reasons of Gould J. whether there were any limitations attached to the appraisal by the appraiser. Gould J. referred to the decision of duParcq, L.J. in Baxter v. Gapp &amp; Co., Ltd., [1939] 2 All E.R. 752 at 758 (C.A.):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of course, quite clear that the mere fact that there is an overvaluation does not of itself show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Gross overvaluation, unless explained, may be strong evidence either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of incompetence. I have no doubt that there was in this case gross overvaluation, and one looks to see whether or not there is any explanation of it, and whether or not it can be seen that the defendant has failed to take any steps which he ought to have taken, or to pay regard to matters to which he ought to have paid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defendants in the case at Bar submit that there was no "special relationship" between the parties because "the plaintiff did not reasonably rely on the appraisals and policy considerations negate the existence of such a duty". In Hercules Managements, La Forest J. considered whether accountants who had been hired to conduct an audit of a company's financial statements owed a duty of care in tort to shareholders, who said they had suffered a loss as a result of relying on the audit. He held, starting at para. 22, that there should be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an inquiry into whether there is a sufficiently close relationship between the plaintiff and the defendant that in the reasonable contemplation of the latter, carelessness on its part may cause danger to the former.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As to what constitutes such "a relationship of proximity", La Forest J. noted at para. 24 that it requires that the defendant may be said to be mindful of the plaintiff's legitimate interests in conducting his or her affairs and, in cases of negligent misrepresentation,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it must pertain to some aspect of the relationship of reliance. To my mind, the proximity can be seen to inhere between a defendant-representor and a plaintiff-representee when two criteria relating to reliance may be said to exist on the facts: (a) the defendant ought reasonably to foresee that the plaintiff will rely on his or her representation; and (b) reliance by the plaintiff would, in the particular circumstances of the case, be reasonable. To use the term employed by my colleague, Iacobucci J. in Cognos, supra, at p. 110, the plaintiff and the defendant can be said to be in a "special relationship" whenever these two factors inhere.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Assuming that the appraisals were a gross overvaluation or were negligently prepared, the first questions then are whether the defendants ought reasonably to have foreseen that someone other than National Trust (for whom the first appraisal was prepared) or the Nijjers (for whom the other appraisals were prepared) would rely on the representations and if so, was the reliance of the plaintiff reasonable in the particular circumstances of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my view the defendants ought not reasonably to have foreseen that the January 1995 appraisal prepared for National Trust would be relied on by someone other than that particular banking/mortgage lender client. The appraisal was clearly intended for the use of National Trust and as noted in the Limiting Conditions required the written consent of the author before any part could be used by anyone except the client specified in the report, National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It is quite a different matter, however, when one addresses the same question to the appraisals prepared for the actual owner of the properties. In my view an appraiser ought reasonably to anticipate that an appraisal prepared for a property owner might be used for a wide variety of purposes, all of which should, in my view, be within the reasonable contemplation of the representor. It is as reasonably foreseeable that the owners would have an appraisal prepared for the purpose of determining a fair listing/selling price as for the purpose of persuading some person to lend money on the security of the property. Such was the situation in Esselmont and in Cari-Van Hotel Ltd. referred to by Gould J. in his reasons in Esselmont.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next question to be determined is whether the plaintiff's reliance on these appraisals was reasonable in the particular circumstances of this case. As LaForest J. stated at para. 26 of Hercules Managements: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negligent misrepresentation actions, [as distinguished from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claims involving physical damage], however, the plaintiff's claim stems from his or her detrimental reliance on the defendant's (negligent) statement, and it is abundantly clear that reliance on the statement or representation of another will not, in all circumstances, be reasonable. The assumption that always inheres in physical damage cases concerning the reasonableness of the plaintiff's expectations cannot, therefore, be said to inhere in reliance cases. In order to insure that the same factors are taken into account in determining the existence of a duty of care in both instances, then, the reasonableness of the plaintiff's reliance must be considered in negligent misrepresentation actions.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defendants say that reasonable reliance is the foundation of the plaintiff's claim and, while admitting that the plaintiff placed limited reliance on the December 1995 appraisals, the reliance in the circumstances was blind, reckless, and therefore unreasonable. In his testimony James Mercier said he only relied on the "bottom line" and he was not prepared to rely on the values stated in the June and January 1995 appraisals. Rather, his reliance was based on the current value of the properties. Further, he said that in 1995 it was his practice to only skim through the most current appraisal and as long as an appraisal made sense relative to the LTV he would make the loan.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defendants also rely on Mr. Mercier's evidence that he only glanced at the cover letters attached to the appraisals of June and December 1995. The letters all read basically the same: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estimate is subject to the limiting conditions attached to this appraisal and to which the reader's attention is specifically directed.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following report presents the basis of all opinions expressed herein.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information contained herein should be sufficient for your purposes. Should you require further information or clarification as to any portion of this report, please contact me.</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should be noted that this appraisal conforms to the standards and guidelines of the Appraisal Institute of Canada and adheres to USPAP guidelines, departing from full requirements in that a title search was not performed.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Also attached to the appraisals were some printed forms that appeared to be standard attachments for appraisals. One, a Certification and Statement of Limiting Conditions, provided:</w:t>
      </w:r>
      <w:r>
        <w:rPr>
          <w:rFonts w:ascii="arial" w:eastAsia="arial" w:hAnsi="arial" w:cs="arial"/>
          <w:sz w:val="20"/>
          <w:lang w:val="en-US" w:eastAsia="en-US" w:bidi="ar-SA"/>
        </w:rPr>
        <w:cr/>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Because market conditions, including economic, social and political factors change rapidly, and, on occasion, without warning, the market value estimate expressed as of the date of this appraisal cannot be relied upon as of any other date except with the further advice from the appraiser confirmed in writing.</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w:t>
      </w:r>
      <w:r>
        <w:rPr>
          <w:rFonts w:ascii="arial" w:eastAsia="arial" w:hAnsi="arial" w:cs="arial"/>
          <w:sz w:val="20"/>
          <w:lang w:val="en-US" w:eastAsia="en-US" w:bidi="ar-SA"/>
        </w:rPr>
        <w:cr/>
      </w:r>
    </w:p>
    <w:p>
      <w:pPr>
        <w:numPr>
          <w:numId w:val="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Written consent from the author and supervisory appraiser must be obtained before all (or any part) of the content of the appraisal report can be used for any purpose by anyone except: the client specified in the report and, where the client is a mortgagee, its insurers and the borrower, if he/she paid the appraisal fee. The author's written consent and approval must also be obtained before the appraisal (or any part of it) can be conveyed by anyone to any other parties, including mortgagees other than the client and the public through prospectus, offering memo, advertising, public relations, news, sales and other media.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Interestingly, the covering letter for the June 1995 appraisal of 11540 showed a market value of $900,000, $300,000 below the market value shown on the appraisal itself but for some reason even this large discrepancy did not cause Mr. Mercier to make enquiries.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my view of all of these circumstances it cannot be said that the plaintiff relied in a reasonable manner on the representation of value contained in the appraisals. If the caution set out in para. 23 above is not enough, a lender in the position of this plaintiff knew, or ought to have known, that real estate markets are volatile. The validity of this conclusion is supported by the plaintiff's requirement that the Nijjers provide an appraisal in the fall of 1995 rather than relying on the earlier appraisal. [Why the plaintiff would not obtain its own appraisal is another matter entirely, for in doing so there would be a clear contractual relationship between the plaintiff and the appraiser.]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 conclude that the plaintiff's reliance on the appraisals prepared for the Nijjers was not reasonable in all of the circumstances. The plaintiff knew of the volatility of market conditions; Mr. Mercier testified that an appraisal was stale after six months; and the appraisals themselves noted a downward trend. Nevertheless, the plaintiff continued to advance funds to the Nijjers until as late as December 1996, almost a year after the last appraisal. I do not consider that lending activity to represent evidence of reliance in a reasonable manner. Further, the plaintiff said he only skimmed the reports, hardly the level of reliance which could be considered reasonable. Then there was a significant internal typographical error when the reporting letter attached to the June 15, 1995 appraisal expressed a value of $900,000 although the appraisal stated a value of $1,200,000. The plaintiff's failure to scrutinize the entire report and at least make some further investigation is inconsistent with the requirement that the representee relied, in a reasonable manner, on what is said to be a negligent misrepresentation. Next, when I consider the state of title, the large number of encumbrances and the monthly payments the Nijjers were required to make, Mr. Mercier should have been more cautious in ascertaining the values of the properties given the likelihood of default. While both of these last two points apply more to a consideration of whether the plaintiff was contributorily negligent, they are also relevant to my consideration of whether the evidence shows that the plaintiff reasonably relied upon the appraisals. I conclude the plaintiff did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Finally, this is not a situation such as that found in Kripps, supra. Here there were qualifications to the report which the plaintiff's president chose to ignore. The plaintiff has not established that it reasonably relied upon the statements of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above conclusions are sufficient to dispose of the liability in this matter; however, I feel that one further issue can and should be addressed. In the event that I am wrong in my conclusion that the plaintiff failed to prove it relied in a reasonable manner on the representations, then I am not satisfied that the plaintiff has established that the representations as to value were untrue, inaccurate or misleading.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Evidence of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defendants acknowledged several errors in the values and adjustments in the comparables used in their reports. The defendants argue that after making corrections for these errors, the original results are still not materially overstated. In Kripps, supra, Finch, J.A. stated that there are two or three different tests for materiality: first, whether a representation might possibly affect a decision, second, whether a representation is capable of affecting a decision and third, whether a representation would probably affect a decision. The first two were essentially the same, he felt, and a material representation is one that would probably affect a decision. Mr. Mercier agreed that a value change of $100,000 would not be sufficiently material to matter in the calculation of the LTV for his purposes. In this regard, I agree with the approach of counsel for the defendants, who submitted that there was no misstatement of the value of $1,200,000 in June 1995 and a maximum discrepancy of only $50,000 for the December 1995 appraisals of 11540 and 11590.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Both the plaintiff and the defendants called experts to support their positions of values as at 1995. The defendants' expert, Larry Dybvig, prepared two reports and concluded in his May 16, 2001 report that the values of the two properties in December 1995 were $1,150,000 for 11540 and $1,160,000 for 11590. These values are, for all intents and purposes, the same values as those in the defendants' appraisals. Mr. Compton put a value of $1,021,000 on 11540 and $1,063,000 on 11590 in June 1995 which, given the uniqueness of the properties, is not in my view a significant difference. It is noteworthy that the defendants Taylor and Jones noted a downward value trend in their December 1995 appraisals and in his retrospective appraisals, Mr. Compton showed that more dramatically than did the defendants' appraisals. I found the evidence of Mr. Dybvig to be reliable and to be preferred over that of Mr. Compton whose approach or method of valuation differed and at times departed from the more common comparison approach. I agree with counsel's submission that Mr. Compton made less reliable time adjustments and, of less significance, did not take fully into account any difference in value that, I am satisfied, should be allowed for lands lying to the west of Highway 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the end I find that the plaintiff did not prove it relied on the appraisals of the defendants in a reasonable manner. More importantly, I am not satisfied that the representations made by the defendants materially overstated the values on which Mr. Mercier says he relied. The action is dismissed with costs to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WARREN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Released: May 10,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 In paragraph 25, on page 17 of reasons for Judgment in this matter issued May 6, 2002, there is a reference to the "caution set out in paragraph 19 above." This was a typographical error. The caution referred to is actually contained in paragraph 23 of the aforesaid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WARREN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pPr>
      <w:r>
        <w:rPr>
          <w:rFonts w:ascii="arial" w:eastAsia="arial" w:hAnsi="arial" w:cs="arial"/>
          <w:sz w:val="20"/>
          <w:lang w:val="en-US" w:eastAsia="en-US" w:bidi="ar-SA"/>
        </w:rPr>
        <w:br/>
      </w:r>
      <w:r>
        <w:pict>
          <v:line id="_x0000_s1271" style="position:absolute;z-index:251859968"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Aldred v. Colbeck, [2010] B.C.J. No. 89</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Anmore Development Corp. v. Burnaby (City), [2005] B.C.J. No. 2283</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Beyer-Brown &amp; Associates Ltd. v. S &amp; R Interiors Ltd., [2007] B.C.J. No. 462</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Campbell v. Vancouver (City), [2001] B.C.J. No. 416</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Cam v. Hood, [2006] B.C.J. No. 2766</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Ceperkovic v. MacDonald, [2016] B.C.J. No. 1075</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Citifund Capital Corp. v. Happy Valley Resort Ltd., [2010] B.C.J. No. 451</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Coast Realty Group (Campbell River) Ltd. v. Neilson Island Holdings Inc., [2015] B.C.J. No. 219</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Dalby v. Rothon, [2007] B.C.J. No. 438</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FBI Foods Ltd. v. Glassner, [2001] B.C.J. No. 193</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Forliti (Guardian ad litem of) v. Woolley, [2003] B.C.J. No. 1989</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Gupta v. Gadhri, [2012] B.C.J. No. 1404</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Hartley v. RCM Management Ltd., [2010] B.C.J. No. 761</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Herman v. Accent Homes Realty Ltd., [2017] B.C.J. No. 572</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Hunter v. Anderson, [2011] I.L.R. para. G-2357</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Jamal v. Fung, [2019] B.C.J. No. 1329</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Jasmur Holdings Ltd. v. Taynton Developments Inc., [2016] B.C.J. No. 2163</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Kotscha v. Hospital of St. John of Jerusalem, [2011] B.C.J. No. 1191</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Kovac v. Moscone, [2012] B.C.J. No. 1167</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Lumanlan v. Sadler, [2009] B.C.J. No. 224</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Moulton Contracting Ltd. v. British Columbia, [2014] B.C.J. No. 1116</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Mullins v. Levy, [2005] B.C.J. No. 1878</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Pelletier v. Khaw, [2005] B.C.J. No. 1996</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Perrault v. North Vancouver (District), [2010] B.C.J. No. 506</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Pinch (Litigation guardian of) v. Morwood, [2016] B.C.J. No. 73</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Pipe v. Dusome, [2007] B.C.J. No. 1587</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Pope v. Williams, [2001] B.C.J. No. 2752</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Samaroo v. Canada (Revenue Agency), [2016] B.C.J. No. 601</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Stieber v. Canada (Minister of National Defence), [2002] B.C.J. No. 2541</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Suzuki v. Munroe, [2009] B.C.J. No. 2019</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Tsilhqot'in Nation v. British Columbia, [2007] B.C.J. No. 2465</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Wangert v. Saur, [2013] I.L.R. para. M-2663</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Marshall v. United Furniture Warehouse Limited Partnership, [2013] B.C.J. No. 2462</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307527 B.C. Ltd. v. Cambridge Holdings Ltd., [2003] B.C.J. No. 1588</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Acciona Infrastructure Canada Inc. v. Allianz Global Risks US Insurance Co., [2014] B.C.J. No. 2137</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Advantage Helicopters Inc. v. Heliponents, Inc., [2014] B.C.J. No. 695</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Agno (Guardian ad Litem of) v. Wilson, 2008 CHFL para. 15,495</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Brar v. Insurance Corp. of British Columbia, [2009] B.C.J. No. 1937</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Brook v. Tod Estate, [2012] B.C.J. No. 2710</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Burnett v. Took Engineering Inc., [2000] B.C.J. No. 2302</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Campbell River Indian Band v. WorleyParsons Canada Ltd. (c.o.b. Westmar), [2013] B.C.J. No. 155</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Colebank v. Kropinske, [2002] B.C.J. No. 688</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Ding v. Joy Investments Ltd., [2003] B.C.J. No. 278</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Eco-Design.ca Architecture + Building Ecology Ltd. v. 265902 B.C. Ltd., [2006] B.C.J. No. 894</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Edwards (Guardian ad litem of) v. Tung, [2002] B.C.J. No. 2052</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Edwards (Litigation guardian of) v. Stroink, [2015] B.C.J. No. 1604</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Forliti (Guardian ad litem of) v. Woolley, [2003] B.C.J. No. 1627</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GE Capital Canada Equipment Financing Inc. v. Bank of Montreal, [2003] B.C.J. No. 1791</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Gerber v. Johnston, [2001] B.C.J. No. 1088</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Grey Mortgage Investment Corp. v. Campbell &amp; Pound Ltd., [2002] B.C.J. No. 964</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lowerRoman"/>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ii)"/>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4"/>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lowerRoman"/>
      <w:lvlText w:val="(%1)"/>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ii)"/>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5"/>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4"/>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lowerRoman"/>
      <w:lvlText w:val="(%1)"/>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upperLetter"/>
      <w:lvlText w:val="(%1)"/>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B)"/>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C)"/>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ii)"/>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iii)"/>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lowerRoman"/>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decimal"/>
      <w:lvlText w:val="(ii)"/>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4"/>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lowerRoman"/>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
      <w:numFmt w:val="decimal"/>
      <w:lvlText w:val="(ii)"/>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5"/>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2"/>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1"/>
      <w:numFmt w:val="lowerRoman"/>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multilevel"/>
    <w:tmpl w:val="0000001B"/>
    <w:lvl w:ilvl="0">
      <w:start w:val="1"/>
      <w:numFmt w:val="decimal"/>
      <w:lvlText w:val="(ii)"/>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0000001C"/>
    <w:multiLevelType w:val="multilevel"/>
    <w:tmpl w:val="0000001C"/>
    <w:lvl w:ilvl="0">
      <w:start w:val="4"/>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0000001D"/>
    <w:multiLevelType w:val="multilevel"/>
    <w:tmpl w:val="0000001D"/>
    <w:lvl w:ilvl="0">
      <w:start w:val="1"/>
      <w:numFmt w:val="lowerRoman"/>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0000001E"/>
    <w:multiLevelType w:val="multilevel"/>
    <w:tmpl w:val="0000001E"/>
    <w:lvl w:ilvl="0">
      <w:start w:val="1"/>
      <w:numFmt w:val="decimal"/>
      <w:lvlText w:val="(ii)"/>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0000001F"/>
    <w:multiLevelType w:val="multilevel"/>
    <w:tmpl w:val="0000001F"/>
    <w:lvl w:ilvl="0">
      <w:start w:val="3"/>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00000020"/>
    <w:multiLevelType w:val="multilevel"/>
    <w:tmpl w:val="00000020"/>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00000021"/>
    <w:multiLevelType w:val="multilevel"/>
    <w:tmpl w:val="00000021"/>
    <w:lvl w:ilvl="0">
      <w:start w:val="4"/>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00000022"/>
    <w:multiLevelType w:val="multilevel"/>
    <w:tmpl w:val="00000022"/>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nsid w:val="00000023"/>
    <w:multiLevelType w:val="multilevel"/>
    <w:tmpl w:val="00000023"/>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nsid w:val="00000024"/>
    <w:multiLevelType w:val="multilevel"/>
    <w:tmpl w:val="00000024"/>
    <w:lvl w:ilvl="0">
      <w:start w:val="1"/>
      <w:numFmt w:val="lowerRoman"/>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nsid w:val="00000025"/>
    <w:multiLevelType w:val="multilevel"/>
    <w:tmpl w:val="00000025"/>
    <w:lvl w:ilvl="0">
      <w:start w:val="1"/>
      <w:numFmt w:val="decimal"/>
      <w:lvlText w:val="(ii)"/>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nsid w:val="00000026"/>
    <w:multiLevelType w:val="multilevel"/>
    <w:tmpl w:val="00000026"/>
    <w:lvl w:ilvl="0">
      <w:start w:val="1"/>
      <w:numFmt w:val="decimal"/>
      <w:lvlText w:val="(iii)"/>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nsid w:val="00000027"/>
    <w:multiLevelType w:val="multilevel"/>
    <w:tmpl w:val="00000027"/>
    <w:lvl w:ilvl="0">
      <w:start w:val="4"/>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nsid w:val="00000028"/>
    <w:multiLevelType w:val="multilevel"/>
    <w:tmpl w:val="00000028"/>
    <w:lvl w:ilvl="0">
      <w:start w:val="1"/>
      <w:numFmt w:val="lowerRoman"/>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nsid w:val="00000029"/>
    <w:multiLevelType w:val="multilevel"/>
    <w:tmpl w:val="00000029"/>
    <w:lvl w:ilvl="0">
      <w:start w:val="1"/>
      <w:numFmt w:val="upperLetter"/>
      <w:lvlText w:val="(%1)"/>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nsid w:val="0000002A"/>
    <w:multiLevelType w:val="multilevel"/>
    <w:tmpl w:val="0000002A"/>
    <w:lvl w:ilvl="0">
      <w:start w:val="1"/>
      <w:numFmt w:val="decimal"/>
      <w:lvlText w:val="(B)"/>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
    <w:nsid w:val="0000002B"/>
    <w:multiLevelType w:val="multilevel"/>
    <w:tmpl w:val="0000002B"/>
    <w:lvl w:ilvl="0">
      <w:start w:val="1"/>
      <w:numFmt w:val="decimal"/>
      <w:lvlText w:val="(C)"/>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
    <w:nsid w:val="0000002C"/>
    <w:multiLevelType w:val="multilevel"/>
    <w:tmpl w:val="0000002C"/>
    <w:lvl w:ilvl="0">
      <w:start w:val="1"/>
      <w:numFmt w:val="decimal"/>
      <w:lvlText w:val="(ii)"/>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
    <w:nsid w:val="0000002D"/>
    <w:multiLevelType w:val="multilevel"/>
    <w:tmpl w:val="0000002D"/>
    <w:lvl w:ilvl="0">
      <w:start w:val="1"/>
      <w:numFmt w:val="decimal"/>
      <w:lvlText w:val="(iii)"/>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
    <w:nsid w:val="0000002E"/>
    <w:multiLevelType w:val="multilevel"/>
    <w:tmpl w:val="0000002E"/>
    <w:lvl w:ilvl="0">
      <w:start w:val="5"/>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
    <w:nsid w:val="0000002F"/>
    <w:multiLevelType w:val="multilevel"/>
    <w:tmpl w:val="0000002F"/>
    <w:lvl w:ilvl="0">
      <w:start w:val="1"/>
      <w:numFmt w:val="lowerRoman"/>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7">
    <w:nsid w:val="00000030"/>
    <w:multiLevelType w:val="multilevel"/>
    <w:tmpl w:val="00000030"/>
    <w:lvl w:ilvl="0">
      <w:start w:val="1"/>
      <w:numFmt w:val="decimal"/>
      <w:lvlText w:val="(ii)"/>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8">
    <w:nsid w:val="00000031"/>
    <w:multiLevelType w:val="multilevel"/>
    <w:tmpl w:val="00000031"/>
    <w:lvl w:ilvl="0">
      <w:start w:val="6"/>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9">
    <w:nsid w:val="00000032"/>
    <w:multiLevelType w:val="multilevel"/>
    <w:tmpl w:val="00000032"/>
    <w:lvl w:ilvl="0">
      <w:start w:val="1"/>
      <w:numFmt w:val="lowerRoman"/>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0">
    <w:nsid w:val="00000033"/>
    <w:multiLevelType w:val="multilevel"/>
    <w:tmpl w:val="00000033"/>
    <w:lvl w:ilvl="0">
      <w:start w:val="1"/>
      <w:numFmt w:val="decimal"/>
      <w:lvlText w:val="(ii)"/>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1">
    <w:nsid w:val="00000034"/>
    <w:multiLevelType w:val="multilevel"/>
    <w:tmpl w:val="00000034"/>
    <w:lvl w:ilvl="0">
      <w:start w:val="7"/>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2">
    <w:nsid w:val="00000035"/>
    <w:multiLevelType w:val="multilevel"/>
    <w:tmpl w:val="00000035"/>
    <w:lvl w:ilvl="0">
      <w:start w:val="1"/>
      <w:numFmt w:val="lowerRoman"/>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3">
    <w:nsid w:val="00000036"/>
    <w:multiLevelType w:val="multilevel"/>
    <w:tmpl w:val="00000036"/>
    <w:lvl w:ilvl="0">
      <w:start w:val="1"/>
      <w:numFmt w:val="decimal"/>
      <w:lvlText w:val="(ii)"/>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4">
    <w:nsid w:val="00000037"/>
    <w:multiLevelType w:val="multilevel"/>
    <w:tmpl w:val="00000037"/>
    <w:lvl w:ilvl="0">
      <w:start w:val="14"/>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5">
    <w:nsid w:val="00000038"/>
    <w:multiLevelType w:val="multilevel"/>
    <w:tmpl w:val="00000038"/>
    <w:lvl w:ilvl="0">
      <w:start w:val="2"/>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6">
    <w:nsid w:val="00000039"/>
    <w:multiLevelType w:val="multilevel"/>
    <w:tmpl w:val="00000039"/>
    <w:lvl w:ilvl="0">
      <w:start w:val="2"/>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7">
    <w:nsid w:val="0000003A"/>
    <w:multiLevelType w:val="multilevel"/>
    <w:tmpl w:val="0000003A"/>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8">
    <w:nsid w:val="0000003B"/>
    <w:multiLevelType w:val="multilevel"/>
    <w:tmpl w:val="0000003B"/>
    <w:lvl w:ilvl="0">
      <w:start w:val="4"/>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9">
    <w:nsid w:val="0000003C"/>
    <w:multiLevelType w:val="multilevel"/>
    <w:tmpl w:val="0000003C"/>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0">
    <w:nsid w:val="0000003D"/>
    <w:multiLevelType w:val="multilevel"/>
    <w:tmpl w:val="0000003D"/>
    <w:lvl w:ilvl="0">
      <w:start w:val="5"/>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1">
    <w:nsid w:val="0000003E"/>
    <w:multiLevelType w:val="multilevel"/>
    <w:tmpl w:val="0000003E"/>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2">
    <w:nsid w:val="0000003F"/>
    <w:multiLevelType w:val="multilevel"/>
    <w:tmpl w:val="0000003F"/>
    <w:lvl w:ilvl="0">
      <w:start w:val="7"/>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3">
    <w:nsid w:val="00000040"/>
    <w:multiLevelType w:val="multilevel"/>
    <w:tmpl w:val="00000040"/>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4">
    <w:nsid w:val="00000041"/>
    <w:multiLevelType w:val="multilevel"/>
    <w:tmpl w:val="00000041"/>
    <w:lvl w:ilvl="0">
      <w:start w:val="1"/>
      <w:numFmt w:val="decimal"/>
      <w:lvlText w:val="ii)"/>
      <w:lvlJc w:val="left"/>
      <w:pPr>
        <w:tabs>
          <w:tab w:val="num" w:pos="1120"/>
        </w:tabs>
        <w:ind w:left="1120" w:hanging="400"/>
      </w:pPr>
      <w:rPr>
        <w:b/>
        <w:i/>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5">
    <w:nsid w:val="00000042"/>
    <w:multiLevelType w:val="multilevel"/>
    <w:tmpl w:val="00000042"/>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6">
    <w:nsid w:val="00000043"/>
    <w:multiLevelType w:val="multilevel"/>
    <w:tmpl w:val="00000043"/>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7">
    <w:nsid w:val="00000044"/>
    <w:multiLevelType w:val="multilevel"/>
    <w:tmpl w:val="00000044"/>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8">
    <w:nsid w:val="00000045"/>
    <w:multiLevelType w:val="multilevel"/>
    <w:tmpl w:val="00000045"/>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9">
    <w:nsid w:val="00000046"/>
    <w:multiLevelType w:val="multilevel"/>
    <w:tmpl w:val="00000046"/>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0">
    <w:nsid w:val="00000047"/>
    <w:multiLevelType w:val="multilevel"/>
    <w:tmpl w:val="00000047"/>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1">
    <w:nsid w:val="00000048"/>
    <w:multiLevelType w:val="multilevel"/>
    <w:tmpl w:val="00000048"/>
    <w:lvl w:ilvl="0">
      <w:start w:val="1"/>
      <w:numFmt w:val="decimal"/>
      <w:lvlText w:val="i)"/>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2">
    <w:nsid w:val="00000049"/>
    <w:multiLevelType w:val="multilevel"/>
    <w:tmpl w:val="00000049"/>
    <w:lvl w:ilvl="0">
      <w:start w:val="1"/>
      <w:numFmt w:val="decimal"/>
      <w:lvlText w:val="ii)"/>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3">
    <w:nsid w:val="0000004A"/>
    <w:multiLevelType w:val="multilevel"/>
    <w:tmpl w:val="0000004A"/>
    <w:lvl w:ilvl="0">
      <w:start w:val="1"/>
      <w:numFmt w:val="decimal"/>
      <w:lvlText w:val="iii)"/>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4">
    <w:nsid w:val="0000004B"/>
    <w:multiLevelType w:val="multilevel"/>
    <w:tmpl w:val="0000004B"/>
    <w:lvl w:ilvl="0">
      <w:start w:val="1"/>
      <w:numFmt w:val="decimal"/>
      <w:lvlText w:val="iv)"/>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5">
    <w:nsid w:val="0000004C"/>
    <w:multiLevelType w:val="multilevel"/>
    <w:tmpl w:val="0000004C"/>
    <w:lvl w:ilvl="0">
      <w:start w:val="1"/>
      <w:numFmt w:val="decimal"/>
      <w:lvlText w:val="v)"/>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6">
    <w:nsid w:val="0000004D"/>
    <w:multiLevelType w:val="multilevel"/>
    <w:tmpl w:val="0000004D"/>
    <w:lvl w:ilvl="0">
      <w:start w:val="1"/>
      <w:numFmt w:val="decimal"/>
      <w:lvlText w:val="vii."/>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7">
    <w:nsid w:val="0000004E"/>
    <w:multiLevelType w:val="multilevel"/>
    <w:tmpl w:val="0000004E"/>
    <w:lvl w:ilvl="0">
      <w:start w:val="1"/>
      <w:numFmt w:val="decimal"/>
      <w:lvlText w:val="viii."/>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8">
    <w:nsid w:val="0000004F"/>
    <w:multiLevelType w:val="multilevel"/>
    <w:tmpl w:val="0000004F"/>
    <w:lvl w:ilvl="0">
      <w:start w:val="1"/>
      <w:numFmt w:val="decimal"/>
      <w:lvlText w:val="ix."/>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9">
    <w:nsid w:val="00000050"/>
    <w:multiLevelType w:val="multilevel"/>
    <w:tmpl w:val="00000050"/>
    <w:lvl w:ilvl="0">
      <w:start w:val="1"/>
      <w:numFmt w:val="decimal"/>
      <w:lvlText w:val="x."/>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0">
    <w:nsid w:val="00000051"/>
    <w:multiLevelType w:val="multilevel"/>
    <w:tmpl w:val="00000051"/>
    <w:lvl w:ilvl="0">
      <w:start w:val="5"/>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1">
    <w:nsid w:val="00000052"/>
    <w:multiLevelType w:val="multilevel"/>
    <w:tmpl w:val="00000052"/>
    <w:lvl w:ilvl="0">
      <w:start w:val="1"/>
      <w:numFmt w:val="lowerRoman"/>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2">
    <w:nsid w:val="00000053"/>
    <w:multiLevelType w:val="multilevel"/>
    <w:tmpl w:val="00000053"/>
    <w:lvl w:ilvl="0">
      <w:start w:val="1"/>
      <w:numFmt w:val="decimal"/>
      <w:lvlText w:val="ii."/>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3">
    <w:nsid w:val="00000054"/>
    <w:multiLevelType w:val="multilevel"/>
    <w:tmpl w:val="00000054"/>
    <w:lvl w:ilvl="0">
      <w:start w:val="1"/>
      <w:numFmt w:val="decimal"/>
      <w:lvlText w:val="iii."/>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4">
    <w:nsid w:val="00000055"/>
    <w:multiLevelType w:val="multilevel"/>
    <w:tmpl w:val="00000055"/>
    <w:lvl w:ilvl="0">
      <w:start w:val="1"/>
      <w:numFmt w:val="decimal"/>
      <w:lvlText w:val="iv."/>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5">
    <w:nsid w:val="00000056"/>
    <w:multiLevelType w:val="multilevel"/>
    <w:tmpl w:val="00000056"/>
    <w:lvl w:ilvl="0">
      <w:start w:val="1"/>
      <w:numFmt w:val="decimal"/>
      <w:lvlText w:val="v."/>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6">
    <w:nsid w:val="00000057"/>
    <w:multiLevelType w:val="multilevel"/>
    <w:tmpl w:val="00000057"/>
    <w:lvl w:ilvl="0">
      <w:start w:val="1"/>
      <w:numFmt w:val="decimal"/>
      <w:lvlText w:val="vi."/>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7">
    <w:nsid w:val="00000058"/>
    <w:multiLevelType w:val="multilevel"/>
    <w:tmpl w:val="00000058"/>
    <w:lvl w:ilvl="0">
      <w:start w:val="1"/>
      <w:numFmt w:val="decimal"/>
      <w:lvlText w:val="vii."/>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8">
    <w:nsid w:val="00000059"/>
    <w:multiLevelType w:val="multilevel"/>
    <w:tmpl w:val="00000059"/>
    <w:lvl w:ilvl="0">
      <w:start w:val="1"/>
      <w:numFmt w:val="decimal"/>
      <w:lvlText w:val="viii."/>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9">
    <w:nsid w:val="0000005A"/>
    <w:multiLevelType w:val="multilevel"/>
    <w:tmpl w:val="0000005A"/>
    <w:lvl w:ilvl="0">
      <w:start w:val="1"/>
      <w:numFmt w:val="decimal"/>
      <w:lvlText w:val="ix."/>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0">
    <w:nsid w:val="0000005B"/>
    <w:multiLevelType w:val="multilevel"/>
    <w:tmpl w:val="0000005B"/>
    <w:lvl w:ilvl="0">
      <w:start w:val="1"/>
      <w:numFmt w:val="decimal"/>
      <w:lvlText w:val="x."/>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1">
    <w:nsid w:val="0000005C"/>
    <w:multiLevelType w:val="multilevel"/>
    <w:tmpl w:val="0000005C"/>
    <w:lvl w:ilvl="0">
      <w:start w:val="1"/>
      <w:numFmt w:val="decimal"/>
      <w:lvlText w:val="xi."/>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2">
    <w:nsid w:val="0000005D"/>
    <w:multiLevelType w:val="multilevel"/>
    <w:tmpl w:val="0000005D"/>
    <w:lvl w:ilvl="0">
      <w:start w:val="1"/>
      <w:numFmt w:val="decimal"/>
      <w:lvlText w:val="xii."/>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3">
    <w:nsid w:val="0000005E"/>
    <w:multiLevelType w:val="multilevel"/>
    <w:tmpl w:val="0000005E"/>
    <w:lvl w:ilvl="0">
      <w:start w:val="1"/>
      <w:numFmt w:val="decimal"/>
      <w:lvlText w:val="xiii."/>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4">
    <w:nsid w:val="0000005F"/>
    <w:multiLevelType w:val="multilevel"/>
    <w:tmpl w:val="0000005F"/>
    <w:lvl w:ilvl="0">
      <w:start w:val="1"/>
      <w:numFmt w:val="decimal"/>
      <w:lvlText w:val="xiv."/>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5">
    <w:nsid w:val="00000060"/>
    <w:multiLevelType w:val="multilevel"/>
    <w:tmpl w:val="00000060"/>
    <w:lvl w:ilvl="0">
      <w:start w:val="1"/>
      <w:numFmt w:val="decimal"/>
      <w:lvlText w:val="xv."/>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6">
    <w:nsid w:val="00000061"/>
    <w:multiLevelType w:val="multilevel"/>
    <w:tmpl w:val="00000061"/>
    <w:lvl w:ilvl="0">
      <w:start w:val="1"/>
      <w:numFmt w:val="decimal"/>
      <w:lvlText w:val="xvi."/>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7">
    <w:nsid w:val="00000062"/>
    <w:multiLevelType w:val="multilevel"/>
    <w:tmpl w:val="00000062"/>
    <w:lvl w:ilvl="0">
      <w:start w:val="1"/>
      <w:numFmt w:val="decimal"/>
      <w:lvlText w:val="xvii."/>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8">
    <w:nsid w:val="00000063"/>
    <w:multiLevelType w:val="multilevel"/>
    <w:tmpl w:val="00000063"/>
    <w:lvl w:ilvl="0">
      <w:start w:val="1"/>
      <w:numFmt w:val="decimal"/>
      <w:lvlText w:val="xviii."/>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9">
    <w:nsid w:val="00000064"/>
    <w:multiLevelType w:val="multilevel"/>
    <w:tmpl w:val="00000064"/>
    <w:lvl w:ilvl="0">
      <w:start w:val="6"/>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0">
    <w:nsid w:val="00000065"/>
    <w:multiLevelType w:val="multilevel"/>
    <w:tmpl w:val="00000065"/>
    <w:lvl w:ilvl="0">
      <w:start w:val="1"/>
      <w:numFmt w:val="lowerRoman"/>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1">
    <w:nsid w:val="00000066"/>
    <w:multiLevelType w:val="multilevel"/>
    <w:tmpl w:val="00000066"/>
    <w:lvl w:ilvl="0">
      <w:start w:val="1"/>
      <w:numFmt w:val="decimal"/>
      <w:lvlText w:val="ii."/>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2">
    <w:nsid w:val="00000067"/>
    <w:multiLevelType w:val="multilevel"/>
    <w:tmpl w:val="00000067"/>
    <w:lvl w:ilvl="0">
      <w:start w:val="1"/>
      <w:numFmt w:val="decimal"/>
      <w:lvlText w:val="iii."/>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3">
    <w:nsid w:val="00000068"/>
    <w:multiLevelType w:val="multilevel"/>
    <w:tmpl w:val="00000068"/>
    <w:lvl w:ilvl="0">
      <w:start w:val="1"/>
      <w:numFmt w:val="decimal"/>
      <w:lvlText w:val="iv."/>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4">
    <w:nsid w:val="00000069"/>
    <w:multiLevelType w:val="multilevel"/>
    <w:tmpl w:val="00000069"/>
    <w:lvl w:ilvl="0">
      <w:start w:val="1"/>
      <w:numFmt w:val="decimal"/>
      <w:lvlText w:val="14."/>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5">
    <w:nsid w:val="0000006A"/>
    <w:multiLevelType w:val="multilevel"/>
    <w:tmpl w:val="0000006A"/>
    <w:lvl w:ilvl="0">
      <w:start w:val="1"/>
      <w:numFmt w:val="decimal"/>
      <w:lvlText w:val="15."/>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6">
    <w:nsid w:val="0000006B"/>
    <w:multiLevelType w:val="multilevel"/>
    <w:tmpl w:val="0000006B"/>
    <w:lvl w:ilvl="0">
      <w:start w:val="1"/>
      <w:numFmt w:val="decimal"/>
      <w:lvlText w:val="16."/>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7">
    <w:nsid w:val="0000006C"/>
    <w:multiLevelType w:val="multilevel"/>
    <w:tmpl w:val="0000006C"/>
    <w:lvl w:ilvl="0">
      <w:start w:val="1"/>
      <w:numFmt w:val="decimal"/>
      <w:lvlText w:val="17."/>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8">
    <w:nsid w:val="0000006D"/>
    <w:multiLevelType w:val="multilevel"/>
    <w:tmpl w:val="0000006D"/>
    <w:lvl w:ilvl="0">
      <w:start w:val="1"/>
      <w:numFmt w:val="decimal"/>
      <w:lvlText w:val="18."/>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9">
    <w:nsid w:val="0000006E"/>
    <w:multiLevelType w:val="multilevel"/>
    <w:tmpl w:val="0000006E"/>
    <w:lvl w:ilvl="0">
      <w:start w:val="1"/>
      <w:numFmt w:val="decimal"/>
      <w:lvlText w:val="19."/>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0">
    <w:nsid w:val="0000006F"/>
    <w:multiLevelType w:val="multilevel"/>
    <w:tmpl w:val="0000006F"/>
    <w:lvl w:ilvl="0">
      <w:start w:val="1"/>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1">
    <w:nsid w:val="00000070"/>
    <w:multiLevelType w:val="multilevel"/>
    <w:tmpl w:val="00000070"/>
    <w:lvl w:ilvl="0">
      <w:start w:val="1"/>
      <w:numFmt w:val="decimal"/>
      <w:lvlText w:val="20."/>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2">
    <w:nsid w:val="00000071"/>
    <w:multiLevelType w:val="multilevel"/>
    <w:tmpl w:val="00000071"/>
    <w:lvl w:ilvl="0">
      <w:start w:val="1"/>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3">
    <w:nsid w:val="00000072"/>
    <w:multiLevelType w:val="multilevel"/>
    <w:tmpl w:val="00000072"/>
    <w:lvl w:ilvl="0">
      <w:start w:val="1"/>
      <w:numFmt w:val="decimal"/>
      <w:lvlText w:val="2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4">
    <w:nsid w:val="00000073"/>
    <w:multiLevelType w:val="multilevel"/>
    <w:tmpl w:val="00000073"/>
    <w:lvl w:ilvl="0">
      <w:start w:val="1"/>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5">
    <w:nsid w:val="00000074"/>
    <w:multiLevelType w:val="multilevel"/>
    <w:tmpl w:val="00000074"/>
    <w:lvl w:ilvl="0">
      <w:start w:val="1"/>
      <w:numFmt w:val="decimal"/>
      <w:lvlText w:val="22."/>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6">
    <w:nsid w:val="00000075"/>
    <w:multiLevelType w:val="multilevel"/>
    <w:tmpl w:val="00000075"/>
    <w:lvl w:ilvl="0">
      <w:start w:val="1"/>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7">
    <w:nsid w:val="00000076"/>
    <w:multiLevelType w:val="multilevel"/>
    <w:tmpl w:val="00000076"/>
    <w:lvl w:ilvl="0">
      <w:start w:val="1"/>
      <w:numFmt w:val="decimal"/>
      <w:lvlText w:val="23."/>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8">
    <w:nsid w:val="00000077"/>
    <w:multiLevelType w:val="multilevel"/>
    <w:tmpl w:val="00000077"/>
    <w:lvl w:ilvl="0">
      <w:start w:val="1"/>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9">
    <w:nsid w:val="00000078"/>
    <w:multiLevelType w:val="multilevel"/>
    <w:tmpl w:val="00000078"/>
    <w:lvl w:ilvl="0">
      <w:start w:val="1"/>
      <w:numFmt w:val="decimal"/>
      <w:lvlText w:val="24."/>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0">
    <w:nsid w:val="00000079"/>
    <w:multiLevelType w:val="multilevel"/>
    <w:tmpl w:val="00000079"/>
    <w:lvl w:ilvl="0">
      <w:start w:val="1"/>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1">
    <w:nsid w:val="0000007A"/>
    <w:multiLevelType w:val="multilevel"/>
    <w:tmpl w:val="0000007A"/>
    <w:lvl w:ilvl="0">
      <w:start w:val="1"/>
      <w:numFmt w:val="decimal"/>
      <w:lvlText w:val="25."/>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2">
    <w:nsid w:val="0000007B"/>
    <w:multiLevelType w:val="multilevel"/>
    <w:tmpl w:val="0000007B"/>
    <w:lvl w:ilvl="0">
      <w:start w:val="1"/>
      <w:numFmt w:val="decimal"/>
      <w:lvlText w:val="26."/>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3">
    <w:nsid w:val="0000007C"/>
    <w:multiLevelType w:val="multilevel"/>
    <w:tmpl w:val="0000007C"/>
    <w:lvl w:ilvl="0">
      <w:start w:val="1"/>
      <w:numFmt w:val="decimal"/>
      <w:lvlText w:val="27."/>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4">
    <w:nsid w:val="0000007D"/>
    <w:multiLevelType w:val="multilevel"/>
    <w:tmpl w:val="0000007D"/>
    <w:lvl w:ilvl="0">
      <w:start w:val="1"/>
      <w:numFmt w:val="decimal"/>
      <w:lvlText w:val="28."/>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5">
    <w:nsid w:val="0000007E"/>
    <w:multiLevelType w:val="multilevel"/>
    <w:tmpl w:val="0000007E"/>
    <w:lvl w:ilvl="0">
      <w:start w:val="1"/>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6">
    <w:nsid w:val="0000007F"/>
    <w:multiLevelType w:val="multilevel"/>
    <w:tmpl w:val="0000007F"/>
    <w:lvl w:ilvl="0">
      <w:start w:val="1"/>
      <w:numFmt w:val="decimal"/>
      <w:lvlText w:val="29."/>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7">
    <w:nsid w:val="00000080"/>
    <w:multiLevelType w:val="multilevel"/>
    <w:tmpl w:val="00000080"/>
    <w:lvl w:ilvl="0">
      <w:start w:val="1"/>
      <w:numFmt w:val="decimal"/>
      <w:lvlText w:val="30."/>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8">
    <w:nsid w:val="00000081"/>
    <w:multiLevelType w:val="multilevel"/>
    <w:tmpl w:val="00000081"/>
    <w:lvl w:ilvl="0">
      <w:start w:val="1"/>
      <w:numFmt w:val="decimal"/>
      <w:lvlText w:val="(%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9">
    <w:nsid w:val="00000082"/>
    <w:multiLevelType w:val="multilevel"/>
    <w:tmpl w:val="00000082"/>
    <w:lvl w:ilvl="0">
      <w:start w:val="2"/>
      <w:numFmt w:val="decimal"/>
      <w:lvlText w:val="(%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0">
    <w:nsid w:val="00000083"/>
    <w:multiLevelType w:val="multilevel"/>
    <w:tmpl w:val="00000083"/>
    <w:lvl w:ilvl="0">
      <w:start w:val="1"/>
      <w:numFmt w:val="decimal"/>
      <w:lvlText w:val="(%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1">
    <w:nsid w:val="00000084"/>
    <w:multiLevelType w:val="multilevel"/>
    <w:tmpl w:val="00000084"/>
    <w:lvl w:ilvl="0">
      <w:start w:val="2"/>
      <w:numFmt w:val="decimal"/>
      <w:lvlText w:val="(%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2">
    <w:nsid w:val="00000085"/>
    <w:multiLevelType w:val="multilevel"/>
    <w:tmpl w:val="00000085"/>
    <w:lvl w:ilvl="0">
      <w:start w:val="1"/>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3">
    <w:nsid w:val="00000086"/>
    <w:multiLevelType w:val="multilevel"/>
    <w:tmpl w:val="00000086"/>
    <w:lvl w:ilvl="0">
      <w:start w:val="1"/>
      <w:numFmt w:val="decimal"/>
      <w:lvlText w:val="b)"/>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4">
    <w:nsid w:val="00000087"/>
    <w:multiLevelType w:val="multilevel"/>
    <w:tmpl w:val="00000087"/>
    <w:lvl w:ilvl="0">
      <w:start w:val="1"/>
      <w:numFmt w:val="decimal"/>
      <w:lvlText w:val="c)"/>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5">
    <w:nsid w:val="00000088"/>
    <w:multiLevelType w:val="multilevel"/>
    <w:tmpl w:val="00000088"/>
    <w:lvl w:ilvl="0">
      <w:start w:val="1"/>
      <w:numFmt w:val="decimal"/>
      <w:lvlText w:val="d)"/>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6">
    <w:nsid w:val="00000089"/>
    <w:multiLevelType w:val="multilevel"/>
    <w:tmpl w:val="00000089"/>
    <w:lvl w:ilvl="0">
      <w:start w:val="1"/>
      <w:numFmt w:val="decimal"/>
      <w:lvlText w:val="e)"/>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7">
    <w:nsid w:val="0000008A"/>
    <w:multiLevelType w:val="multilevel"/>
    <w:tmpl w:val="0000008A"/>
    <w:lvl w:ilvl="0">
      <w:start w:val="1"/>
      <w:numFmt w:val="decimal"/>
      <w:lvlText w:val="f)"/>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8">
    <w:nsid w:val="0000008B"/>
    <w:multiLevelType w:val="multilevel"/>
    <w:tmpl w:val="0000008B"/>
    <w:lvl w:ilvl="0">
      <w:start w:val="1"/>
      <w:numFmt w:val="lowerRoman"/>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9">
    <w:nsid w:val="0000008C"/>
    <w:multiLevelType w:val="multilevel"/>
    <w:tmpl w:val="0000008C"/>
    <w:lvl w:ilvl="0">
      <w:start w:val="1"/>
      <w:numFmt w:val="decimal"/>
      <w:lvlText w:val="ii."/>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0">
    <w:nsid w:val="0000008D"/>
    <w:multiLevelType w:val="multilevel"/>
    <w:tmpl w:val="0000008D"/>
    <w:lvl w:ilvl="0">
      <w:start w:val="1"/>
      <w:numFmt w:val="decimal"/>
      <w:lvlText w:val="iii."/>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1">
    <w:nsid w:val="0000008E"/>
    <w:multiLevelType w:val="multilevel"/>
    <w:tmpl w:val="0000008E"/>
    <w:lvl w:ilvl="0">
      <w:start w:val="7"/>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2">
    <w:nsid w:val="0000008F"/>
    <w:multiLevelType w:val="multilevel"/>
    <w:tmpl w:val="0000008F"/>
    <w:lvl w:ilvl="0">
      <w:start w:val="1"/>
      <w:numFmt w:val="lowerRoman"/>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3">
    <w:nsid w:val="00000090"/>
    <w:multiLevelType w:val="multilevel"/>
    <w:tmpl w:val="00000090"/>
    <w:lvl w:ilvl="0">
      <w:start w:val="1"/>
      <w:numFmt w:val="decimal"/>
      <w:lvlText w:val="ii."/>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4">
    <w:nsid w:val="00000091"/>
    <w:multiLevelType w:val="multilevel"/>
    <w:tmpl w:val="00000091"/>
    <w:lvl w:ilvl="0">
      <w:start w:val="1"/>
      <w:numFmt w:val="decimal"/>
      <w:lvlText w:val="iii."/>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5">
    <w:nsid w:val="00000092"/>
    <w:multiLevelType w:val="multilevel"/>
    <w:tmpl w:val="00000092"/>
    <w:lvl w:ilvl="0">
      <w:start w:val="8"/>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6">
    <w:nsid w:val="00000093"/>
    <w:multiLevelType w:val="multilevel"/>
    <w:tmpl w:val="00000093"/>
    <w:lvl w:ilvl="0">
      <w:start w:val="1"/>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7">
    <w:nsid w:val="00000094"/>
    <w:multiLevelType w:val="multilevel"/>
    <w:tmpl w:val="00000094"/>
    <w:lvl w:ilvl="0">
      <w:start w:val="1"/>
      <w:numFmt w:val="decimal"/>
      <w:lvlText w:val="b)"/>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8">
    <w:nsid w:val="00000095"/>
    <w:multiLevelType w:val="multilevel"/>
    <w:tmpl w:val="00000095"/>
    <w:lvl w:ilvl="0">
      <w:start w:val="1"/>
      <w:numFmt w:val="decimal"/>
      <w:lvlText w:val="c)"/>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9">
    <w:nsid w:val="00000096"/>
    <w:multiLevelType w:val="multilevel"/>
    <w:tmpl w:val="00000096"/>
    <w:lvl w:ilvl="0">
      <w:start w:val="1"/>
      <w:numFmt w:val="decimal"/>
      <w:lvlText w:val="d)"/>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0">
    <w:nsid w:val="00000097"/>
    <w:multiLevelType w:val="multilevel"/>
    <w:tmpl w:val="00000097"/>
    <w:lvl w:ilvl="0">
      <w:start w:val="1"/>
      <w:numFmt w:val="decimal"/>
      <w:lvlText w:val="e)"/>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1">
    <w:nsid w:val="00000098"/>
    <w:multiLevelType w:val="multilevel"/>
    <w:tmpl w:val="00000098"/>
    <w:lvl w:ilvl="0">
      <w:start w:val="1"/>
      <w:numFmt w:val="decimal"/>
      <w:lvlText w:val="f)"/>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2">
    <w:nsid w:val="00000099"/>
    <w:multiLevelType w:val="multilevel"/>
    <w:tmpl w:val="00000099"/>
    <w:lvl w:ilvl="0">
      <w:start w:val="1"/>
      <w:numFmt w:val="decimal"/>
      <w:lvlText w:val="g)"/>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3">
    <w:nsid w:val="0000009A"/>
    <w:multiLevelType w:val="multilevel"/>
    <w:tmpl w:val="0000009A"/>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4">
    <w:nsid w:val="0000009B"/>
    <w:multiLevelType w:val="multilevel"/>
    <w:tmpl w:val="0000009B"/>
    <w:lvl w:ilvl="0">
      <w:start w:val="1"/>
      <w:numFmt w:val="decimal"/>
      <w:lvlText w:val="b)"/>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5">
    <w:nsid w:val="0000009C"/>
    <w:multiLevelType w:val="multilevel"/>
    <w:tmpl w:val="0000009C"/>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6">
    <w:nsid w:val="0000009D"/>
    <w:multiLevelType w:val="multilevel"/>
    <w:tmpl w:val="0000009D"/>
    <w:lvl w:ilvl="0">
      <w:start w:val="1"/>
      <w:numFmt w:val="decimal"/>
      <w:lvlText w:val="2)"/>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7">
    <w:nsid w:val="0000009E"/>
    <w:multiLevelType w:val="multilevel"/>
    <w:tmpl w:val="0000009E"/>
    <w:lvl w:ilvl="0">
      <w:start w:val="1"/>
      <w:numFmt w:val="decimal"/>
      <w:lvlText w:val="3)"/>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8">
    <w:nsid w:val="0000009F"/>
    <w:multiLevelType w:val="multilevel"/>
    <w:tmpl w:val="0000009F"/>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9">
    <w:nsid w:val="000000A0"/>
    <w:multiLevelType w:val="multilevel"/>
    <w:tmpl w:val="000000A0"/>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0">
    <w:nsid w:val="000000A1"/>
    <w:multiLevelType w:val="multilevel"/>
    <w:tmpl w:val="000000A1"/>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1">
    <w:nsid w:val="000000A2"/>
    <w:multiLevelType w:val="multilevel"/>
    <w:tmpl w:val="000000A2"/>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2">
    <w:nsid w:val="000000A3"/>
    <w:multiLevelType w:val="multilevel"/>
    <w:tmpl w:val="000000A3"/>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3">
    <w:nsid w:val="000000A4"/>
    <w:multiLevelType w:val="multilevel"/>
    <w:tmpl w:val="000000A4"/>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4">
    <w:nsid w:val="000000A5"/>
    <w:multiLevelType w:val="multilevel"/>
    <w:tmpl w:val="000000A5"/>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5">
    <w:nsid w:val="000000A6"/>
    <w:multiLevelType w:val="multilevel"/>
    <w:tmpl w:val="000000A6"/>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6">
    <w:nsid w:val="000000A7"/>
    <w:multiLevelType w:val="multilevel"/>
    <w:tmpl w:val="000000A7"/>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7">
    <w:nsid w:val="000000A8"/>
    <w:multiLevelType w:val="multilevel"/>
    <w:tmpl w:val="000000A8"/>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8">
    <w:nsid w:val="000000A9"/>
    <w:multiLevelType w:val="multilevel"/>
    <w:tmpl w:val="000000A9"/>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9">
    <w:nsid w:val="000000AA"/>
    <w:multiLevelType w:val="multilevel"/>
    <w:tmpl w:val="000000AA"/>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0">
    <w:nsid w:val="000000AB"/>
    <w:multiLevelType w:val="multilevel"/>
    <w:tmpl w:val="000000AB"/>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1">
    <w:nsid w:val="000000AC"/>
    <w:multiLevelType w:val="multilevel"/>
    <w:tmpl w:val="000000AC"/>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2">
    <w:nsid w:val="000000AD"/>
    <w:multiLevelType w:val="multilevel"/>
    <w:tmpl w:val="000000AD"/>
    <w:lvl w:ilvl="0">
      <w:start w:val="1"/>
      <w:numFmt w:val="decimal"/>
      <w:lvlText w:val="b)"/>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3">
    <w:nsid w:val="000000AE"/>
    <w:multiLevelType w:val="multilevel"/>
    <w:tmpl w:val="000000AE"/>
    <w:lvl w:ilvl="0">
      <w:start w:val="1"/>
      <w:numFmt w:val="decimal"/>
      <w:lvlText w:val="c)"/>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4">
    <w:nsid w:val="000000AF"/>
    <w:multiLevelType w:val="multilevel"/>
    <w:tmpl w:val="000000AF"/>
    <w:lvl w:ilvl="0">
      <w:start w:val="1"/>
      <w:numFmt w:val="decimal"/>
      <w:lvlText w:val="d)"/>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5">
    <w:nsid w:val="000000B0"/>
    <w:multiLevelType w:val="multilevel"/>
    <w:tmpl w:val="000000B0"/>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6">
    <w:nsid w:val="000000B1"/>
    <w:multiLevelType w:val="multilevel"/>
    <w:tmpl w:val="000000B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7">
    <w:nsid w:val="000000B2"/>
    <w:multiLevelType w:val="multilevel"/>
    <w:tmpl w:val="000000B2"/>
    <w:lvl w:ilvl="0">
      <w:start w:val="1"/>
      <w:numFmt w:val="decimal"/>
      <w:lvlText w:val="b)"/>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8">
    <w:nsid w:val="000000B3"/>
    <w:multiLevelType w:val="multilevel"/>
    <w:tmpl w:val="000000B3"/>
    <w:lvl w:ilvl="0">
      <w:start w:val="1"/>
      <w:numFmt w:val="decimal"/>
      <w:lvlText w:val="c)"/>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9">
    <w:nsid w:val="000000B4"/>
    <w:multiLevelType w:val="multilevel"/>
    <w:tmpl w:val="000000B4"/>
    <w:lvl w:ilvl="0">
      <w:start w:val="1"/>
      <w:numFmt w:val="decimal"/>
      <w:lvlText w:val="d)"/>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0">
    <w:nsid w:val="000000B5"/>
    <w:multiLevelType w:val="multilevel"/>
    <w:tmpl w:val="000000B5"/>
    <w:lvl w:ilvl="0">
      <w:start w:val="1"/>
      <w:numFmt w:val="decimal"/>
      <w:lvlText w:val="e)"/>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1">
    <w:nsid w:val="000000B6"/>
    <w:multiLevelType w:val="multilevel"/>
    <w:tmpl w:val="000000B6"/>
    <w:lvl w:ilvl="0">
      <w:start w:val="1"/>
      <w:numFmt w:val="decimal"/>
      <w:lvlText w:val="f)"/>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2">
    <w:nsid w:val="000000B7"/>
    <w:multiLevelType w:val="multilevel"/>
    <w:tmpl w:val="000000B7"/>
    <w:lvl w:ilvl="0">
      <w:start w:val="1"/>
      <w:numFmt w:val="decimal"/>
      <w:lvlText w:val="g)"/>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3">
    <w:nsid w:val="000000B8"/>
    <w:multiLevelType w:val="multilevel"/>
    <w:tmpl w:val="000000B8"/>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4">
    <w:nsid w:val="000000B9"/>
    <w:multiLevelType w:val="multilevel"/>
    <w:tmpl w:val="000000B9"/>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5">
    <w:nsid w:val="000000BA"/>
    <w:multiLevelType w:val="multilevel"/>
    <w:tmpl w:val="000000BA"/>
    <w:lvl w:ilvl="0">
      <w:start w:val="1"/>
      <w:numFmt w:val="decimal"/>
      <w:lvlText w:val="b)"/>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6">
    <w:nsid w:val="000000BB"/>
    <w:multiLevelType w:val="multilevel"/>
    <w:tmpl w:val="000000BB"/>
    <w:lvl w:ilvl="0">
      <w:start w:val="1"/>
      <w:numFmt w:val="decimal"/>
      <w:lvlText w:val="c)"/>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7">
    <w:nsid w:val="000000BC"/>
    <w:multiLevelType w:val="multilevel"/>
    <w:tmpl w:val="000000BC"/>
    <w:lvl w:ilvl="0">
      <w:start w:val="1"/>
      <w:numFmt w:val="decimal"/>
      <w:lvlText w:val="d)"/>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8">
    <w:nsid w:val="000000BD"/>
    <w:multiLevelType w:val="multilevel"/>
    <w:tmpl w:val="000000BD"/>
    <w:lvl w:ilvl="0">
      <w:start w:val="1"/>
      <w:numFmt w:val="decimal"/>
      <w:lvlText w:val="e)"/>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9">
    <w:nsid w:val="000000BE"/>
    <w:multiLevelType w:val="multilevel"/>
    <w:tmpl w:val="000000BE"/>
    <w:lvl w:ilvl="0">
      <w:start w:val="1"/>
      <w:numFmt w:val="decimal"/>
      <w:lvlText w:val="f)"/>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0">
    <w:nsid w:val="000000BF"/>
    <w:multiLevelType w:val="multilevel"/>
    <w:tmpl w:val="000000BF"/>
    <w:lvl w:ilvl="0">
      <w:start w:val="1"/>
      <w:numFmt w:val="decimal"/>
      <w:lvlText w:val="g)"/>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1">
    <w:nsid w:val="000000C0"/>
    <w:multiLevelType w:val="multilevel"/>
    <w:tmpl w:val="000000C0"/>
    <w:lvl w:ilvl="0">
      <w:start w:val="1"/>
      <w:numFmt w:val="decimal"/>
      <w:lvlText w:val="h)"/>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2">
    <w:nsid w:val="000000C1"/>
    <w:multiLevelType w:val="multilevel"/>
    <w:tmpl w:val="000000C1"/>
    <w:lvl w:ilvl="0">
      <w:start w:val="1"/>
      <w:numFmt w:val="decimal"/>
      <w:lvlText w:val="i)"/>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3">
    <w:nsid w:val="000000C2"/>
    <w:multiLevelType w:val="multilevel"/>
    <w:tmpl w:val="000000C2"/>
    <w:lvl w:ilvl="0">
      <w:start w:val="1"/>
      <w:numFmt w:val="decimal"/>
      <w:lvlText w:val="j)"/>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4">
    <w:nsid w:val="000000C3"/>
    <w:multiLevelType w:val="multilevel"/>
    <w:tmpl w:val="000000C3"/>
    <w:lvl w:ilvl="0">
      <w:start w:val="1"/>
      <w:numFmt w:val="decimal"/>
      <w:lvlText w:val="k)"/>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5">
    <w:nsid w:val="000000C4"/>
    <w:multiLevelType w:val="multilevel"/>
    <w:tmpl w:val="000000C4"/>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6">
    <w:nsid w:val="000000C5"/>
    <w:multiLevelType w:val="multilevel"/>
    <w:tmpl w:val="000000C5"/>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7">
    <w:nsid w:val="000000C6"/>
    <w:multiLevelType w:val="multilevel"/>
    <w:tmpl w:val="000000C6"/>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8">
    <w:nsid w:val="000000C7"/>
    <w:multiLevelType w:val="multilevel"/>
    <w:tmpl w:val="000000C7"/>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9">
    <w:nsid w:val="000000C8"/>
    <w:multiLevelType w:val="multilevel"/>
    <w:tmpl w:val="000000C8"/>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0">
    <w:nsid w:val="000000C9"/>
    <w:multiLevelType w:val="multilevel"/>
    <w:tmpl w:val="000000C9"/>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1">
    <w:nsid w:val="000000CA"/>
    <w:multiLevelType w:val="multilevel"/>
    <w:tmpl w:val="000000CA"/>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2">
    <w:nsid w:val="000000CB"/>
    <w:multiLevelType w:val="multilevel"/>
    <w:tmpl w:val="000000CB"/>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3">
    <w:nsid w:val="000000CC"/>
    <w:multiLevelType w:val="multilevel"/>
    <w:tmpl w:val="000000CC"/>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4">
    <w:nsid w:val="000000CD"/>
    <w:multiLevelType w:val="multilevel"/>
    <w:tmpl w:val="000000CD"/>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5">
    <w:nsid w:val="000000CE"/>
    <w:multiLevelType w:val="multilevel"/>
    <w:tmpl w:val="000000CE"/>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6">
    <w:nsid w:val="000000CF"/>
    <w:multiLevelType w:val="multilevel"/>
    <w:tmpl w:val="000000CF"/>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7">
    <w:nsid w:val="000000D0"/>
    <w:multiLevelType w:val="multilevel"/>
    <w:tmpl w:val="000000D0"/>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8">
    <w:nsid w:val="000000D1"/>
    <w:multiLevelType w:val="multilevel"/>
    <w:tmpl w:val="000000D1"/>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9">
    <w:nsid w:val="000000D2"/>
    <w:multiLevelType w:val="multilevel"/>
    <w:tmpl w:val="000000D2"/>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0">
    <w:nsid w:val="000000D3"/>
    <w:multiLevelType w:val="multilevel"/>
    <w:tmpl w:val="000000D3"/>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1">
    <w:nsid w:val="000000D4"/>
    <w:multiLevelType w:val="multilevel"/>
    <w:tmpl w:val="000000D4"/>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2">
    <w:nsid w:val="000000D5"/>
    <w:multiLevelType w:val="multilevel"/>
    <w:tmpl w:val="000000D5"/>
    <w:lvl w:ilvl="0">
      <w:start w:val="1"/>
      <w:numFmt w:val="decimal"/>
      <w:lvlText w:val="b)"/>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3">
    <w:nsid w:val="000000D6"/>
    <w:multiLevelType w:val="multilevel"/>
    <w:tmpl w:val="000000D6"/>
    <w:lvl w:ilvl="0">
      <w:start w:val="1"/>
      <w:numFmt w:val="decimal"/>
      <w:lvlText w:val="c)"/>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4">
    <w:nsid w:val="000000D7"/>
    <w:multiLevelType w:val="multilevel"/>
    <w:tmpl w:val="000000D7"/>
    <w:lvl w:ilvl="0">
      <w:start w:val="2"/>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5">
    <w:nsid w:val="000000D8"/>
    <w:multiLevelType w:val="multilevel"/>
    <w:tmpl w:val="000000D8"/>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6">
    <w:nsid w:val="000000D9"/>
    <w:multiLevelType w:val="multilevel"/>
    <w:tmpl w:val="000000D9"/>
    <w:lvl w:ilvl="0">
      <w:start w:val="1"/>
      <w:numFmt w:val="decimal"/>
      <w:lvlText w:val="b)"/>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7">
    <w:nsid w:val="000000DA"/>
    <w:multiLevelType w:val="multilevel"/>
    <w:tmpl w:val="000000DA"/>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8">
    <w:nsid w:val="000000DB"/>
    <w:multiLevelType w:val="multilevel"/>
    <w:tmpl w:val="000000DB"/>
    <w:lvl w:ilvl="0">
      <w:start w:val="1"/>
      <w:numFmt w:val="decimal"/>
      <w:lvlText w:val="b)"/>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9">
    <w:nsid w:val="000000DC"/>
    <w:multiLevelType w:val="multilevel"/>
    <w:tmpl w:val="000000DC"/>
    <w:lvl w:ilvl="0">
      <w:start w:val="1"/>
      <w:numFmt w:val="decimal"/>
      <w:lvlText w:val="c)"/>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0">
    <w:nsid w:val="000000DD"/>
    <w:multiLevelType w:val="multilevel"/>
    <w:tmpl w:val="000000DD"/>
    <w:lvl w:ilvl="0">
      <w:start w:val="1"/>
      <w:numFmt w:val="decimal"/>
      <w:lvlText w:val="d)"/>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1">
    <w:nsid w:val="000000DE"/>
    <w:multiLevelType w:val="multilevel"/>
    <w:tmpl w:val="000000DE"/>
    <w:lvl w:ilvl="0">
      <w:start w:val="1"/>
      <w:numFmt w:val="decimal"/>
      <w:lvlText w:val="e)"/>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2">
    <w:nsid w:val="000000DF"/>
    <w:multiLevelType w:val="multilevel"/>
    <w:tmpl w:val="000000DF"/>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3">
    <w:nsid w:val="000000E0"/>
    <w:multiLevelType w:val="multilevel"/>
    <w:tmpl w:val="000000E0"/>
    <w:lvl w:ilvl="0">
      <w:start w:val="1"/>
      <w:numFmt w:val="decimal"/>
      <w:lvlText w:val="b)"/>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4">
    <w:nsid w:val="000000E1"/>
    <w:multiLevelType w:val="multilevel"/>
    <w:tmpl w:val="000000E1"/>
    <w:lvl w:ilvl="0">
      <w:start w:val="1"/>
      <w:numFmt w:val="decimal"/>
      <w:lvlText w:val="c)"/>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5">
    <w:nsid w:val="000000E2"/>
    <w:multiLevelType w:val="multilevel"/>
    <w:tmpl w:val="000000E2"/>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6">
    <w:nsid w:val="000000E3"/>
    <w:multiLevelType w:val="multilevel"/>
    <w:tmpl w:val="000000E3"/>
    <w:lvl w:ilvl="0">
      <w:start w:val="1"/>
      <w:numFmt w:val="decimal"/>
      <w:lvlText w:val="b)"/>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7">
    <w:nsid w:val="000000E4"/>
    <w:multiLevelType w:val="multilevel"/>
    <w:tmpl w:val="000000E4"/>
    <w:lvl w:ilvl="0">
      <w:start w:val="1"/>
      <w:numFmt w:val="decimal"/>
      <w:lvlText w:val="c)"/>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8">
    <w:nsid w:val="000000E5"/>
    <w:multiLevelType w:val="multilevel"/>
    <w:tmpl w:val="000000E5"/>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9">
    <w:nsid w:val="000000E6"/>
    <w:multiLevelType w:val="multilevel"/>
    <w:tmpl w:val="000000E6"/>
    <w:lvl w:ilvl="0">
      <w:start w:val="1"/>
      <w:numFmt w:val="decimal"/>
      <w:lvlText w:val="b)"/>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0">
    <w:nsid w:val="000000E7"/>
    <w:multiLevelType w:val="multilevel"/>
    <w:tmpl w:val="000000E7"/>
    <w:lvl w:ilvl="0">
      <w:start w:val="1"/>
      <w:numFmt w:val="decimal"/>
      <w:lvlText w:val="c)"/>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1">
    <w:nsid w:val="000000E8"/>
    <w:multiLevelType w:val="multilevel"/>
    <w:tmpl w:val="000000E8"/>
    <w:lvl w:ilvl="0">
      <w:start w:val="1"/>
      <w:numFmt w:val="decimal"/>
      <w:lvlText w:val="d)"/>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2">
    <w:nsid w:val="000000E9"/>
    <w:multiLevelType w:val="multilevel"/>
    <w:tmpl w:val="000000E9"/>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3">
    <w:nsid w:val="000000EA"/>
    <w:multiLevelType w:val="multilevel"/>
    <w:tmpl w:val="000000EA"/>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4">
    <w:nsid w:val="000000EB"/>
    <w:multiLevelType w:val="multilevel"/>
    <w:tmpl w:val="000000EB"/>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5">
    <w:nsid w:val="000000EC"/>
    <w:multiLevelType w:val="multilevel"/>
    <w:tmpl w:val="000000EC"/>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6">
    <w:nsid w:val="000000ED"/>
    <w:multiLevelType w:val="multilevel"/>
    <w:tmpl w:val="000000ED"/>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7">
    <w:nsid w:val="000000EE"/>
    <w:multiLevelType w:val="multilevel"/>
    <w:tmpl w:val="000000EE"/>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8">
    <w:nsid w:val="000000EF"/>
    <w:multiLevelType w:val="multilevel"/>
    <w:tmpl w:val="000000EF"/>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9">
    <w:nsid w:val="000000F0"/>
    <w:multiLevelType w:val="multilevel"/>
    <w:tmpl w:val="000000F0"/>
    <w:lvl w:ilvl="0">
      <w:start w:val="1"/>
      <w:numFmt w:val="decimal"/>
      <w:lvlText w:val="i)"/>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0">
    <w:nsid w:val="000000F1"/>
    <w:multiLevelType w:val="multilevel"/>
    <w:tmpl w:val="000000F1"/>
    <w:lvl w:ilvl="0">
      <w:start w:val="1"/>
      <w:numFmt w:val="decimal"/>
      <w:lvlText w:val="ii)"/>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1">
    <w:nsid w:val="000000F2"/>
    <w:multiLevelType w:val="multilevel"/>
    <w:tmpl w:val="000000F2"/>
    <w:lvl w:ilvl="0">
      <w:start w:val="5"/>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2">
    <w:nsid w:val="000000F3"/>
    <w:multiLevelType w:val="multilevel"/>
    <w:tmpl w:val="000000F3"/>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3">
    <w:nsid w:val="000000F4"/>
    <w:multiLevelType w:val="multilevel"/>
    <w:tmpl w:val="000000F4"/>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4">
    <w:nsid w:val="000000F5"/>
    <w:multiLevelType w:val="multilevel"/>
    <w:tmpl w:val="000000F5"/>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5">
    <w:nsid w:val="000000F6"/>
    <w:multiLevelType w:val="multilevel"/>
    <w:tmpl w:val="000000F6"/>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6">
    <w:nsid w:val="000000F7"/>
    <w:multiLevelType w:val="multilevel"/>
    <w:tmpl w:val="000000F7"/>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7">
    <w:nsid w:val="000000F8"/>
    <w:multiLevelType w:val="multilevel"/>
    <w:tmpl w:val="000000F8"/>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8">
    <w:nsid w:val="000000F9"/>
    <w:multiLevelType w:val="multilevel"/>
    <w:tmpl w:val="000000F9"/>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9">
    <w:nsid w:val="000000FA"/>
    <w:multiLevelType w:val="multilevel"/>
    <w:tmpl w:val="000000FA"/>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0">
    <w:nsid w:val="000000FB"/>
    <w:multiLevelType w:val="multilevel"/>
    <w:tmpl w:val="000000FB"/>
    <w:lvl w:ilvl="0">
      <w:start w:val="4"/>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1">
    <w:nsid w:val="000000FC"/>
    <w:multiLevelType w:val="multilevel"/>
    <w:tmpl w:val="000000FC"/>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2">
    <w:nsid w:val="000000FD"/>
    <w:multiLevelType w:val="multilevel"/>
    <w:tmpl w:val="000000FD"/>
    <w:lvl w:ilvl="0">
      <w:start w:val="1"/>
      <w:numFmt w:val="decimal"/>
      <w:lvlText w:val="b)"/>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3">
    <w:nsid w:val="000000FE"/>
    <w:multiLevelType w:val="multilevel"/>
    <w:tmpl w:val="000000FE"/>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4">
    <w:nsid w:val="000000FF"/>
    <w:multiLevelType w:val="multilevel"/>
    <w:tmpl w:val="000000FF"/>
    <w:lvl w:ilvl="0">
      <w:start w:val="1"/>
      <w:numFmt w:val="decimal"/>
      <w:lvlText w:val="2)"/>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5">
    <w:nsid w:val="00000100"/>
    <w:multiLevelType w:val="multilevel"/>
    <w:tmpl w:val="00000100"/>
    <w:lvl w:ilvl="0">
      <w:start w:val="1"/>
      <w:numFmt w:val="decimal"/>
      <w:lvlText w:val="3)"/>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6">
    <w:nsid w:val="00000101"/>
    <w:multiLevelType w:val="multilevel"/>
    <w:tmpl w:val="00000101"/>
    <w:lvl w:ilvl="0">
      <w:start w:val="1"/>
      <w:numFmt w:val="decimal"/>
      <w:lvlText w:val="4)"/>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7">
    <w:nsid w:val="00000102"/>
    <w:multiLevelType w:val="multilevel"/>
    <w:tmpl w:val="00000102"/>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8">
    <w:nsid w:val="00000103"/>
    <w:multiLevelType w:val="multilevel"/>
    <w:tmpl w:val="00000103"/>
    <w:lvl w:ilvl="0">
      <w:start w:val="1"/>
      <w:numFmt w:val="decimal"/>
      <w:lvlText w:val="2)"/>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9">
    <w:nsid w:val="00000104"/>
    <w:multiLevelType w:val="multilevel"/>
    <w:tmpl w:val="00000104"/>
    <w:lvl w:ilvl="0">
      <w:start w:val="1"/>
      <w:numFmt w:val="decimal"/>
      <w:lvlText w:val="3)"/>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0">
    <w:nsid w:val="00000105"/>
    <w:multiLevelType w:val="multilevel"/>
    <w:tmpl w:val="00000105"/>
    <w:lvl w:ilvl="0">
      <w:start w:val="1"/>
      <w:numFmt w:val="decimal"/>
      <w:lvlText w:val="4)"/>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1">
    <w:nsid w:val="00000106"/>
    <w:multiLevelType w:val="multilevel"/>
    <w:tmpl w:val="00000106"/>
    <w:lvl w:ilvl="0">
      <w:start w:val="1"/>
      <w:numFmt w:val="decimal"/>
      <w:lvlText w:val="5)"/>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2">
    <w:nsid w:val="00239253"/>
    <w:multiLevelType w:val="multilevel"/>
    <w:tmpl w:val="00000001"/>
    <w:lvl w:ilvl="0">
      <w:start w:val="1"/>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3">
    <w:nsid w:val="03940465"/>
    <w:multiLevelType w:val="multilevel"/>
    <w:tmpl w:val="00000001"/>
    <w:lvl w:ilvl="0">
      <w:start w:val="1"/>
      <w:numFmt w:val="lowerLetter"/>
      <w:lvlText w:val="(%1)"/>
      <w:lvlJc w:val="left"/>
      <w:pPr>
        <w:tabs>
          <w:tab w:val="num" w:pos="760"/>
        </w:tabs>
        <w:ind w:left="76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4">
    <w:nsid w:val="0418ACE3"/>
    <w:multiLevelType w:val="multilevel"/>
    <w:tmpl w:val="00000001"/>
    <w:lvl w:ilvl="0">
      <w:start w:val="1"/>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5">
    <w:nsid w:val="0556E6C7"/>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6">
    <w:nsid w:val="0868EEEC"/>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7">
    <w:nsid w:val="089BF3EB"/>
    <w:multiLevelType w:val="multilevel"/>
    <w:tmpl w:val="00000001"/>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8">
    <w:nsid w:val="0B1D6332"/>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9">
    <w:nsid w:val="0CF86B92"/>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0">
    <w:nsid w:val="0D201727"/>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1">
    <w:nsid w:val="10A39C6E"/>
    <w:multiLevelType w:val="multilevel"/>
    <w:tmpl w:val="00000001"/>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2">
    <w:nsid w:val="10AFE47F"/>
    <w:multiLevelType w:val="multilevel"/>
    <w:tmpl w:val="00000001"/>
    <w:lvl w:ilvl="0">
      <w:start w:val="1"/>
      <w:numFmt w:val="lowerLetter"/>
      <w:lvlText w:val="(%1)"/>
      <w:lvlJc w:val="left"/>
      <w:pPr>
        <w:tabs>
          <w:tab w:val="num" w:pos="1120"/>
        </w:tabs>
        <w:ind w:left="112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3">
    <w:nsid w:val="11F52BAB"/>
    <w:multiLevelType w:val="multilevel"/>
    <w:tmpl w:val="0000000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4">
    <w:nsid w:val="166FE667"/>
    <w:multiLevelType w:val="multilevel"/>
    <w:tmpl w:val="00000001"/>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5">
    <w:nsid w:val="2517F6BB"/>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6">
    <w:nsid w:val="25A7F060"/>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7">
    <w:nsid w:val="2A0C11A7"/>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8">
    <w:nsid w:val="2EFC9BED"/>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9">
    <w:nsid w:val="31436857"/>
    <w:multiLevelType w:val="multilevel"/>
    <w:tmpl w:val="00000001"/>
    <w:lvl w:ilvl="0">
      <w:start w:val="1"/>
      <w:numFmt w:val="upp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0">
    <w:nsid w:val="397B4D1E"/>
    <w:multiLevelType w:val="multilevel"/>
    <w:tmpl w:val="00000001"/>
    <w:lvl w:ilvl="0">
      <w:start w:val="1"/>
      <w:numFmt w:val="lowerRoman"/>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1">
    <w:nsid w:val="3AF05A44"/>
    <w:multiLevelType w:val="multilevel"/>
    <w:tmpl w:val="00000001"/>
    <w:lvl w:ilvl="0">
      <w:start w:val="3"/>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2">
    <w:nsid w:val="3CFF0EE8"/>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3">
    <w:nsid w:val="3D671F9B"/>
    <w:multiLevelType w:val="multilevel"/>
    <w:tmpl w:val="00000001"/>
    <w:lvl w:ilvl="0">
      <w:start w:val="1"/>
      <w:numFmt w:val="decimal"/>
      <w:lvlText w:val="269(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4">
    <w:nsid w:val="3E010AA4"/>
    <w:multiLevelType w:val="multilevel"/>
    <w:tmpl w:val="00000001"/>
    <w:lvl w:ilvl="0">
      <w:start w:val="2"/>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5">
    <w:nsid w:val="43C5FA53"/>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6">
    <w:nsid w:val="4468938D"/>
    <w:multiLevelType w:val="multilevel"/>
    <w:tmpl w:val="00000001"/>
    <w:lvl w:ilvl="0">
      <w:start w:val="1"/>
      <w:numFmt w:val="decimal"/>
      <w:lvlText w:val="10."/>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7">
    <w:nsid w:val="45C53651"/>
    <w:multiLevelType w:val="multilevel"/>
    <w:tmpl w:val="00000001"/>
    <w:lvl w:ilvl="0">
      <w:start w:val="2"/>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8">
    <w:nsid w:val="4A6406AE"/>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9">
    <w:nsid w:val="4AA9DA5E"/>
    <w:multiLevelType w:val="multilevel"/>
    <w:tmpl w:val="00000001"/>
    <w:lvl w:ilvl="0">
      <w:start w:val="1"/>
      <w:numFmt w:val="decimal"/>
      <w:lvlText w:val="18(1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0">
    <w:nsid w:val="4B066770"/>
    <w:multiLevelType w:val="multilevel"/>
    <w:tmpl w:val="00000001"/>
    <w:lvl w:ilvl="0">
      <w:start w:val="1"/>
      <w:numFmt w:val="upperLetter"/>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1">
    <w:nsid w:val="4DBF0026"/>
    <w:multiLevelType w:val="multilevel"/>
    <w:tmpl w:val="00000001"/>
    <w:lvl w:ilvl="0">
      <w:start w:val="19"/>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2">
    <w:nsid w:val="60FECA21"/>
    <w:multiLevelType w:val="multilevel"/>
    <w:tmpl w:val="00000001"/>
    <w:lvl w:ilvl="0">
      <w:start w:val="3"/>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3">
    <w:nsid w:val="63B5C838"/>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4">
    <w:nsid w:val="69546FF4"/>
    <w:multiLevelType w:val="multilevel"/>
    <w:tmpl w:val="00000001"/>
    <w:lvl w:ilvl="0">
      <w:start w:val="7"/>
      <w:numFmt w:val="upp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5">
    <w:nsid w:val="6BB7035E"/>
    <w:multiLevelType w:val="multilevel"/>
    <w:tmpl w:val="00000001"/>
    <w:lvl w:ilvl="0">
      <w:start w:val="1"/>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6">
    <w:nsid w:val="6CDAB06C"/>
    <w:multiLevelType w:val="multilevel"/>
    <w:tmpl w:val="00000001"/>
    <w:lvl w:ilvl="0">
      <w:start w:val="4"/>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7">
    <w:nsid w:val="6DB7CE44"/>
    <w:multiLevelType w:val="multilevel"/>
    <w:tmpl w:val="00000001"/>
    <w:lvl w:ilvl="0">
      <w:start w:val="1"/>
      <w:numFmt w:val="lowerRoman"/>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8">
    <w:nsid w:val="7098DEF0"/>
    <w:multiLevelType w:val="multilevel"/>
    <w:tmpl w:val="00000001"/>
    <w:lvl w:ilvl="0">
      <w:start w:val="1"/>
      <w:numFmt w:val="upp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9">
    <w:nsid w:val="710996B5"/>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0">
    <w:nsid w:val="7543CBBA"/>
    <w:multiLevelType w:val="multilevel"/>
    <w:tmpl w:val="00000001"/>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1">
    <w:nsid w:val="7A62BC07"/>
    <w:multiLevelType w:val="multilevel"/>
    <w:tmpl w:val="00000001"/>
    <w:lvl w:ilvl="0">
      <w:start w:val="1"/>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276"/>
  </w:num>
  <w:num w:numId="66">
    <w:abstractNumId w:val="298"/>
  </w:num>
  <w:num w:numId="67">
    <w:abstractNumId w:val="264"/>
  </w:num>
  <w:num w:numId="68">
    <w:abstractNumId w:val="272"/>
  </w:num>
  <w:num w:numId="69">
    <w:abstractNumId w:val="287"/>
  </w:num>
  <w:num w:numId="70">
    <w:abstractNumId w:val="273"/>
  </w:num>
  <w:num w:numId="71">
    <w:abstractNumId w:val="64"/>
  </w:num>
  <w:num w:numId="72">
    <w:abstractNumId w:val="65"/>
  </w:num>
  <w:num w:numId="73">
    <w:abstractNumId w:val="66"/>
  </w:num>
  <w:num w:numId="74">
    <w:abstractNumId w:val="67"/>
  </w:num>
  <w:num w:numId="75">
    <w:abstractNumId w:val="68"/>
  </w:num>
  <w:num w:numId="76">
    <w:abstractNumId w:val="69"/>
  </w:num>
  <w:num w:numId="77">
    <w:abstractNumId w:val="70"/>
  </w:num>
  <w:num w:numId="78">
    <w:abstractNumId w:val="71"/>
  </w:num>
  <w:num w:numId="79">
    <w:abstractNumId w:val="72"/>
  </w:num>
  <w:num w:numId="80">
    <w:abstractNumId w:val="73"/>
  </w:num>
  <w:num w:numId="81">
    <w:abstractNumId w:val="74"/>
  </w:num>
  <w:num w:numId="82">
    <w:abstractNumId w:val="75"/>
  </w:num>
  <w:num w:numId="83">
    <w:abstractNumId w:val="268"/>
  </w:num>
  <w:num w:numId="84">
    <w:abstractNumId w:val="289"/>
  </w:num>
  <w:num w:numId="85">
    <w:abstractNumId w:val="266"/>
  </w:num>
  <w:num w:numId="86">
    <w:abstractNumId w:val="270"/>
  </w:num>
  <w:num w:numId="87">
    <w:abstractNumId w:val="286"/>
  </w:num>
  <w:num w:numId="88">
    <w:abstractNumId w:val="281"/>
  </w:num>
  <w:num w:numId="89">
    <w:abstractNumId w:val="288"/>
  </w:num>
  <w:num w:numId="90">
    <w:abstractNumId w:val="299"/>
  </w:num>
  <w:num w:numId="91">
    <w:abstractNumId w:val="284"/>
  </w:num>
  <w:num w:numId="92">
    <w:abstractNumId w:val="296"/>
  </w:num>
  <w:num w:numId="93">
    <w:abstractNumId w:val="300"/>
  </w:num>
  <w:num w:numId="94">
    <w:abstractNumId w:val="267"/>
  </w:num>
  <w:num w:numId="95">
    <w:abstractNumId w:val="290"/>
  </w:num>
  <w:num w:numId="96">
    <w:abstractNumId w:val="278"/>
  </w:num>
  <w:num w:numId="97">
    <w:abstractNumId w:val="291"/>
  </w:num>
  <w:num w:numId="98">
    <w:abstractNumId w:val="263"/>
  </w:num>
  <w:num w:numId="99">
    <w:abstractNumId w:val="301"/>
  </w:num>
  <w:num w:numId="100">
    <w:abstractNumId w:val="283"/>
  </w:num>
  <w:num w:numId="101">
    <w:abstractNumId w:val="265"/>
  </w:num>
  <w:num w:numId="102">
    <w:abstractNumId w:val="271"/>
  </w:num>
  <w:num w:numId="103">
    <w:abstractNumId w:val="76"/>
  </w:num>
  <w:num w:numId="104">
    <w:abstractNumId w:val="77"/>
  </w:num>
  <w:num w:numId="105">
    <w:abstractNumId w:val="78"/>
  </w:num>
  <w:num w:numId="106">
    <w:abstractNumId w:val="79"/>
  </w:num>
  <w:num w:numId="107">
    <w:abstractNumId w:val="80"/>
  </w:num>
  <w:num w:numId="108">
    <w:abstractNumId w:val="81"/>
  </w:num>
  <w:num w:numId="109">
    <w:abstractNumId w:val="82"/>
  </w:num>
  <w:num w:numId="110">
    <w:abstractNumId w:val="83"/>
  </w:num>
  <w:num w:numId="111">
    <w:abstractNumId w:val="84"/>
  </w:num>
  <w:num w:numId="112">
    <w:abstractNumId w:val="85"/>
  </w:num>
  <w:num w:numId="113">
    <w:abstractNumId w:val="86"/>
  </w:num>
  <w:num w:numId="114">
    <w:abstractNumId w:val="87"/>
  </w:num>
  <w:num w:numId="115">
    <w:abstractNumId w:val="88"/>
  </w:num>
  <w:num w:numId="116">
    <w:abstractNumId w:val="89"/>
  </w:num>
  <w:num w:numId="117">
    <w:abstractNumId w:val="90"/>
  </w:num>
  <w:num w:numId="118">
    <w:abstractNumId w:val="91"/>
  </w:num>
  <w:num w:numId="119">
    <w:abstractNumId w:val="92"/>
  </w:num>
  <w:num w:numId="120">
    <w:abstractNumId w:val="93"/>
  </w:num>
  <w:num w:numId="121">
    <w:abstractNumId w:val="94"/>
  </w:num>
  <w:num w:numId="122">
    <w:abstractNumId w:val="95"/>
  </w:num>
  <w:num w:numId="123">
    <w:abstractNumId w:val="96"/>
  </w:num>
  <w:num w:numId="124">
    <w:abstractNumId w:val="97"/>
  </w:num>
  <w:num w:numId="125">
    <w:abstractNumId w:val="98"/>
  </w:num>
  <w:num w:numId="126">
    <w:abstractNumId w:val="99"/>
  </w:num>
  <w:num w:numId="127">
    <w:abstractNumId w:val="100"/>
  </w:num>
  <w:num w:numId="128">
    <w:abstractNumId w:val="101"/>
  </w:num>
  <w:num w:numId="129">
    <w:abstractNumId w:val="102"/>
  </w:num>
  <w:num w:numId="130">
    <w:abstractNumId w:val="103"/>
  </w:num>
  <w:num w:numId="131">
    <w:abstractNumId w:val="104"/>
  </w:num>
  <w:num w:numId="132">
    <w:abstractNumId w:val="105"/>
  </w:num>
  <w:num w:numId="133">
    <w:abstractNumId w:val="106"/>
  </w:num>
  <w:num w:numId="134">
    <w:abstractNumId w:val="107"/>
  </w:num>
  <w:num w:numId="135">
    <w:abstractNumId w:val="108"/>
  </w:num>
  <w:num w:numId="136">
    <w:abstractNumId w:val="109"/>
  </w:num>
  <w:num w:numId="137">
    <w:abstractNumId w:val="110"/>
  </w:num>
  <w:num w:numId="138">
    <w:abstractNumId w:val="111"/>
  </w:num>
  <w:num w:numId="139">
    <w:abstractNumId w:val="112"/>
  </w:num>
  <w:num w:numId="140">
    <w:abstractNumId w:val="113"/>
  </w:num>
  <w:num w:numId="141">
    <w:abstractNumId w:val="114"/>
  </w:num>
  <w:num w:numId="142">
    <w:abstractNumId w:val="115"/>
  </w:num>
  <w:num w:numId="143">
    <w:abstractNumId w:val="116"/>
  </w:num>
  <w:num w:numId="144">
    <w:abstractNumId w:val="117"/>
  </w:num>
  <w:num w:numId="145">
    <w:abstractNumId w:val="118"/>
  </w:num>
  <w:num w:numId="146">
    <w:abstractNumId w:val="119"/>
  </w:num>
  <w:num w:numId="147">
    <w:abstractNumId w:val="120"/>
  </w:num>
  <w:num w:numId="148">
    <w:abstractNumId w:val="121"/>
  </w:num>
  <w:num w:numId="149">
    <w:abstractNumId w:val="122"/>
  </w:num>
  <w:num w:numId="150">
    <w:abstractNumId w:val="123"/>
  </w:num>
  <w:num w:numId="151">
    <w:abstractNumId w:val="124"/>
  </w:num>
  <w:num w:numId="152">
    <w:abstractNumId w:val="125"/>
  </w:num>
  <w:num w:numId="153">
    <w:abstractNumId w:val="126"/>
  </w:num>
  <w:num w:numId="154">
    <w:abstractNumId w:val="127"/>
  </w:num>
  <w:num w:numId="155">
    <w:abstractNumId w:val="128"/>
  </w:num>
  <w:num w:numId="156">
    <w:abstractNumId w:val="129"/>
  </w:num>
  <w:num w:numId="157">
    <w:abstractNumId w:val="130"/>
  </w:num>
  <w:num w:numId="158">
    <w:abstractNumId w:val="131"/>
  </w:num>
  <w:num w:numId="159">
    <w:abstractNumId w:val="132"/>
  </w:num>
  <w:num w:numId="160">
    <w:abstractNumId w:val="133"/>
  </w:num>
  <w:num w:numId="161">
    <w:abstractNumId w:val="134"/>
  </w:num>
  <w:num w:numId="162">
    <w:abstractNumId w:val="135"/>
  </w:num>
  <w:num w:numId="163">
    <w:abstractNumId w:val="136"/>
  </w:num>
  <w:num w:numId="164">
    <w:abstractNumId w:val="137"/>
  </w:num>
  <w:num w:numId="165">
    <w:abstractNumId w:val="138"/>
  </w:num>
  <w:num w:numId="166">
    <w:abstractNumId w:val="139"/>
  </w:num>
  <w:num w:numId="167">
    <w:abstractNumId w:val="140"/>
  </w:num>
  <w:num w:numId="168">
    <w:abstractNumId w:val="141"/>
  </w:num>
  <w:num w:numId="169">
    <w:abstractNumId w:val="142"/>
  </w:num>
  <w:num w:numId="170">
    <w:abstractNumId w:val="143"/>
  </w:num>
  <w:num w:numId="171">
    <w:abstractNumId w:val="144"/>
  </w:num>
  <w:num w:numId="172">
    <w:abstractNumId w:val="145"/>
  </w:num>
  <w:num w:numId="173">
    <w:abstractNumId w:val="146"/>
  </w:num>
  <w:num w:numId="174">
    <w:abstractNumId w:val="147"/>
  </w:num>
  <w:num w:numId="175">
    <w:abstractNumId w:val="148"/>
  </w:num>
  <w:num w:numId="176">
    <w:abstractNumId w:val="149"/>
  </w:num>
  <w:num w:numId="177">
    <w:abstractNumId w:val="150"/>
  </w:num>
  <w:num w:numId="178">
    <w:abstractNumId w:val="151"/>
  </w:num>
  <w:num w:numId="179">
    <w:abstractNumId w:val="152"/>
  </w:num>
  <w:num w:numId="180">
    <w:abstractNumId w:val="153"/>
  </w:num>
  <w:num w:numId="181">
    <w:abstractNumId w:val="154"/>
  </w:num>
  <w:num w:numId="182">
    <w:abstractNumId w:val="155"/>
  </w:num>
  <w:num w:numId="183">
    <w:abstractNumId w:val="156"/>
  </w:num>
  <w:num w:numId="184">
    <w:abstractNumId w:val="157"/>
  </w:num>
  <w:num w:numId="185">
    <w:abstractNumId w:val="158"/>
  </w:num>
  <w:num w:numId="186">
    <w:abstractNumId w:val="159"/>
  </w:num>
  <w:num w:numId="187">
    <w:abstractNumId w:val="160"/>
  </w:num>
  <w:num w:numId="188">
    <w:abstractNumId w:val="161"/>
  </w:num>
  <w:num w:numId="189">
    <w:abstractNumId w:val="162"/>
  </w:num>
  <w:num w:numId="190">
    <w:abstractNumId w:val="163"/>
  </w:num>
  <w:num w:numId="191">
    <w:abstractNumId w:val="164"/>
  </w:num>
  <w:num w:numId="192">
    <w:abstractNumId w:val="165"/>
  </w:num>
  <w:num w:numId="193">
    <w:abstractNumId w:val="166"/>
  </w:num>
  <w:num w:numId="194">
    <w:abstractNumId w:val="167"/>
  </w:num>
  <w:num w:numId="195">
    <w:abstractNumId w:val="168"/>
  </w:num>
  <w:num w:numId="196">
    <w:abstractNumId w:val="169"/>
  </w:num>
  <w:num w:numId="197">
    <w:abstractNumId w:val="170"/>
  </w:num>
  <w:num w:numId="198">
    <w:abstractNumId w:val="171"/>
  </w:num>
  <w:num w:numId="199">
    <w:abstractNumId w:val="172"/>
  </w:num>
  <w:num w:numId="200">
    <w:abstractNumId w:val="173"/>
  </w:num>
  <w:num w:numId="201">
    <w:abstractNumId w:val="174"/>
  </w:num>
  <w:num w:numId="202">
    <w:abstractNumId w:val="175"/>
  </w:num>
  <w:num w:numId="203">
    <w:abstractNumId w:val="176"/>
  </w:num>
  <w:num w:numId="204">
    <w:abstractNumId w:val="177"/>
  </w:num>
  <w:num w:numId="205">
    <w:abstractNumId w:val="178"/>
  </w:num>
  <w:num w:numId="206">
    <w:abstractNumId w:val="179"/>
  </w:num>
  <w:num w:numId="207">
    <w:abstractNumId w:val="180"/>
  </w:num>
  <w:num w:numId="208">
    <w:abstractNumId w:val="181"/>
  </w:num>
  <w:num w:numId="209">
    <w:abstractNumId w:val="182"/>
  </w:num>
  <w:num w:numId="210">
    <w:abstractNumId w:val="183"/>
  </w:num>
  <w:num w:numId="211">
    <w:abstractNumId w:val="184"/>
  </w:num>
  <w:num w:numId="212">
    <w:abstractNumId w:val="185"/>
  </w:num>
  <w:num w:numId="213">
    <w:abstractNumId w:val="186"/>
  </w:num>
  <w:num w:numId="214">
    <w:abstractNumId w:val="187"/>
  </w:num>
  <w:num w:numId="215">
    <w:abstractNumId w:val="188"/>
  </w:num>
  <w:num w:numId="216">
    <w:abstractNumId w:val="189"/>
  </w:num>
  <w:num w:numId="217">
    <w:abstractNumId w:val="190"/>
  </w:num>
  <w:num w:numId="218">
    <w:abstractNumId w:val="191"/>
  </w:num>
  <w:num w:numId="219">
    <w:abstractNumId w:val="192"/>
  </w:num>
  <w:num w:numId="220">
    <w:abstractNumId w:val="193"/>
  </w:num>
  <w:num w:numId="221">
    <w:abstractNumId w:val="194"/>
  </w:num>
  <w:num w:numId="222">
    <w:abstractNumId w:val="195"/>
  </w:num>
  <w:num w:numId="223">
    <w:abstractNumId w:val="196"/>
  </w:num>
  <w:num w:numId="224">
    <w:abstractNumId w:val="197"/>
  </w:num>
  <w:num w:numId="225">
    <w:abstractNumId w:val="198"/>
  </w:num>
  <w:num w:numId="226">
    <w:abstractNumId w:val="199"/>
  </w:num>
  <w:num w:numId="227">
    <w:abstractNumId w:val="200"/>
  </w:num>
  <w:num w:numId="228">
    <w:abstractNumId w:val="201"/>
  </w:num>
  <w:num w:numId="229">
    <w:abstractNumId w:val="202"/>
  </w:num>
  <w:num w:numId="230">
    <w:abstractNumId w:val="203"/>
  </w:num>
  <w:num w:numId="231">
    <w:abstractNumId w:val="204"/>
  </w:num>
  <w:num w:numId="232">
    <w:abstractNumId w:val="205"/>
  </w:num>
  <w:num w:numId="233">
    <w:abstractNumId w:val="206"/>
  </w:num>
  <w:num w:numId="234">
    <w:abstractNumId w:val="207"/>
  </w:num>
  <w:num w:numId="235">
    <w:abstractNumId w:val="208"/>
  </w:num>
  <w:num w:numId="236">
    <w:abstractNumId w:val="209"/>
  </w:num>
  <w:num w:numId="237">
    <w:abstractNumId w:val="210"/>
  </w:num>
  <w:num w:numId="238">
    <w:abstractNumId w:val="211"/>
  </w:num>
  <w:num w:numId="239">
    <w:abstractNumId w:val="212"/>
  </w:num>
  <w:num w:numId="240">
    <w:abstractNumId w:val="213"/>
  </w:num>
  <w:num w:numId="241">
    <w:abstractNumId w:val="214"/>
  </w:num>
  <w:num w:numId="242">
    <w:abstractNumId w:val="215"/>
  </w:num>
  <w:num w:numId="243">
    <w:abstractNumId w:val="216"/>
  </w:num>
  <w:num w:numId="244">
    <w:abstractNumId w:val="217"/>
  </w:num>
  <w:num w:numId="245">
    <w:abstractNumId w:val="218"/>
  </w:num>
  <w:num w:numId="246">
    <w:abstractNumId w:val="219"/>
  </w:num>
  <w:num w:numId="247">
    <w:abstractNumId w:val="220"/>
  </w:num>
  <w:num w:numId="248">
    <w:abstractNumId w:val="221"/>
  </w:num>
  <w:num w:numId="249">
    <w:abstractNumId w:val="222"/>
  </w:num>
  <w:num w:numId="250">
    <w:abstractNumId w:val="223"/>
  </w:num>
  <w:num w:numId="251">
    <w:abstractNumId w:val="224"/>
  </w:num>
  <w:num w:numId="252">
    <w:abstractNumId w:val="225"/>
  </w:num>
  <w:num w:numId="253">
    <w:abstractNumId w:val="226"/>
  </w:num>
  <w:num w:numId="254">
    <w:abstractNumId w:val="227"/>
  </w:num>
  <w:num w:numId="255">
    <w:abstractNumId w:val="228"/>
  </w:num>
  <w:num w:numId="256">
    <w:abstractNumId w:val="229"/>
  </w:num>
  <w:num w:numId="257">
    <w:abstractNumId w:val="230"/>
  </w:num>
  <w:num w:numId="258">
    <w:abstractNumId w:val="231"/>
  </w:num>
  <w:num w:numId="259">
    <w:abstractNumId w:val="232"/>
  </w:num>
  <w:num w:numId="260">
    <w:abstractNumId w:val="233"/>
  </w:num>
  <w:num w:numId="261">
    <w:abstractNumId w:val="234"/>
  </w:num>
  <w:num w:numId="262">
    <w:abstractNumId w:val="235"/>
  </w:num>
  <w:num w:numId="263">
    <w:abstractNumId w:val="236"/>
  </w:num>
  <w:num w:numId="264">
    <w:abstractNumId w:val="237"/>
  </w:num>
  <w:num w:numId="265">
    <w:abstractNumId w:val="238"/>
  </w:num>
  <w:num w:numId="266">
    <w:abstractNumId w:val="239"/>
  </w:num>
  <w:num w:numId="267">
    <w:abstractNumId w:val="240"/>
  </w:num>
  <w:num w:numId="268">
    <w:abstractNumId w:val="241"/>
  </w:num>
  <w:num w:numId="269">
    <w:abstractNumId w:val="242"/>
  </w:num>
  <w:num w:numId="270">
    <w:abstractNumId w:val="243"/>
  </w:num>
  <w:num w:numId="271">
    <w:abstractNumId w:val="244"/>
  </w:num>
  <w:num w:numId="272">
    <w:abstractNumId w:val="245"/>
  </w:num>
  <w:num w:numId="273">
    <w:abstractNumId w:val="246"/>
  </w:num>
  <w:num w:numId="274">
    <w:abstractNumId w:val="247"/>
  </w:num>
  <w:num w:numId="275">
    <w:abstractNumId w:val="248"/>
  </w:num>
  <w:num w:numId="276">
    <w:abstractNumId w:val="249"/>
  </w:num>
  <w:num w:numId="277">
    <w:abstractNumId w:val="250"/>
  </w:num>
  <w:num w:numId="278">
    <w:abstractNumId w:val="251"/>
  </w:num>
  <w:num w:numId="279">
    <w:abstractNumId w:val="252"/>
  </w:num>
  <w:num w:numId="280">
    <w:abstractNumId w:val="253"/>
  </w:num>
  <w:num w:numId="281">
    <w:abstractNumId w:val="254"/>
  </w:num>
  <w:num w:numId="282">
    <w:abstractNumId w:val="255"/>
  </w:num>
  <w:num w:numId="283">
    <w:abstractNumId w:val="256"/>
  </w:num>
  <w:num w:numId="284">
    <w:abstractNumId w:val="257"/>
  </w:num>
  <w:num w:numId="285">
    <w:abstractNumId w:val="258"/>
  </w:num>
  <w:num w:numId="286">
    <w:abstractNumId w:val="259"/>
  </w:num>
  <w:num w:numId="287">
    <w:abstractNumId w:val="260"/>
  </w:num>
  <w:num w:numId="288">
    <w:abstractNumId w:val="261"/>
  </w:num>
  <w:num w:numId="289">
    <w:abstractNumId w:val="282"/>
  </w:num>
  <w:num w:numId="290">
    <w:abstractNumId w:val="279"/>
  </w:num>
  <w:num w:numId="291">
    <w:abstractNumId w:val="293"/>
  </w:num>
  <w:num w:numId="292">
    <w:abstractNumId w:val="285"/>
  </w:num>
  <w:num w:numId="293">
    <w:abstractNumId w:val="295"/>
  </w:num>
  <w:num w:numId="294">
    <w:abstractNumId w:val="292"/>
  </w:num>
  <w:num w:numId="295">
    <w:abstractNumId w:val="280"/>
  </w:num>
  <w:num w:numId="296">
    <w:abstractNumId w:val="269"/>
  </w:num>
  <w:num w:numId="297">
    <w:abstractNumId w:val="294"/>
  </w:num>
  <w:num w:numId="298">
    <w:abstractNumId w:val="275"/>
  </w:num>
  <w:num w:numId="299">
    <w:abstractNumId w:val="297"/>
  </w:num>
  <w:num w:numId="300">
    <w:abstractNumId w:val="274"/>
  </w:num>
  <w:num w:numId="301">
    <w:abstractNumId w:val="277"/>
  </w:num>
  <w:num w:numId="302">
    <w:abstractNumId w:val="26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eastAsia="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cases-ca&amp;id=urn:contentItem:5F7T-S7J1-DXWW-2560-00000-00&amp;context=" TargetMode="External" /><Relationship Id="rId100" Type="http://schemas.openxmlformats.org/officeDocument/2006/relationships/hyperlink" Target="https://advance.lexis.com/api/document?collection=cases-ca&amp;id=urn:contentItem:5F81-VJX1-JJYN-B53R-00000-00&amp;context=" TargetMode="External" /><Relationship Id="rId1000" Type="http://schemas.openxmlformats.org/officeDocument/2006/relationships/hyperlink" Target="https://advance.lexis.com/api/document?collection=cases-ca&amp;id=urn:contentItem:5F7T-S7H1-JFKM-62DN-00000-00&amp;context=" TargetMode="External" /><Relationship Id="rId1001" Type="http://schemas.openxmlformats.org/officeDocument/2006/relationships/hyperlink" Target="https://advance.lexis.com/api/document?collection=cases-ca&amp;id=urn:contentItem:5F7T-S7K1-JKHB-631H-00000-00&amp;context=" TargetMode="External" /><Relationship Id="rId1002" Type="http://schemas.openxmlformats.org/officeDocument/2006/relationships/hyperlink" Target="https://advance.lexis.com/api/document?collection=cases-ca&amp;id=urn:contentItem:5F7T-S7K1-DY33-B1GK-00000-00&amp;context=" TargetMode="External" /><Relationship Id="rId1003" Type="http://schemas.openxmlformats.org/officeDocument/2006/relationships/header" Target="header124.xml" /><Relationship Id="rId1004" Type="http://schemas.openxmlformats.org/officeDocument/2006/relationships/header" Target="header125.xml" /><Relationship Id="rId1005" Type="http://schemas.openxmlformats.org/officeDocument/2006/relationships/footer" Target="footer124.xml" /><Relationship Id="rId1006" Type="http://schemas.openxmlformats.org/officeDocument/2006/relationships/footer" Target="footer125.xml" /><Relationship Id="rId1007" Type="http://schemas.openxmlformats.org/officeDocument/2006/relationships/header" Target="header126.xml" /><Relationship Id="rId1008" Type="http://schemas.openxmlformats.org/officeDocument/2006/relationships/footer" Target="footer126.xml" /><Relationship Id="rId1009" Type="http://schemas.openxmlformats.org/officeDocument/2006/relationships/hyperlink" Target="https://advance.lexis.com/api/document?collection=cases-ca&amp;id=urn:contentItem:5F7T-S781-F900-G0MJ-00000-00&amp;context=" TargetMode="External" /><Relationship Id="rId101" Type="http://schemas.openxmlformats.org/officeDocument/2006/relationships/hyperlink" Target="https://advance.lexis.com/api/document?collection=cases-ca&amp;id=urn:contentItem:5F16-9341-JF1Y-B3R3-00000-00&amp;context=" TargetMode="External" /><Relationship Id="rId1010" Type="http://schemas.openxmlformats.org/officeDocument/2006/relationships/hyperlink" Target="https://advance.lexis.com/api/document?collection=cases-ca&amp;id=urn:contentItem:5F8T-N3V1-JF75-M3CR-00000-00&amp;context=" TargetMode="External" /><Relationship Id="rId1011" Type="http://schemas.openxmlformats.org/officeDocument/2006/relationships/hyperlink" Target="https://advance.lexis.com/api/document?collection=cases-ca&amp;id=urn:contentItem:5F7V-3DK1-FCYK-23V1-00000-00&amp;context=" TargetMode="External" /><Relationship Id="rId1012" Type="http://schemas.openxmlformats.org/officeDocument/2006/relationships/hyperlink" Target="https://advance.lexis.com/api/document?collection=cases-ca&amp;id=urn:contentItem:5F16-93C1-JF1Y-B493-00000-00&amp;context=" TargetMode="External" /><Relationship Id="rId1013" Type="http://schemas.openxmlformats.org/officeDocument/2006/relationships/hyperlink" Target="https://advance.lexis.com/api/document?collection=cases-ca&amp;id=urn:contentItem:5F7V-3DF1-JWR6-S3RK-00000-00&amp;context=" TargetMode="External" /><Relationship Id="rId1014" Type="http://schemas.openxmlformats.org/officeDocument/2006/relationships/hyperlink" Target="https://advance.lexis.com/api/document?collection=cases-ca&amp;id=urn:contentItem:5F7H-KW81-JPGX-S1N5-00000-00&amp;context=" TargetMode="External" /><Relationship Id="rId1015" Type="http://schemas.openxmlformats.org/officeDocument/2006/relationships/hyperlink" Target="https://advance.lexis.com/api/document?collection=cases-ca&amp;id=urn:contentItem:5F8P-SC71-FFTT-X197-00000-00&amp;context=" TargetMode="External" /><Relationship Id="rId1016" Type="http://schemas.openxmlformats.org/officeDocument/2006/relationships/hyperlink" Target="https://advance.lexis.com/api/document?collection=cases-ca&amp;id=urn:contentItem:5F8T-N3R1-JNS1-M14P-00000-00&amp;context=" TargetMode="External" /><Relationship Id="rId1017" Type="http://schemas.openxmlformats.org/officeDocument/2006/relationships/hyperlink" Target="https://advance.lexis.com/api/document?collection=cases-ca&amp;id=urn:contentItem:5F7T-S761-JX8W-M2NY-00000-00&amp;context=" TargetMode="External" /><Relationship Id="rId1018" Type="http://schemas.openxmlformats.org/officeDocument/2006/relationships/header" Target="header127.xml" /><Relationship Id="rId1019" Type="http://schemas.openxmlformats.org/officeDocument/2006/relationships/header" Target="header128.xml" /><Relationship Id="rId102" Type="http://schemas.openxmlformats.org/officeDocument/2006/relationships/hyperlink" Target="https://advance.lexis.com/api/document?collection=cases-ca&amp;id=urn:contentItem:5F8P-SFX1-F4GK-M3YH-00000-00&amp;context=" TargetMode="External" /><Relationship Id="rId1020" Type="http://schemas.openxmlformats.org/officeDocument/2006/relationships/footer" Target="footer127.xml" /><Relationship Id="rId1021" Type="http://schemas.openxmlformats.org/officeDocument/2006/relationships/footer" Target="footer128.xml" /><Relationship Id="rId1022" Type="http://schemas.openxmlformats.org/officeDocument/2006/relationships/header" Target="header129.xml" /><Relationship Id="rId1023" Type="http://schemas.openxmlformats.org/officeDocument/2006/relationships/footer" Target="footer129.xml" /><Relationship Id="rId1024" Type="http://schemas.openxmlformats.org/officeDocument/2006/relationships/hyperlink" Target="https://advance.lexis.com/api/document?collection=cases-ca&amp;id=urn:contentItem:5F7T-S7C1-F7ND-G018-00000-00&amp;context=" TargetMode="External" /><Relationship Id="rId1025" Type="http://schemas.openxmlformats.org/officeDocument/2006/relationships/hyperlink" Target="https://advance.lexis.com/api/document?collection=cases-ca&amp;id=urn:contentItem:5F7T-S721-JSC5-M3B2-00000-00&amp;context=" TargetMode="External" /><Relationship Id="rId1026" Type="http://schemas.openxmlformats.org/officeDocument/2006/relationships/hyperlink" Target="https://advance.lexis.com/api/document?collection=cases-ca&amp;id=urn:contentItem:5F7T-S761-JCBX-S0DR-00000-00&amp;context=" TargetMode="External" /><Relationship Id="rId1027" Type="http://schemas.openxmlformats.org/officeDocument/2006/relationships/hyperlink" Target="https://advance.lexis.com/api/document?collection=cases-ca&amp;id=urn:contentItem:5F8P-SCM1-DY33-B528-00000-00&amp;context=" TargetMode="External" /><Relationship Id="rId1028" Type="http://schemas.openxmlformats.org/officeDocument/2006/relationships/hyperlink" Target="https://advance.lexis.com/api/document?collection=cases-ca&amp;id=urn:contentItem:5F8P-SC81-JT99-22YM-00000-00&amp;context=" TargetMode="External" /><Relationship Id="rId1029" Type="http://schemas.openxmlformats.org/officeDocument/2006/relationships/hyperlink" Target="https://advance.lexis.com/api/document?collection=cases-ca&amp;id=urn:contentItem:5F7T-S761-JGHR-M2JM-00000-00&amp;context=" TargetMode="External" /><Relationship Id="rId103" Type="http://schemas.openxmlformats.org/officeDocument/2006/relationships/hyperlink" Target="https://advance.lexis.com/api/document?collection=cases-ca&amp;id=urn:contentItem:5F8P-SDP1-JP4G-61NK-00000-00&amp;context=" TargetMode="External" /><Relationship Id="rId1030" Type="http://schemas.openxmlformats.org/officeDocument/2006/relationships/hyperlink" Target="https://advance.lexis.com/api/document?collection=cases-ca&amp;id=urn:contentItem:5F7T-S781-JC5P-G1HX-00000-00&amp;context=" TargetMode="External" /><Relationship Id="rId1031" Type="http://schemas.openxmlformats.org/officeDocument/2006/relationships/header" Target="header130.xml" /><Relationship Id="rId1032" Type="http://schemas.openxmlformats.org/officeDocument/2006/relationships/header" Target="header131.xml" /><Relationship Id="rId1033" Type="http://schemas.openxmlformats.org/officeDocument/2006/relationships/footer" Target="footer130.xml" /><Relationship Id="rId1034" Type="http://schemas.openxmlformats.org/officeDocument/2006/relationships/footer" Target="footer131.xml" /><Relationship Id="rId1035" Type="http://schemas.openxmlformats.org/officeDocument/2006/relationships/header" Target="header132.xml" /><Relationship Id="rId1036" Type="http://schemas.openxmlformats.org/officeDocument/2006/relationships/footer" Target="footer132.xml" /><Relationship Id="rId1037" Type="http://schemas.openxmlformats.org/officeDocument/2006/relationships/hyperlink" Target="https://advance.lexis.com/api/document?collection=cases-ca&amp;id=urn:contentItem:5F7T-S7F1-FFFC-B1YR-00000-00&amp;context=" TargetMode="External" /><Relationship Id="rId1038" Type="http://schemas.openxmlformats.org/officeDocument/2006/relationships/hyperlink" Target="https://advance.lexis.com/api/document?collection=cases-ca&amp;id=urn:contentItem:5F7T-S6Y1-FJDY-X23K-00000-00&amp;context=" TargetMode="External" /><Relationship Id="rId1039" Type="http://schemas.openxmlformats.org/officeDocument/2006/relationships/header" Target="header133.xml" /><Relationship Id="rId104" Type="http://schemas.openxmlformats.org/officeDocument/2006/relationships/hyperlink" Target="https://advance.lexis.com/api/document?collection=cases-ca&amp;id=urn:contentItem:5F81-VJY1-JPGX-S4KG-00000-00&amp;context=" TargetMode="External" /><Relationship Id="rId1040" Type="http://schemas.openxmlformats.org/officeDocument/2006/relationships/header" Target="header134.xml" /><Relationship Id="rId1041" Type="http://schemas.openxmlformats.org/officeDocument/2006/relationships/footer" Target="footer133.xml" /><Relationship Id="rId1042" Type="http://schemas.openxmlformats.org/officeDocument/2006/relationships/footer" Target="footer134.xml" /><Relationship Id="rId1043" Type="http://schemas.openxmlformats.org/officeDocument/2006/relationships/header" Target="header135.xml" /><Relationship Id="rId1044" Type="http://schemas.openxmlformats.org/officeDocument/2006/relationships/footer" Target="footer135.xml" /><Relationship Id="rId1045" Type="http://schemas.openxmlformats.org/officeDocument/2006/relationships/hyperlink" Target="https://advance.lexis.com/api/document?collection=cases-ca&amp;id=urn:contentItem:5F7T-S7B1-JSRM-602D-00000-00&amp;context=" TargetMode="External" /><Relationship Id="rId1046" Type="http://schemas.openxmlformats.org/officeDocument/2006/relationships/header" Target="header136.xml" /><Relationship Id="rId1047" Type="http://schemas.openxmlformats.org/officeDocument/2006/relationships/header" Target="header137.xml" /><Relationship Id="rId1048" Type="http://schemas.openxmlformats.org/officeDocument/2006/relationships/footer" Target="footer136.xml" /><Relationship Id="rId1049" Type="http://schemas.openxmlformats.org/officeDocument/2006/relationships/footer" Target="footer137.xml" /><Relationship Id="rId105" Type="http://schemas.openxmlformats.org/officeDocument/2006/relationships/hyperlink" Target="https://advance.lexis.com/api/document?collection=cases-ca&amp;id=urn:contentItem:5F8P-SDS1-F956-S0GV-00000-00&amp;context=" TargetMode="External" /><Relationship Id="rId1050" Type="http://schemas.openxmlformats.org/officeDocument/2006/relationships/header" Target="header138.xml" /><Relationship Id="rId1051" Type="http://schemas.openxmlformats.org/officeDocument/2006/relationships/footer" Target="footer138.xml" /><Relationship Id="rId1052" Type="http://schemas.openxmlformats.org/officeDocument/2006/relationships/hyperlink" Target="https://advance.lexis.com/api/document?collection=cases-ca&amp;id=urn:contentItem:5GN2-DCK1-FGRY-B3M4-00000-00&amp;context=" TargetMode="External" /><Relationship Id="rId1053" Type="http://schemas.openxmlformats.org/officeDocument/2006/relationships/hyperlink" Target="https://advance.lexis.com/api/document?collection=legislation-ca&amp;id=urn:contentItem:5F41-1FH1-F361-M0HG-00000-00&amp;context=" TargetMode="External" /><Relationship Id="rId1054" Type="http://schemas.openxmlformats.org/officeDocument/2006/relationships/hyperlink" Target="https://advance.lexis.com/api/document?collection=cases-ca&amp;id=urn:contentItem:5F7T-S7P1-F2TK-23C6-00000-00&amp;context=" TargetMode="External" /><Relationship Id="rId1055" Type="http://schemas.openxmlformats.org/officeDocument/2006/relationships/hyperlink" Target="https://advance.lexis.com/api/document?collection=cases-ca&amp;id=urn:contentItem:5F7T-S701-JF75-M47G-00000-00&amp;context=" TargetMode="External" /><Relationship Id="rId1056" Type="http://schemas.openxmlformats.org/officeDocument/2006/relationships/hyperlink" Target="https://advance.lexis.com/api/document?collection=cases-ca&amp;id=urn:contentItem:5F7T-S751-JG02-S2H9-00000-00&amp;context=" TargetMode="External" /><Relationship Id="rId1057" Type="http://schemas.openxmlformats.org/officeDocument/2006/relationships/hyperlink" Target="https://advance.lexis.com/api/document?collection=cases-ca&amp;id=urn:contentItem:5F7T-S7G1-F5KY-B1CX-00000-00&amp;context=" TargetMode="External" /><Relationship Id="rId1058" Type="http://schemas.openxmlformats.org/officeDocument/2006/relationships/hyperlink" Target="https://advance.lexis.com/api/document?collection=cases-ca&amp;id=urn:contentItem:5F7T-S7M1-DYMS-6270-00000-00&amp;context=" TargetMode="External" /><Relationship Id="rId1059" Type="http://schemas.openxmlformats.org/officeDocument/2006/relationships/hyperlink" Target="https://advance.lexis.com/api/document?collection=cases-ca&amp;id=urn:contentItem:5F7T-S7N1-F57G-S2JB-00000-00&amp;context=" TargetMode="External" /><Relationship Id="rId106" Type="http://schemas.openxmlformats.org/officeDocument/2006/relationships/hyperlink" Target="https://advance.lexis.com/api/document?collection=cases-ca&amp;id=urn:contentItem:5F7T-S741-F528-G2DY-00000-00&amp;context=" TargetMode="External" /><Relationship Id="rId1060" Type="http://schemas.openxmlformats.org/officeDocument/2006/relationships/header" Target="header139.xml" /><Relationship Id="rId1061" Type="http://schemas.openxmlformats.org/officeDocument/2006/relationships/header" Target="header140.xml" /><Relationship Id="rId1062" Type="http://schemas.openxmlformats.org/officeDocument/2006/relationships/footer" Target="footer139.xml" /><Relationship Id="rId1063" Type="http://schemas.openxmlformats.org/officeDocument/2006/relationships/footer" Target="footer140.xml" /><Relationship Id="rId1064" Type="http://schemas.openxmlformats.org/officeDocument/2006/relationships/header" Target="header141.xml" /><Relationship Id="rId1065" Type="http://schemas.openxmlformats.org/officeDocument/2006/relationships/footer" Target="footer141.xml" /><Relationship Id="rId1066" Type="http://schemas.openxmlformats.org/officeDocument/2006/relationships/hyperlink" Target="https://advance.lexis.com/api/document?collection=cases-ca&amp;id=urn:contentItem:5F7T-S7C1-JS0R-22G1-00000-00&amp;context=" TargetMode="External" /><Relationship Id="rId1067" Type="http://schemas.openxmlformats.org/officeDocument/2006/relationships/hyperlink" Target="https://advance.lexis.com/api/document?collection=cases-ca&amp;id=urn:contentItem:5F7T-S701-JF75-M4J3-00000-00&amp;context=" TargetMode="External" /><Relationship Id="rId1068" Type="http://schemas.openxmlformats.org/officeDocument/2006/relationships/hyperlink" Target="https://advance.lexis.com/api/document?collection=cases-ca&amp;id=urn:contentItem:5F7T-S6V1-JFKM-6132-00000-00&amp;context=" TargetMode="External" /><Relationship Id="rId1069" Type="http://schemas.openxmlformats.org/officeDocument/2006/relationships/hyperlink" Target="https://advance.lexis.com/api/document?collection=cases-ca&amp;id=urn:contentItem:5F7T-S6X1-FBN1-20T9-00000-00&amp;context=" TargetMode="External" /><Relationship Id="rId107" Type="http://schemas.openxmlformats.org/officeDocument/2006/relationships/hyperlink" Target="https://advance.lexis.com/api/document?collection=cases-ca&amp;id=urn:contentItem:5F7T-S751-JP4G-6122-00000-00&amp;context=" TargetMode="External" /><Relationship Id="rId1070" Type="http://schemas.openxmlformats.org/officeDocument/2006/relationships/hyperlink" Target="https://advance.lexis.com/api/document?collection=cases-ca&amp;id=urn:contentItem:5F7T-S711-JB2B-S120-00000-00&amp;context=" TargetMode="External" /><Relationship Id="rId1071" Type="http://schemas.openxmlformats.org/officeDocument/2006/relationships/hyperlink" Target="https://advance.lexis.com/api/document?collection=cases-ca&amp;id=urn:contentItem:5F8T-N3T1-JGHR-M1Y2-00000-00&amp;context=" TargetMode="External" /><Relationship Id="rId1072" Type="http://schemas.openxmlformats.org/officeDocument/2006/relationships/hyperlink" Target="https://advance.lexis.com/api/document?collection=cases-ca&amp;id=urn:contentItem:5F81-VJT1-F8D9-M53T-00000-00&amp;context=" TargetMode="External" /><Relationship Id="rId1073" Type="http://schemas.openxmlformats.org/officeDocument/2006/relationships/hyperlink" Target="https://advance.lexis.com/api/document?collection=cases-ca&amp;id=urn:contentItem:5F81-VJV1-JSC5-M1BC-00000-00&amp;context=" TargetMode="External" /><Relationship Id="rId1074" Type="http://schemas.openxmlformats.org/officeDocument/2006/relationships/hyperlink" Target="https://advance.lexis.com/api/document?collection=cases-ca&amp;id=urn:contentItem:5F8T-N3P1-FC6N-X15T-00000-00&amp;context=" TargetMode="External" /><Relationship Id="rId1075" Type="http://schemas.openxmlformats.org/officeDocument/2006/relationships/hyperlink" Target="https://advance.lexis.com/api/document?collection=cases-ca&amp;id=urn:contentItem:5F8T-N3V1-FC1F-M3WD-00000-00&amp;context=" TargetMode="External" /><Relationship Id="rId1076" Type="http://schemas.openxmlformats.org/officeDocument/2006/relationships/hyperlink" Target="https://advance.lexis.com/api/document?collection=cases-ca&amp;id=urn:contentItem:5F8T-N3V1-FC1F-M42T-00000-00&amp;context=" TargetMode="External" /><Relationship Id="rId1077" Type="http://schemas.openxmlformats.org/officeDocument/2006/relationships/header" Target="header142.xml" /><Relationship Id="rId1078" Type="http://schemas.openxmlformats.org/officeDocument/2006/relationships/header" Target="header143.xml" /><Relationship Id="rId1079" Type="http://schemas.openxmlformats.org/officeDocument/2006/relationships/footer" Target="footer142.xml" /><Relationship Id="rId108" Type="http://schemas.openxmlformats.org/officeDocument/2006/relationships/hyperlink" Target="https://advance.lexis.com/api/document?collection=cases-ca&amp;id=urn:contentItem:5F7V-3DH1-FK0M-S1W9-00000-00&amp;context=" TargetMode="External" /><Relationship Id="rId1080" Type="http://schemas.openxmlformats.org/officeDocument/2006/relationships/footer" Target="footer143.xml" /><Relationship Id="rId1081" Type="http://schemas.openxmlformats.org/officeDocument/2006/relationships/header" Target="header144.xml" /><Relationship Id="rId1082" Type="http://schemas.openxmlformats.org/officeDocument/2006/relationships/footer" Target="footer144.xml" /><Relationship Id="rId1083" Type="http://schemas.openxmlformats.org/officeDocument/2006/relationships/hyperlink" Target="https://advance.lexis.com/api/document?collection=cases-ca&amp;id=urn:contentItem:5F7T-S7C1-JCJ5-20BC-00000-00&amp;context=" TargetMode="External" /><Relationship Id="rId1084" Type="http://schemas.openxmlformats.org/officeDocument/2006/relationships/hyperlink" Target="https://advance.lexis.com/api/document?collection=legislation-ca&amp;id=urn:contentItem:5F3B-BB71-FJM6-60GS-00000-00&amp;context=" TargetMode="External" /><Relationship Id="rId1085" Type="http://schemas.openxmlformats.org/officeDocument/2006/relationships/hyperlink" Target="https://advance.lexis.com/api/document?collection=cases-ca&amp;id=urn:contentItem:5F7T-S751-F361-M16K-00000-00&amp;context=" TargetMode="External" /><Relationship Id="rId1086" Type="http://schemas.openxmlformats.org/officeDocument/2006/relationships/hyperlink" Target="https://advance.lexis.com/api/document?collection=cases-ca&amp;id=urn:contentItem:5F8T-N3V1-JF75-M3SJ-00000-00&amp;context=" TargetMode="External" /><Relationship Id="rId1087" Type="http://schemas.openxmlformats.org/officeDocument/2006/relationships/hyperlink" Target="https://advance.lexis.com/api/document?collection=cases-ca&amp;id=urn:contentItem:5F8P-SD91-F30T-B52H-00000-00&amp;context=" TargetMode="External" /><Relationship Id="rId1088" Type="http://schemas.openxmlformats.org/officeDocument/2006/relationships/hyperlink" Target="https://advance.lexis.com/api/document?collection=cases-ca&amp;id=urn:contentItem:5F7T-S781-JC5P-G1TY-00000-00&amp;context=" TargetMode="External" /><Relationship Id="rId1089" Type="http://schemas.openxmlformats.org/officeDocument/2006/relationships/hyperlink" Target="https://advance.lexis.com/api/document?collection=cases-ca&amp;id=urn:contentItem:5F7T-S6X1-F06F-22K3-00000-00&amp;context=" TargetMode="External" /><Relationship Id="rId109" Type="http://schemas.openxmlformats.org/officeDocument/2006/relationships/hyperlink" Target="https://advance.lexis.com/api/document?collection=cases-ca&amp;id=urn:contentItem:5F7T-S7K1-F528-G2W5-00000-00&amp;context=" TargetMode="External" /><Relationship Id="rId1090" Type="http://schemas.openxmlformats.org/officeDocument/2006/relationships/hyperlink" Target="https://advance.lexis.com/api/document?collection=legislation-ca&amp;id=urn:contentItem:5VYK-WB31-F27X-6419-00000-00&amp;context=" TargetMode="External" /><Relationship Id="rId1091" Type="http://schemas.openxmlformats.org/officeDocument/2006/relationships/hyperlink" Target="https://advance.lexis.com/api/document?collection=cases-ca&amp;id=urn:contentItem:5F7T-S711-JB2B-S0W5-00000-00&amp;context=" TargetMode="External" /><Relationship Id="rId1092" Type="http://schemas.openxmlformats.org/officeDocument/2006/relationships/header" Target="header145.xml" /><Relationship Id="rId1093" Type="http://schemas.openxmlformats.org/officeDocument/2006/relationships/header" Target="header146.xml" /><Relationship Id="rId1094" Type="http://schemas.openxmlformats.org/officeDocument/2006/relationships/footer" Target="footer145.xml" /><Relationship Id="rId1095" Type="http://schemas.openxmlformats.org/officeDocument/2006/relationships/footer" Target="footer146.xml" /><Relationship Id="rId1096" Type="http://schemas.openxmlformats.org/officeDocument/2006/relationships/header" Target="header147.xml" /><Relationship Id="rId1097" Type="http://schemas.openxmlformats.org/officeDocument/2006/relationships/footer" Target="footer147.xml" /><Relationship Id="rId1098" Type="http://schemas.openxmlformats.org/officeDocument/2006/relationships/hyperlink" Target="https://advance.lexis.com/api/document?collection=cases-ca&amp;id=urn:contentItem:5F7T-S781-F7G6-63G2-00000-00&amp;context=" TargetMode="External" /><Relationship Id="rId1099" Type="http://schemas.openxmlformats.org/officeDocument/2006/relationships/hyperlink" Target="https://advance.lexis.com/api/document?collection=cases-ca&amp;id=urn:contentItem:5F7T-S761-F7ND-G4HP-00000-00&amp;context=" TargetMode="External" /><Relationship Id="rId11" Type="http://schemas.openxmlformats.org/officeDocument/2006/relationships/hyperlink" Target="https://advance.lexis.com/api/document?collection=legislation-ca&amp;id=urn:contentItem:5F97-RC11-JN14-G119-00000-00&amp;context=" TargetMode="External" /><Relationship Id="rId110" Type="http://schemas.openxmlformats.org/officeDocument/2006/relationships/hyperlink" Target="https://advance.lexis.com/api/document?collection=cases-ca&amp;id=urn:contentItem:5F7T-S7P1-JCRC-B28H-00000-00&amp;context=" TargetMode="External" /><Relationship Id="rId1100" Type="http://schemas.openxmlformats.org/officeDocument/2006/relationships/hyperlink" Target="https://advance.lexis.com/api/document?collection=cases-ca&amp;id=urn:contentItem:5F7T-S751-JBM1-M2D6-00000-00&amp;context=" TargetMode="External" /><Relationship Id="rId1101" Type="http://schemas.openxmlformats.org/officeDocument/2006/relationships/header" Target="header148.xml" /><Relationship Id="rId1102" Type="http://schemas.openxmlformats.org/officeDocument/2006/relationships/header" Target="header149.xml" /><Relationship Id="rId1103" Type="http://schemas.openxmlformats.org/officeDocument/2006/relationships/footer" Target="footer148.xml" /><Relationship Id="rId1104" Type="http://schemas.openxmlformats.org/officeDocument/2006/relationships/footer" Target="footer149.xml" /><Relationship Id="rId1105" Type="http://schemas.openxmlformats.org/officeDocument/2006/relationships/header" Target="header150.xml" /><Relationship Id="rId1106" Type="http://schemas.openxmlformats.org/officeDocument/2006/relationships/footer" Target="footer150.xml" /><Relationship Id="rId1107" Type="http://schemas.openxmlformats.org/officeDocument/2006/relationships/hyperlink" Target="https://advance.lexis.com/api/document?collection=cases-ca&amp;id=urn:contentItem:5F7T-S781-F900-G133-00000-00&amp;context=" TargetMode="External" /><Relationship Id="rId1108" Type="http://schemas.openxmlformats.org/officeDocument/2006/relationships/hyperlink" Target="https://advance.lexis.com/api/document?collection=cases-ca&amp;id=urn:contentItem:5F7T-S751-JX3N-B12X-00000-00&amp;context=" TargetMode="External" /><Relationship Id="rId1109" Type="http://schemas.openxmlformats.org/officeDocument/2006/relationships/hyperlink" Target="https://advance.lexis.com/api/document?collection=cases-ca&amp;id=urn:contentItem:5F7T-S771-F81W-22P7-00000-00&amp;context=" TargetMode="External" /><Relationship Id="rId111" Type="http://schemas.openxmlformats.org/officeDocument/2006/relationships/hyperlink" Target="https://advance.lexis.com/api/document?collection=cases-ca&amp;id=urn:contentItem:5F8P-SDF1-F81W-20RW-00000-00&amp;context=" TargetMode="External" /><Relationship Id="rId1110" Type="http://schemas.openxmlformats.org/officeDocument/2006/relationships/hyperlink" Target="https://advance.lexis.com/api/document?collection=cases-ca&amp;id=urn:contentItem:5F7T-S6T1-JT99-215B-00000-00&amp;context=" TargetMode="External" /><Relationship Id="rId1111" Type="http://schemas.openxmlformats.org/officeDocument/2006/relationships/hyperlink" Target="https://advance.lexis.com/api/document?collection=cases-ca&amp;id=urn:contentItem:5F7T-S6X1-F7ND-G31D-00000-00&amp;context=" TargetMode="External" /><Relationship Id="rId1112" Type="http://schemas.openxmlformats.org/officeDocument/2006/relationships/numbering" Target="numbering.xml" /><Relationship Id="rId1113" Type="http://schemas.openxmlformats.org/officeDocument/2006/relationships/styles" Target="styles.xml" /><Relationship Id="rId112" Type="http://schemas.openxmlformats.org/officeDocument/2006/relationships/hyperlink" Target="https://advance.lexis.com/api/document?collection=cases-ca&amp;id=urn:contentItem:5GTY-PW91-JWJ0-G009-00000-00&amp;context=" TargetMode="External" /><Relationship Id="rId113" Type="http://schemas.openxmlformats.org/officeDocument/2006/relationships/hyperlink" Target="https://advance.lexis.com/api/document?collection=cases-ca&amp;id=urn:contentItem:5F8N-K6Y1-JW5H-X2SH-00000-00&amp;context=" TargetMode="External" /><Relationship Id="rId114" Type="http://schemas.openxmlformats.org/officeDocument/2006/relationships/hyperlink" Target="https://advance.lexis.com/api/document?collection=cases-ca&amp;id=urn:contentItem:5F7T-S751-JP4G-614R-00000-00&amp;context=" TargetMode="External" /><Relationship Id="rId115" Type="http://schemas.openxmlformats.org/officeDocument/2006/relationships/hyperlink" Target="https://advance.lexis.com/api/document?collection=cases-ca&amp;id=urn:contentItem:5F7T-S7M1-DYMS-62DK-00000-00&amp;context=" TargetMode="External" /><Relationship Id="rId116" Type="http://schemas.openxmlformats.org/officeDocument/2006/relationships/hyperlink" Target="https://advance.lexis.com/api/document?collection=cases-ca&amp;id=urn:contentItem:5F8P-SF11-JF1Y-B32B-00000-00&amp;context=" TargetMode="External" /><Relationship Id="rId117" Type="http://schemas.openxmlformats.org/officeDocument/2006/relationships/hyperlink" Target="https://advance.lexis.com/api/document?collection=cases-ca&amp;id=urn:contentItem:5F7T-S721-F06F-233T-00000-00&amp;context=" TargetMode="External" /><Relationship Id="rId118" Type="http://schemas.openxmlformats.org/officeDocument/2006/relationships/hyperlink" Target="https://advance.lexis.com/api/document?collection=cases-ca&amp;id=urn:contentItem:5F7T-S7K1-JSJC-X122-00000-00&amp;context=" TargetMode="External" /><Relationship Id="rId119" Type="http://schemas.openxmlformats.org/officeDocument/2006/relationships/hyperlink" Target="https://advance.lexis.com/api/document?collection=cases-ca&amp;id=urn:contentItem:5F7T-S7N1-DXWW-20CB-00000-00&amp;context=" TargetMode="External" /><Relationship Id="rId12" Type="http://schemas.openxmlformats.org/officeDocument/2006/relationships/hyperlink" Target="https://advance.lexis.com/api/document?collection=legislation-ca&amp;id=urn:contentItem:5F41-1FN1-JSXV-G1MK-00000-00&amp;context=" TargetMode="External" /><Relationship Id="rId120" Type="http://schemas.openxmlformats.org/officeDocument/2006/relationships/hyperlink" Target="https://advance.lexis.com/api/document?collection=cases-ca&amp;id=urn:contentItem:5F16-9371-JGPY-X0J7-00000-00&amp;context=" TargetMode="External" /><Relationship Id="rId121" Type="http://schemas.openxmlformats.org/officeDocument/2006/relationships/hyperlink" Target="https://advance.lexis.com/api/document?collection=cases-ca&amp;id=urn:contentItem:5F16-9341-JK4W-M367-00000-00&amp;context=" TargetMode="External" /><Relationship Id="rId122" Type="http://schemas.openxmlformats.org/officeDocument/2006/relationships/hyperlink" Target="https://advance.lexis.com/api/document?collection=cases-ca&amp;id=urn:contentItem:5F7T-S751-JX3N-B123-00000-00&amp;context=" TargetMode="External" /><Relationship Id="rId123" Type="http://schemas.openxmlformats.org/officeDocument/2006/relationships/hyperlink" Target="https://advance.lexis.com/api/document?collection=cases-ca&amp;id=urn:contentItem:5FX0-KKR1-JCBX-S2KB-00000-00&amp;context=" TargetMode="External" /><Relationship Id="rId124" Type="http://schemas.openxmlformats.org/officeDocument/2006/relationships/hyperlink" Target="https://advance.lexis.com/api/document?collection=cases-ca&amp;id=urn:contentItem:5FX6-9TP1-JWBS-63P0-00000-00&amp;context=" TargetMode="External" /><Relationship Id="rId125" Type="http://schemas.openxmlformats.org/officeDocument/2006/relationships/hyperlink" Target="https://advance.lexis.com/api/document?collection=cases-ca&amp;id=urn:contentItem:5F8P-SD21-F1H1-23FD-00000-00&amp;context=" TargetMode="External" /><Relationship Id="rId126" Type="http://schemas.openxmlformats.org/officeDocument/2006/relationships/hyperlink" Target="https://advance.lexis.com/api/document?collection=cases-ca&amp;id=urn:contentItem:5F8P-SD01-FGJR-24PV-00000-00&amp;context=" TargetMode="External" /><Relationship Id="rId127" Type="http://schemas.openxmlformats.org/officeDocument/2006/relationships/hyperlink" Target="https://advance.lexis.com/api/document?collection=cases-ca&amp;id=urn:contentItem:5F81-VJX1-JKPJ-G1M4-00000-00&amp;context=" TargetMode="External" /><Relationship Id="rId128" Type="http://schemas.openxmlformats.org/officeDocument/2006/relationships/header" Target="header19.xml" /><Relationship Id="rId129" Type="http://schemas.openxmlformats.org/officeDocument/2006/relationships/header" Target="header20.xml" /><Relationship Id="rId13" Type="http://schemas.openxmlformats.org/officeDocument/2006/relationships/hyperlink" Target="https://advance.lexis.com/api/document?collection=legislation-ca&amp;id=urn:contentItem:5F41-1FK1-FJM6-60VK-00000-00&amp;context=" TargetMode="External" /><Relationship Id="rId130" Type="http://schemas.openxmlformats.org/officeDocument/2006/relationships/footer" Target="footer19.xml" /><Relationship Id="rId131" Type="http://schemas.openxmlformats.org/officeDocument/2006/relationships/footer" Target="footer20.xml" /><Relationship Id="rId132" Type="http://schemas.openxmlformats.org/officeDocument/2006/relationships/header" Target="header21.xml" /><Relationship Id="rId133" Type="http://schemas.openxmlformats.org/officeDocument/2006/relationships/footer" Target="footer21.xml" /><Relationship Id="rId134" Type="http://schemas.openxmlformats.org/officeDocument/2006/relationships/hyperlink" Target="https://advance.lexis.com/api/document?collection=cases-ca&amp;id=urn:contentItem:5F7T-S7K1-JSJC-X164-00000-00&amp;context=" TargetMode="External" /><Relationship Id="rId135" Type="http://schemas.openxmlformats.org/officeDocument/2006/relationships/hyperlink" Target="https://advance.lexis.com/api/document?collection=cases-ca&amp;id=urn:contentItem:5F7T-S7K1-F528-G2NK-00000-00&amp;context=" TargetMode="External" /><Relationship Id="rId136" Type="http://schemas.openxmlformats.org/officeDocument/2006/relationships/hyperlink" Target="https://advance.lexis.com/api/document?collection=cases-ca&amp;id=urn:contentItem:5F81-VJX1-FGY5-M3G4-00000-00&amp;context=" TargetMode="External" /><Relationship Id="rId137" Type="http://schemas.openxmlformats.org/officeDocument/2006/relationships/hyperlink" Target="https://advance.lexis.com/api/document?collection=cases-ca&amp;id=urn:contentItem:5F7T-S7C1-F30T-B20M-00000-00&amp;context=" TargetMode="External" /><Relationship Id="rId138" Type="http://schemas.openxmlformats.org/officeDocument/2006/relationships/hyperlink" Target="https://advance.lexis.com/api/document?collection=cases-ca&amp;id=urn:contentItem:5F8T-N3V1-JF75-M3DT-00000-00&amp;context=" TargetMode="External" /><Relationship Id="rId139" Type="http://schemas.openxmlformats.org/officeDocument/2006/relationships/hyperlink" Target="https://advance.lexis.com/api/document?collection=cases-ca&amp;id=urn:contentItem:5F16-93F1-JCJ5-22MM-00000-00&amp;context=" TargetMode="External" /><Relationship Id="rId14" Type="http://schemas.openxmlformats.org/officeDocument/2006/relationships/hyperlink" Target="https://advance.lexis.com/api/document?collection=cases-ca&amp;id=urn:contentItem:5F8T-N3V1-JFKM-609G-00000-00&amp;context=" TargetMode="External" /><Relationship Id="rId140" Type="http://schemas.openxmlformats.org/officeDocument/2006/relationships/hyperlink" Target="https://advance.lexis.com/api/document?collection=cases-ca&amp;id=urn:contentItem:5F7T-S761-JX8W-M2PF-00000-00&amp;context=" TargetMode="External" /><Relationship Id="rId141" Type="http://schemas.openxmlformats.org/officeDocument/2006/relationships/hyperlink" Target="https://advance.lexis.com/api/document?collection=cases-ca&amp;id=urn:contentItem:5F8T-N3V1-JTGH-B1H3-00000-00&amp;context=" TargetMode="External" /><Relationship Id="rId142" Type="http://schemas.openxmlformats.org/officeDocument/2006/relationships/header" Target="header22.xml" /><Relationship Id="rId143" Type="http://schemas.openxmlformats.org/officeDocument/2006/relationships/header" Target="header23.xml" /><Relationship Id="rId144" Type="http://schemas.openxmlformats.org/officeDocument/2006/relationships/footer" Target="footer22.xml" /><Relationship Id="rId145" Type="http://schemas.openxmlformats.org/officeDocument/2006/relationships/footer" Target="footer23.xml" /><Relationship Id="rId146" Type="http://schemas.openxmlformats.org/officeDocument/2006/relationships/header" Target="header24.xml" /><Relationship Id="rId147" Type="http://schemas.openxmlformats.org/officeDocument/2006/relationships/footer" Target="footer24.xml" /><Relationship Id="rId148" Type="http://schemas.openxmlformats.org/officeDocument/2006/relationships/hyperlink" Target="https://advance.lexis.com/api/document?collection=cases-ca&amp;id=urn:contentItem:5GCC-XVC1-F900-G4R2-00000-00&amp;context=" TargetMode="External" /><Relationship Id="rId149" Type="http://schemas.openxmlformats.org/officeDocument/2006/relationships/hyperlink" Target="https://advance.lexis.com/api/document?collection=legislation-ca&amp;id=urn:contentItem:5F41-1FG1-F4NT-X0B4-00000-00&amp;context=" TargetMode="External" /><Relationship Id="rId15" Type="http://schemas.openxmlformats.org/officeDocument/2006/relationships/hyperlink" Target="https://advance.lexis.com/api/document?collection=legislation-ca&amp;id=urn:contentItem:5W2C-X5K1-F5KY-B02G-00000-00&amp;context=" TargetMode="External" /><Relationship Id="rId150" Type="http://schemas.openxmlformats.org/officeDocument/2006/relationships/hyperlink" Target="https://advance.lexis.com/api/document?collection=cases-ca&amp;id=urn:contentItem:5F8T-N3V1-FH4C-X252-00000-00&amp;context=" TargetMode="External" /><Relationship Id="rId151" Type="http://schemas.openxmlformats.org/officeDocument/2006/relationships/hyperlink" Target="https://advance.lexis.com/api/document?collection=cases-ca&amp;id=urn:contentItem:5F8T-N3V1-JTGH-B12T-00000-00&amp;context=" TargetMode="External" /><Relationship Id="rId152" Type="http://schemas.openxmlformats.org/officeDocument/2006/relationships/hyperlink" Target="https://advance.lexis.com/api/document?collection=cases-ca&amp;id=urn:contentItem:5F8T-N3V1-JTGH-B111-00000-00&amp;context=" TargetMode="External" /><Relationship Id="rId153" Type="http://schemas.openxmlformats.org/officeDocument/2006/relationships/hyperlink" Target="https://advance.lexis.com/api/document?collection=cases-ca&amp;id=urn:contentItem:5F7T-S7F1-JK4W-M197-00000-00&amp;context=" TargetMode="External" /><Relationship Id="rId154" Type="http://schemas.openxmlformats.org/officeDocument/2006/relationships/hyperlink" Target="https://advance.lexis.com/api/document?collection=cases-ca&amp;id=urn:contentItem:5XR8-3VS1-FJM6-61F7-00000-00&amp;context=" TargetMode="External" /><Relationship Id="rId155" Type="http://schemas.openxmlformats.org/officeDocument/2006/relationships/hyperlink" Target="https://advance.lexis.com/api/document?collection=cases-ca&amp;id=urn:contentItem:5F7T-S7C1-F30T-B286-00000-00&amp;context=" TargetMode="External" /><Relationship Id="rId156" Type="http://schemas.openxmlformats.org/officeDocument/2006/relationships/hyperlink" Target="https://advance.lexis.com/api/document?collection=cases-ca&amp;id=urn:contentItem:5GC0-VTJ1-F7VM-S1WP-00000-00&amp;context=" TargetMode="External" /><Relationship Id="rId157" Type="http://schemas.openxmlformats.org/officeDocument/2006/relationships/hyperlink" Target="https://advance.lexis.com/api/document?collection=cases-ca&amp;id=urn:contentItem:5F7T-S7P1-JP4G-61WX-00000-00&amp;context=" TargetMode="External" /><Relationship Id="rId158" Type="http://schemas.openxmlformats.org/officeDocument/2006/relationships/hyperlink" Target="https://advance.lexis.com/api/document?collection=cases-ca&amp;id=urn:contentItem:5F81-VJX1-JX3N-B17H-00000-00&amp;context=" TargetMode="External" /><Relationship Id="rId159" Type="http://schemas.openxmlformats.org/officeDocument/2006/relationships/hyperlink" Target="https://advance.lexis.com/api/document?collection=cases-ca&amp;id=urn:contentItem:5F7T-S7P1-JCRC-B23D-00000-00&amp;context=" TargetMode="External" /><Relationship Id="rId16" Type="http://schemas.openxmlformats.org/officeDocument/2006/relationships/hyperlink" Target="https://advance.lexis.com/api/document?collection=cases-ca&amp;id=urn:contentItem:5F7T-S7H1-JCRC-B14P-00000-00&amp;context=" TargetMode="External" /><Relationship Id="rId160" Type="http://schemas.openxmlformats.org/officeDocument/2006/relationships/hyperlink" Target="https://advance.lexis.com/api/document?collection=cases-ca&amp;id=urn:contentItem:5F7T-S7H1-JS5Y-B2M6-00000-00&amp;context=" TargetMode="External" /><Relationship Id="rId161" Type="http://schemas.openxmlformats.org/officeDocument/2006/relationships/hyperlink" Target="https://advance.lexis.com/api/document?collection=cases-ca&amp;id=urn:contentItem:5F7T-S7K1-F1H1-22DB-00000-00&amp;context=" TargetMode="External" /><Relationship Id="rId162" Type="http://schemas.openxmlformats.org/officeDocument/2006/relationships/hyperlink" Target="https://advance.lexis.com/api/document?collection=cases-ca&amp;id=urn:contentItem:5F8P-SCM1-F2TK-23K7-00000-00&amp;context=" TargetMode="External" /><Relationship Id="rId163" Type="http://schemas.openxmlformats.org/officeDocument/2006/relationships/hyperlink" Target="https://advance.lexis.com/api/document?collection=cases-ca&amp;id=urn:contentItem:5F8P-SFP1-JTGH-B4X0-00000-00&amp;context=" TargetMode="External" /><Relationship Id="rId164" Type="http://schemas.openxmlformats.org/officeDocument/2006/relationships/hyperlink" Target="https://advance.lexis.com/api/document?collection=cases-ca&amp;id=urn:contentItem:5F7T-S7N1-DXWW-20MM-00000-00&amp;context=" TargetMode="External" /><Relationship Id="rId165" Type="http://schemas.openxmlformats.org/officeDocument/2006/relationships/hyperlink" Target="https://advance.lexis.com/api/document?collection=cases-ca&amp;id=urn:contentItem:5F7T-S7M1-JFSV-G3FS-00000-00&amp;context=" TargetMode="External" /><Relationship Id="rId166" Type="http://schemas.openxmlformats.org/officeDocument/2006/relationships/hyperlink" Target="https://advance.lexis.com/api/document?collection=cases-ca&amp;id=urn:contentItem:5F8T-N3V1-FH4C-X257-00000-00&amp;context=" TargetMode="External" /><Relationship Id="rId167" Type="http://schemas.openxmlformats.org/officeDocument/2006/relationships/hyperlink" Target="https://advance.lexis.com/api/document?collection=cases-ca&amp;id=urn:contentItem:5F7T-S7H1-JCRC-B0RB-00000-00&amp;context=" TargetMode="External" /><Relationship Id="rId168" Type="http://schemas.openxmlformats.org/officeDocument/2006/relationships/hyperlink" Target="https://advance.lexis.com/api/document?collection=cases-ca&amp;id=urn:contentItem:5F8P-SCC1-JXG3-X2J3-00000-00&amp;context=" TargetMode="External" /><Relationship Id="rId169" Type="http://schemas.openxmlformats.org/officeDocument/2006/relationships/hyperlink" Target="https://advance.lexis.com/api/document?collection=cases-ca&amp;id=urn:contentItem:5F8N-K731-JS0R-244R-00000-00&amp;context=" TargetMode="External" /><Relationship Id="rId17" Type="http://schemas.openxmlformats.org/officeDocument/2006/relationships/header" Target="header4.xml" /><Relationship Id="rId170" Type="http://schemas.openxmlformats.org/officeDocument/2006/relationships/hyperlink" Target="https://advance.lexis.com/api/document?collection=cases-ca&amp;id=urn:contentItem:5F7H-KWB1-JCJ5-21R1-00000-00&amp;context=" TargetMode="External" /><Relationship Id="rId171" Type="http://schemas.openxmlformats.org/officeDocument/2006/relationships/hyperlink" Target="https://advance.lexis.com/api/document?collection=cases-ca&amp;id=urn:contentItem:5F7T-S7H1-JS5Y-B2XG-00000-00&amp;context=" TargetMode="External" /><Relationship Id="rId172" Type="http://schemas.openxmlformats.org/officeDocument/2006/relationships/hyperlink" Target="https://advance.lexis.com/api/document?collection=cases-ca&amp;id=urn:contentItem:5F7T-S6X1-F7ND-G45B-00000-00&amp;context=" TargetMode="External" /><Relationship Id="rId173" Type="http://schemas.openxmlformats.org/officeDocument/2006/relationships/hyperlink" Target="https://advance.lexis.com/api/document?collection=cases-ca&amp;id=urn:contentItem:5F8T-N3R1-JJSF-22FK-00000-00&amp;context=" TargetMode="External" /><Relationship Id="rId174" Type="http://schemas.openxmlformats.org/officeDocument/2006/relationships/hyperlink" Target="https://advance.lexis.com/api/document?collection=cases-ca&amp;id=urn:contentItem:5F7T-S7K1-F1H1-22HT-00000-00&amp;context=" TargetMode="External" /><Relationship Id="rId175" Type="http://schemas.openxmlformats.org/officeDocument/2006/relationships/hyperlink" Target="https://advance.lexis.com/api/document?collection=cases-ca&amp;id=urn:contentItem:5F81-VJX1-JX3N-B1RB-00000-00&amp;context=" TargetMode="External" /><Relationship Id="rId176" Type="http://schemas.openxmlformats.org/officeDocument/2006/relationships/hyperlink" Target="https://advance.lexis.com/api/document?collection=cases-ca&amp;id=urn:contentItem:5F7T-S7K1-JWXF-2194-00000-00&amp;context=" TargetMode="External" /><Relationship Id="rId177" Type="http://schemas.openxmlformats.org/officeDocument/2006/relationships/hyperlink" Target="https://advance.lexis.com/api/document?collection=cases-ca&amp;id=urn:contentItem:5F7T-S731-FFFC-B0G3-00000-00&amp;context=" TargetMode="External" /><Relationship Id="rId178" Type="http://schemas.openxmlformats.org/officeDocument/2006/relationships/hyperlink" Target="https://advance.lexis.com/api/document?collection=cases-ca&amp;id=urn:contentItem:5F8T-N3V1-JF75-M3B2-00000-00&amp;context=" TargetMode="External" /><Relationship Id="rId179" Type="http://schemas.openxmlformats.org/officeDocument/2006/relationships/hyperlink" Target="https://advance.lexis.com/api/document?collection=cases-ca&amp;id=urn:contentItem:5F7T-S7H1-K054-G2F6-00000-00&amp;context=" TargetMode="External" /><Relationship Id="rId18" Type="http://schemas.openxmlformats.org/officeDocument/2006/relationships/header" Target="header5.xml" /><Relationship Id="rId180" Type="http://schemas.openxmlformats.org/officeDocument/2006/relationships/hyperlink" Target="https://advance.lexis.com/api/document?collection=cases-ca&amp;id=urn:contentItem:5F7T-S6R1-DXWW-2308-00000-00&amp;context=" TargetMode="External" /><Relationship Id="rId181" Type="http://schemas.openxmlformats.org/officeDocument/2006/relationships/hyperlink" Target="https://advance.lexis.com/api/document?collection=cases-ca&amp;id=urn:contentItem:5F7V-3DJ1-F30T-B39G-00000-00&amp;context=" TargetMode="External" /><Relationship Id="rId182" Type="http://schemas.openxmlformats.org/officeDocument/2006/relationships/hyperlink" Target="https://advance.lexis.com/api/document?collection=cases-ca&amp;id=urn:contentItem:5F7T-S731-F1WF-M2H3-00000-00&amp;context=" TargetMode="External" /><Relationship Id="rId183" Type="http://schemas.openxmlformats.org/officeDocument/2006/relationships/hyperlink" Target="https://advance.lexis.com/api/document?collection=cases-ca&amp;id=urn:contentItem:5F7T-S7K1-F528-G2MS-00000-00&amp;context=" TargetMode="External" /><Relationship Id="rId184" Type="http://schemas.openxmlformats.org/officeDocument/2006/relationships/hyperlink" Target="https://advance.lexis.com/api/document?collection=cases-ca&amp;id=urn:contentItem:5F7T-S7G1-JBT7-X40C-00000-00&amp;context=" TargetMode="External" /><Relationship Id="rId185" Type="http://schemas.openxmlformats.org/officeDocument/2006/relationships/header" Target="header25.xml" /><Relationship Id="rId186" Type="http://schemas.openxmlformats.org/officeDocument/2006/relationships/header" Target="header26.xml" /><Relationship Id="rId187" Type="http://schemas.openxmlformats.org/officeDocument/2006/relationships/footer" Target="footer25.xml" /><Relationship Id="rId188" Type="http://schemas.openxmlformats.org/officeDocument/2006/relationships/footer" Target="footer26.xml" /><Relationship Id="rId189" Type="http://schemas.openxmlformats.org/officeDocument/2006/relationships/header" Target="header27.xml" /><Relationship Id="rId19" Type="http://schemas.openxmlformats.org/officeDocument/2006/relationships/footer" Target="footer4.xml" /><Relationship Id="rId190" Type="http://schemas.openxmlformats.org/officeDocument/2006/relationships/footer" Target="footer27.xml" /><Relationship Id="rId191" Type="http://schemas.openxmlformats.org/officeDocument/2006/relationships/hyperlink" Target="https://advance.lexis.com/api/document?collection=cases-ca&amp;id=urn:contentItem:5F7T-S7F1-F7VM-S44X-00000-00&amp;context=" TargetMode="External" /><Relationship Id="rId192" Type="http://schemas.openxmlformats.org/officeDocument/2006/relationships/hyperlink" Target="https://advance.lexis.com/api/document?collection=legislation-ca&amp;id=urn:contentItem:5VYK-47V1-JJSF-24KK-00000-00&amp;context=" TargetMode="External" /><Relationship Id="rId193" Type="http://schemas.openxmlformats.org/officeDocument/2006/relationships/hyperlink" Target="https://advance.lexis.com/api/document?collection=cases-ca&amp;id=urn:contentItem:5F16-93B1-JN14-G0T8-00000-00&amp;context=" TargetMode="External" /><Relationship Id="rId194" Type="http://schemas.openxmlformats.org/officeDocument/2006/relationships/header" Target="header28.xml" /><Relationship Id="rId195" Type="http://schemas.openxmlformats.org/officeDocument/2006/relationships/header" Target="header29.xml" /><Relationship Id="rId196" Type="http://schemas.openxmlformats.org/officeDocument/2006/relationships/footer" Target="footer28.xml" /><Relationship Id="rId197" Type="http://schemas.openxmlformats.org/officeDocument/2006/relationships/footer" Target="footer29.xml" /><Relationship Id="rId198" Type="http://schemas.openxmlformats.org/officeDocument/2006/relationships/header" Target="header30.xml" /><Relationship Id="rId199" Type="http://schemas.openxmlformats.org/officeDocument/2006/relationships/footer" Target="footer30.xml" /><Relationship Id="rId2" Type="http://schemas.openxmlformats.org/officeDocument/2006/relationships/webSettings" Target="webSettings.xml" /><Relationship Id="rId20" Type="http://schemas.openxmlformats.org/officeDocument/2006/relationships/footer" Target="footer5.xml" /><Relationship Id="rId200" Type="http://schemas.openxmlformats.org/officeDocument/2006/relationships/hyperlink" Target="https://advance.lexis.com/api/document?collection=cases-ca&amp;id=urn:contentItem:5F7T-S771-JJD0-G14M-00000-00&amp;context=" TargetMode="External" /><Relationship Id="rId201" Type="http://schemas.openxmlformats.org/officeDocument/2006/relationships/hyperlink" Target="https://advance.lexis.com/api/document?collection=legislation-ca&amp;id=urn:contentItem:5F41-1FG1-F4NT-X0BT-00000-00&amp;context=" TargetMode="External" /><Relationship Id="rId202" Type="http://schemas.openxmlformats.org/officeDocument/2006/relationships/hyperlink" Target="https://advance.lexis.com/api/document?collection=cases-ca&amp;id=urn:contentItem:5F7T-S721-F5T5-M2F6-00000-00&amp;context=" TargetMode="External" /><Relationship Id="rId203" Type="http://schemas.openxmlformats.org/officeDocument/2006/relationships/hyperlink" Target="https://advance.lexis.com/api/document?collection=cases-ca&amp;id=urn:contentItem:5F7T-S741-FJM6-61N5-00000-00&amp;context=" TargetMode="External" /><Relationship Id="rId204" Type="http://schemas.openxmlformats.org/officeDocument/2006/relationships/hyperlink" Target="https://advance.lexis.com/api/document?collection=cases-ca&amp;id=urn:contentItem:5F8T-N3V1-FC1F-M41H-00000-00&amp;context=" TargetMode="External" /><Relationship Id="rId205" Type="http://schemas.openxmlformats.org/officeDocument/2006/relationships/hyperlink" Target="https://advance.lexis.com/api/document?collection=cases-ca&amp;id=urn:contentItem:5F7T-S751-JGHR-M1RV-00000-00&amp;context=" TargetMode="External" /><Relationship Id="rId206" Type="http://schemas.openxmlformats.org/officeDocument/2006/relationships/hyperlink" Target="https://advance.lexis.com/api/document?collection=cases-ca&amp;id=urn:contentItem:5F7T-S701-F8KH-X1FY-00000-00&amp;context=" TargetMode="External" /><Relationship Id="rId207" Type="http://schemas.openxmlformats.org/officeDocument/2006/relationships/hyperlink" Target="https://advance.lexis.com/api/document?collection=cases-ca&amp;id=urn:contentItem:5F7T-S771-F81W-22DC-00000-00&amp;context=" TargetMode="External" /><Relationship Id="rId208" Type="http://schemas.openxmlformats.org/officeDocument/2006/relationships/hyperlink" Target="https://advance.lexis.com/api/document?collection=cases-ca&amp;id=urn:contentItem:5F7T-S6Y1-JNY7-X2F4-00000-00&amp;context=" TargetMode="External" /><Relationship Id="rId209" Type="http://schemas.openxmlformats.org/officeDocument/2006/relationships/hyperlink" Target="https://advance.lexis.com/api/document?collection=cases-ca&amp;id=urn:contentItem:5F7T-S721-JSC5-M387-00000-00&amp;context=" TargetMode="External" /><Relationship Id="rId21" Type="http://schemas.openxmlformats.org/officeDocument/2006/relationships/header" Target="header6.xml" /><Relationship Id="rId210" Type="http://schemas.openxmlformats.org/officeDocument/2006/relationships/hyperlink" Target="https://advance.lexis.com/api/document?collection=cases-ca&amp;id=urn:contentItem:5F7T-S721-FG12-621J-00000-00&amp;context=" TargetMode="External" /><Relationship Id="rId211" Type="http://schemas.openxmlformats.org/officeDocument/2006/relationships/hyperlink" Target="https://advance.lexis.com/api/document?collection=cases-ca&amp;id=urn:contentItem:5F8T-N3T1-JGHR-M24T-00000-00&amp;context=" TargetMode="External" /><Relationship Id="rId212" Type="http://schemas.openxmlformats.org/officeDocument/2006/relationships/hyperlink" Target="https://advance.lexis.com/api/document?collection=cases-ca&amp;id=urn:contentItem:5F81-VJW1-K0HK-225G-00000-00&amp;context=" TargetMode="External" /><Relationship Id="rId213" Type="http://schemas.openxmlformats.org/officeDocument/2006/relationships/hyperlink" Target="https://advance.lexis.com/api/document?collection=cases-ca&amp;id=urn:contentItem:5F7T-S771-F361-M1PV-00000-00&amp;context=" TargetMode="External" /><Relationship Id="rId214" Type="http://schemas.openxmlformats.org/officeDocument/2006/relationships/hyperlink" Target="https://advance.lexis.com/api/document?collection=cases-ca&amp;id=urn:contentItem:5F7T-XPW1-F65M-62S2-00000-00&amp;context=" TargetMode="External" /><Relationship Id="rId215" Type="http://schemas.openxmlformats.org/officeDocument/2006/relationships/hyperlink" Target="https://advance.lexis.com/api/document?collection=cases-ca&amp;id=urn:contentItem:5F7T-S7C1-F4NT-X3XT-00000-00&amp;context=" TargetMode="External" /><Relationship Id="rId216" Type="http://schemas.openxmlformats.org/officeDocument/2006/relationships/hyperlink" Target="https://advance.lexis.com/api/document?collection=cases-ca&amp;id=urn:contentItem:5F7V-3DG1-JJK6-S3W5-00000-00&amp;context=" TargetMode="External" /><Relationship Id="rId217" Type="http://schemas.openxmlformats.org/officeDocument/2006/relationships/hyperlink" Target="https://advance.lexis.com/api/document?collection=cases-ca&amp;id=urn:contentItem:5F16-9341-JJD0-G13G-00000-00&amp;context=" TargetMode="External" /><Relationship Id="rId218" Type="http://schemas.openxmlformats.org/officeDocument/2006/relationships/hyperlink" Target="https://advance.lexis.com/api/document?collection=cases-ca&amp;id=urn:contentItem:5F7T-S6Y1-F4GK-M1V7-00000-00&amp;context=" TargetMode="External" /><Relationship Id="rId219" Type="http://schemas.openxmlformats.org/officeDocument/2006/relationships/header" Target="header31.xml" /><Relationship Id="rId22" Type="http://schemas.openxmlformats.org/officeDocument/2006/relationships/footer" Target="footer6.xml" /><Relationship Id="rId220" Type="http://schemas.openxmlformats.org/officeDocument/2006/relationships/header" Target="header32.xml" /><Relationship Id="rId221" Type="http://schemas.openxmlformats.org/officeDocument/2006/relationships/footer" Target="footer31.xml" /><Relationship Id="rId222" Type="http://schemas.openxmlformats.org/officeDocument/2006/relationships/footer" Target="footer32.xml" /><Relationship Id="rId223" Type="http://schemas.openxmlformats.org/officeDocument/2006/relationships/header" Target="header33.xml" /><Relationship Id="rId224" Type="http://schemas.openxmlformats.org/officeDocument/2006/relationships/footer" Target="footer33.xml" /><Relationship Id="rId225" Type="http://schemas.openxmlformats.org/officeDocument/2006/relationships/hyperlink" Target="https://advance.lexis.com/api/document?collection=cases-ca&amp;id=urn:contentItem:5F7T-S7C1-JCJ5-20MC-00000-00&amp;context=" TargetMode="External" /><Relationship Id="rId226" Type="http://schemas.openxmlformats.org/officeDocument/2006/relationships/hyperlink" Target="https://advance.lexis.com/api/document?collection=cases-ca&amp;id=urn:contentItem:5F7T-S731-F016-S319-00000-00&amp;context=" TargetMode="External" /><Relationship Id="rId227" Type="http://schemas.openxmlformats.org/officeDocument/2006/relationships/header" Target="header34.xml" /><Relationship Id="rId228" Type="http://schemas.openxmlformats.org/officeDocument/2006/relationships/header" Target="header35.xml" /><Relationship Id="rId229" Type="http://schemas.openxmlformats.org/officeDocument/2006/relationships/footer" Target="footer34.xml" /><Relationship Id="rId23" Type="http://schemas.openxmlformats.org/officeDocument/2006/relationships/hyperlink" Target="https://advance.lexis.com/api/document?collection=cases-ca&amp;id=urn:contentItem:5F7T-S7D1-JS5Y-B28F-00000-00&amp;context=" TargetMode="External" /><Relationship Id="rId230" Type="http://schemas.openxmlformats.org/officeDocument/2006/relationships/footer" Target="footer35.xml" /><Relationship Id="rId231" Type="http://schemas.openxmlformats.org/officeDocument/2006/relationships/header" Target="header36.xml" /><Relationship Id="rId232" Type="http://schemas.openxmlformats.org/officeDocument/2006/relationships/footer" Target="footer36.xml" /><Relationship Id="rId233" Type="http://schemas.openxmlformats.org/officeDocument/2006/relationships/hyperlink" Target="https://advance.lexis.com/api/document?collection=cases-ca&amp;id=urn:contentItem:5F7T-S7N1-F06F-24NV-00000-00&amp;context=" TargetMode="External" /><Relationship Id="rId234" Type="http://schemas.openxmlformats.org/officeDocument/2006/relationships/hyperlink" Target="https://advance.lexis.com/api/document?collection=cases-ca&amp;id=urn:contentItem:5F7T-S711-F4GK-M2FW-00000-00&amp;context=" TargetMode="External" /><Relationship Id="rId235" Type="http://schemas.openxmlformats.org/officeDocument/2006/relationships/header" Target="header37.xml" /><Relationship Id="rId236" Type="http://schemas.openxmlformats.org/officeDocument/2006/relationships/header" Target="header38.xml" /><Relationship Id="rId237" Type="http://schemas.openxmlformats.org/officeDocument/2006/relationships/footer" Target="footer37.xml" /><Relationship Id="rId238" Type="http://schemas.openxmlformats.org/officeDocument/2006/relationships/footer" Target="footer38.xml" /><Relationship Id="rId239" Type="http://schemas.openxmlformats.org/officeDocument/2006/relationships/header" Target="header39.xml" /><Relationship Id="rId24" Type="http://schemas.openxmlformats.org/officeDocument/2006/relationships/hyperlink" Target="https://advance.lexis.com/api/document?collection=cases-ca&amp;id=urn:contentItem:5F7T-S7D1-JS5Y-B28G-00000-00&amp;context=" TargetMode="External" /><Relationship Id="rId240" Type="http://schemas.openxmlformats.org/officeDocument/2006/relationships/footer" Target="footer39.xml" /><Relationship Id="rId241" Type="http://schemas.openxmlformats.org/officeDocument/2006/relationships/hyperlink" Target="https://advance.lexis.com/api/document?collection=cases-ca&amp;id=urn:contentItem:5F7T-S7K1-JKHB-62Y0-00000-00&amp;context=" TargetMode="External" /><Relationship Id="rId242" Type="http://schemas.openxmlformats.org/officeDocument/2006/relationships/hyperlink" Target="https://advance.lexis.com/api/document?collection=legislation-ca&amp;id=urn:contentItem:5F41-1FJ1-JBDT-B066-00000-00&amp;context=" TargetMode="External" /><Relationship Id="rId243" Type="http://schemas.openxmlformats.org/officeDocument/2006/relationships/hyperlink" Target="https://advance.lexis.com/api/document?collection=cases-ca&amp;id=urn:contentItem:5F7T-S761-JGHR-M2F7-00000-00&amp;context=" TargetMode="External" /><Relationship Id="rId244" Type="http://schemas.openxmlformats.org/officeDocument/2006/relationships/hyperlink" Target="https://advance.lexis.com/api/document?collection=cases-ca&amp;id=urn:contentItem:5F7T-S7G1-JBT7-X420-00000-00&amp;context=" TargetMode="External" /><Relationship Id="rId245" Type="http://schemas.openxmlformats.org/officeDocument/2006/relationships/hyperlink" Target="https://advance.lexis.com/api/document?collection=cases-ca&amp;id=urn:contentItem:5F16-93C1-JWR6-S00T-00000-00&amp;context=" TargetMode="External" /><Relationship Id="rId246" Type="http://schemas.openxmlformats.org/officeDocument/2006/relationships/hyperlink" Target="https://advance.lexis.com/api/document?collection=cases-ca&amp;id=urn:contentItem:5F7T-S731-JNJT-B1P8-00000-00&amp;context=" TargetMode="External" /><Relationship Id="rId247" Type="http://schemas.openxmlformats.org/officeDocument/2006/relationships/hyperlink" Target="https://advance.lexis.com/api/document?collection=cases-ca&amp;id=urn:contentItem:5F7T-S6Y1-JTNR-M4HV-00000-00&amp;context=" TargetMode="External" /><Relationship Id="rId248" Type="http://schemas.openxmlformats.org/officeDocument/2006/relationships/hyperlink" Target="https://advance.lexis.com/api/document?collection=cases-ca&amp;id=urn:contentItem:5F7T-S6X1-F1H1-212M-00000-00&amp;context=" TargetMode="External" /><Relationship Id="rId249" Type="http://schemas.openxmlformats.org/officeDocument/2006/relationships/hyperlink" Target="https://advance.lexis.com/api/document?collection=cases-ca&amp;id=urn:contentItem:5F7T-S7D1-F7ND-G09B-00000-00&amp;context=" TargetMode="External" /><Relationship Id="rId25" Type="http://schemas.openxmlformats.org/officeDocument/2006/relationships/hyperlink" Target="https://advance.lexis.com/api/document?collection=cases-ca&amp;id=urn:contentItem:5F7T-S7D1-JS5Y-B28H-00000-00&amp;context=" TargetMode="External" /><Relationship Id="rId250" Type="http://schemas.openxmlformats.org/officeDocument/2006/relationships/header" Target="header40.xml" /><Relationship Id="rId251" Type="http://schemas.openxmlformats.org/officeDocument/2006/relationships/header" Target="header41.xml" /><Relationship Id="rId252" Type="http://schemas.openxmlformats.org/officeDocument/2006/relationships/footer" Target="footer40.xml" /><Relationship Id="rId253" Type="http://schemas.openxmlformats.org/officeDocument/2006/relationships/footer" Target="footer41.xml" /><Relationship Id="rId254" Type="http://schemas.openxmlformats.org/officeDocument/2006/relationships/header" Target="header42.xml" /><Relationship Id="rId255" Type="http://schemas.openxmlformats.org/officeDocument/2006/relationships/footer" Target="footer42.xml" /><Relationship Id="rId256" Type="http://schemas.openxmlformats.org/officeDocument/2006/relationships/hyperlink" Target="https://advance.lexis.com/api/document?collection=cases-ca&amp;id=urn:contentItem:5N7F-GP91-FGRY-B0SX-00000-00&amp;context=" TargetMode="External" /><Relationship Id="rId257" Type="http://schemas.openxmlformats.org/officeDocument/2006/relationships/hyperlink" Target="https://advance.lexis.com/api/document?collection=legislation-ca&amp;id=urn:contentItem:5F41-1FG1-FC1F-M0T5-00000-00&amp;context=" TargetMode="External" /><Relationship Id="rId258" Type="http://schemas.openxmlformats.org/officeDocument/2006/relationships/hyperlink" Target="https://advance.lexis.com/api/document?collection=cases-ca&amp;id=urn:contentItem:5F7T-S6Y1-F65M-6050-00000-00&amp;context=" TargetMode="External" /><Relationship Id="rId259" Type="http://schemas.openxmlformats.org/officeDocument/2006/relationships/hyperlink" Target="https://advance.lexis.com/api/document?collection=cases-ca&amp;id=urn:contentItem:5F7T-S7K1-JKHB-62SX-00000-00&amp;context=" TargetMode="External" /><Relationship Id="rId26" Type="http://schemas.openxmlformats.org/officeDocument/2006/relationships/hyperlink" Target="https://advance.lexis.com/api/document?collection=cases-ca&amp;id=urn:contentItem:5F7T-S7H1-K054-G2BY-00000-00&amp;context=" TargetMode="External" /><Relationship Id="rId260" Type="http://schemas.openxmlformats.org/officeDocument/2006/relationships/hyperlink" Target="https://advance.lexis.com/api/document?collection=cases-ca&amp;id=urn:contentItem:5F7T-S7D1-FCSB-S353-00000-00&amp;context=" TargetMode="External" /><Relationship Id="rId261" Type="http://schemas.openxmlformats.org/officeDocument/2006/relationships/hyperlink" Target="https://advance.lexis.com/api/document?collection=cases-ca&amp;id=urn:contentItem:5F7T-S7P1-JP4G-61WY-00000-00&amp;context=" TargetMode="External" /><Relationship Id="rId262" Type="http://schemas.openxmlformats.org/officeDocument/2006/relationships/hyperlink" Target="https://advance.lexis.com/api/document?collection=cases-ca&amp;id=urn:contentItem:5F8P-SCY1-F65M-62WJ-00000-00&amp;context=" TargetMode="External" /><Relationship Id="rId263" Type="http://schemas.openxmlformats.org/officeDocument/2006/relationships/hyperlink" Target="https://advance.lexis.com/api/document?collection=cases-ca&amp;id=urn:contentItem:5F8T-N3V1-JF75-M3V2-00000-00&amp;context=" TargetMode="External" /><Relationship Id="rId264" Type="http://schemas.openxmlformats.org/officeDocument/2006/relationships/hyperlink" Target="https://advance.lexis.com/api/document?collection=cases-ca&amp;id=urn:contentItem:5F7T-S7C1-JXG3-X03T-00000-00&amp;context=" TargetMode="External" /><Relationship Id="rId265" Type="http://schemas.openxmlformats.org/officeDocument/2006/relationships/hyperlink" Target="https://advance.lexis.com/api/document?collection=cases-ca&amp;id=urn:contentItem:5F81-VJW1-FGY5-M2PM-00000-00&amp;context=" TargetMode="External" /><Relationship Id="rId266" Type="http://schemas.openxmlformats.org/officeDocument/2006/relationships/hyperlink" Target="https://advance.lexis.com/api/document?collection=cases-ca&amp;id=urn:contentItem:5F8T-N3T1-JJSF-2339-00000-00&amp;context=" TargetMode="External" /><Relationship Id="rId267" Type="http://schemas.openxmlformats.org/officeDocument/2006/relationships/header" Target="header43.xml" /><Relationship Id="rId268" Type="http://schemas.openxmlformats.org/officeDocument/2006/relationships/header" Target="header44.xml" /><Relationship Id="rId269" Type="http://schemas.openxmlformats.org/officeDocument/2006/relationships/footer" Target="footer43.xml" /><Relationship Id="rId27" Type="http://schemas.openxmlformats.org/officeDocument/2006/relationships/hyperlink" Target="https://advance.lexis.com/api/document?collection=cases-ca&amp;id=urn:contentItem:5F81-VJS1-FFFC-B2NJ-00000-00&amp;context=" TargetMode="External" /><Relationship Id="rId270" Type="http://schemas.openxmlformats.org/officeDocument/2006/relationships/footer" Target="footer44.xml" /><Relationship Id="rId271" Type="http://schemas.openxmlformats.org/officeDocument/2006/relationships/header" Target="header45.xml" /><Relationship Id="rId272" Type="http://schemas.openxmlformats.org/officeDocument/2006/relationships/footer" Target="footer45.xml" /><Relationship Id="rId273" Type="http://schemas.openxmlformats.org/officeDocument/2006/relationships/hyperlink" Target="https://advance.lexis.com/api/document?collection=cases-ca&amp;id=urn:contentItem:5K6Y-81M1-F81W-23TD-00000-00&amp;context=" TargetMode="External" /><Relationship Id="rId274" Type="http://schemas.openxmlformats.org/officeDocument/2006/relationships/hyperlink" Target="https://advance.lexis.com/api/document?collection=cases-ca&amp;id=urn:contentItem:5F7T-S7K1-JX3N-B363-00000-00&amp;context=" TargetMode="External" /><Relationship Id="rId275" Type="http://schemas.openxmlformats.org/officeDocument/2006/relationships/hyperlink" Target="https://advance.lexis.com/api/document?collection=cases-ca&amp;id=urn:contentItem:5K6Y-81M1-F81W-23SK-00000-00&amp;context=" TargetMode="External" /><Relationship Id="rId276" Type="http://schemas.openxmlformats.org/officeDocument/2006/relationships/hyperlink" Target="https://advance.lexis.com/api/document?collection=cases-ca&amp;id=urn:contentItem:5F7T-S7J1-JNS1-M223-00000-00&amp;context=" TargetMode="External" /><Relationship Id="rId277" Type="http://schemas.openxmlformats.org/officeDocument/2006/relationships/hyperlink" Target="https://advance.lexis.com/api/document?collection=cases-ca&amp;id=urn:contentItem:5F7T-S7H1-FCSB-S3PW-00000-00&amp;context=" TargetMode="External" /><Relationship Id="rId278" Type="http://schemas.openxmlformats.org/officeDocument/2006/relationships/hyperlink" Target="https://advance.lexis.com/api/document?collection=cases-ca&amp;id=urn:contentItem:5F7T-S7J1-FGCG-S0BR-00000-00&amp;context=" TargetMode="External" /><Relationship Id="rId279" Type="http://schemas.openxmlformats.org/officeDocument/2006/relationships/hyperlink" Target="https://advance.lexis.com/api/document?collection=cases-ca&amp;id=urn:contentItem:5F7T-S7H1-FCSB-S3RP-00000-00&amp;context=" TargetMode="External" /><Relationship Id="rId28" Type="http://schemas.openxmlformats.org/officeDocument/2006/relationships/hyperlink" Target="https://advance.lexis.com/api/document?collection=cases-ca&amp;id=urn:contentItem:5F7T-S751-F361-M0PS-00000-00&amp;context=" TargetMode="External" /><Relationship Id="rId280" Type="http://schemas.openxmlformats.org/officeDocument/2006/relationships/hyperlink" Target="https://advance.lexis.com/api/document?collection=cases-ca&amp;id=urn:contentItem:5F7T-S7K1-JX3N-B30G-00000-00&amp;context=" TargetMode="External" /><Relationship Id="rId281" Type="http://schemas.openxmlformats.org/officeDocument/2006/relationships/header" Target="header46.xml" /><Relationship Id="rId282" Type="http://schemas.openxmlformats.org/officeDocument/2006/relationships/header" Target="header47.xml" /><Relationship Id="rId283" Type="http://schemas.openxmlformats.org/officeDocument/2006/relationships/footer" Target="footer46.xml" /><Relationship Id="rId284" Type="http://schemas.openxmlformats.org/officeDocument/2006/relationships/footer" Target="footer47.xml" /><Relationship Id="rId285" Type="http://schemas.openxmlformats.org/officeDocument/2006/relationships/header" Target="header48.xml" /><Relationship Id="rId286" Type="http://schemas.openxmlformats.org/officeDocument/2006/relationships/footer" Target="footer48.xml" /><Relationship Id="rId287" Type="http://schemas.openxmlformats.org/officeDocument/2006/relationships/hyperlink" Target="https://advance.lexis.com/api/document?collection=cases-ca&amp;id=urn:contentItem:5WMJ-98H1-DY89-M0PM-00000-00&amp;context=" TargetMode="External" /><Relationship Id="rId288" Type="http://schemas.openxmlformats.org/officeDocument/2006/relationships/hyperlink" Target="https://advance.lexis.com/api/document?collection=legislation-ca&amp;id=urn:contentItem:5F41-1FG1-FC1F-M0TD-00000-00&amp;context=" TargetMode="External" /><Relationship Id="rId289" Type="http://schemas.openxmlformats.org/officeDocument/2006/relationships/hyperlink" Target="https://advance.lexis.com/api/document?collection=cases-ca&amp;id=urn:contentItem:5F7T-S7D1-F7ND-G0FM-00000-00&amp;context=" TargetMode="External" /><Relationship Id="rId29" Type="http://schemas.openxmlformats.org/officeDocument/2006/relationships/hyperlink" Target="https://advance.lexis.com/api/document?collection=cases-ca&amp;id=urn:contentItem:5F7T-S771-JW5H-X1W2-00000-00&amp;context=" TargetMode="External" /><Relationship Id="rId290" Type="http://schemas.openxmlformats.org/officeDocument/2006/relationships/hyperlink" Target="https://advance.lexis.com/api/document?collection=cases-ca&amp;id=urn:contentItem:5F7T-S6T1-JTNR-M2MX-00000-00&amp;context=" TargetMode="External" /><Relationship Id="rId291" Type="http://schemas.openxmlformats.org/officeDocument/2006/relationships/hyperlink" Target="https://advance.lexis.com/api/document?collection=cases-ca&amp;id=urn:contentItem:5F7T-S771-JN14-G2DF-00000-00&amp;context=" TargetMode="External" /><Relationship Id="rId292" Type="http://schemas.openxmlformats.org/officeDocument/2006/relationships/hyperlink" Target="https://advance.lexis.com/api/document?collection=cases-ca&amp;id=urn:contentItem:5F7T-S741-F528-G21K-00000-00&amp;context=" TargetMode="External" /><Relationship Id="rId293" Type="http://schemas.openxmlformats.org/officeDocument/2006/relationships/hyperlink" Target="https://advance.lexis.com/api/document?collection=cases-ca&amp;id=urn:contentItem:5F7T-S7K1-JSJC-X15J-00000-00&amp;context=" TargetMode="External" /><Relationship Id="rId294" Type="http://schemas.openxmlformats.org/officeDocument/2006/relationships/hyperlink" Target="https://advance.lexis.com/api/document?collection=cases-ca&amp;id=urn:contentItem:5F7T-S7D1-JXG3-X0PB-00000-00&amp;context=" TargetMode="External" /><Relationship Id="rId295" Type="http://schemas.openxmlformats.org/officeDocument/2006/relationships/header" Target="header49.xml" /><Relationship Id="rId296" Type="http://schemas.openxmlformats.org/officeDocument/2006/relationships/header" Target="header50.xml" /><Relationship Id="rId297" Type="http://schemas.openxmlformats.org/officeDocument/2006/relationships/footer" Target="footer49.xml" /><Relationship Id="rId298" Type="http://schemas.openxmlformats.org/officeDocument/2006/relationships/footer" Target="footer50.xml" /><Relationship Id="rId299" Type="http://schemas.openxmlformats.org/officeDocument/2006/relationships/header" Target="header51.xml" /><Relationship Id="rId3" Type="http://schemas.openxmlformats.org/officeDocument/2006/relationships/fontTable" Target="fontTable.xml" /><Relationship Id="rId30" Type="http://schemas.openxmlformats.org/officeDocument/2006/relationships/hyperlink" Target="https://advance.lexis.com/api/document?collection=cases-ca&amp;id=urn:contentItem:5F7T-S711-F4GK-M2M0-00000-00&amp;context=" TargetMode="External" /><Relationship Id="rId300" Type="http://schemas.openxmlformats.org/officeDocument/2006/relationships/footer" Target="footer51.xml" /><Relationship Id="rId301" Type="http://schemas.openxmlformats.org/officeDocument/2006/relationships/hyperlink" Target="https://advance.lexis.com/api/document?collection=cases-ca&amp;id=urn:contentItem:5M13-K1S1-JKHB-645C-00000-00&amp;context=" TargetMode="External" /><Relationship Id="rId302" Type="http://schemas.openxmlformats.org/officeDocument/2006/relationships/hyperlink" Target="https://advance.lexis.com/api/document?collection=cases-ca&amp;id=urn:contentItem:5F7V-3DJ1-F30T-B3HY-00000-00&amp;context=" TargetMode="External" /><Relationship Id="rId303" Type="http://schemas.openxmlformats.org/officeDocument/2006/relationships/hyperlink" Target="https://advance.lexis.com/api/document?collection=cases-ca&amp;id=urn:contentItem:5F8P-SFV1-JGHR-M19X-00000-00&amp;context=" TargetMode="External" /><Relationship Id="rId304" Type="http://schemas.openxmlformats.org/officeDocument/2006/relationships/hyperlink" Target="https://advance.lexis.com/api/document?collection=cases-ca&amp;id=urn:contentItem:5F8T-N3V1-FH4C-X253-00000-00&amp;context=" TargetMode="External" /><Relationship Id="rId305" Type="http://schemas.openxmlformats.org/officeDocument/2006/relationships/hyperlink" Target="https://advance.lexis.com/api/document?collection=cases-ca&amp;id=urn:contentItem:5F7T-S7F1-JBT7-X2P8-00000-00&amp;context=" TargetMode="External" /><Relationship Id="rId306" Type="http://schemas.openxmlformats.org/officeDocument/2006/relationships/hyperlink" Target="https://advance.lexis.com/api/document?collection=cases-ca&amp;id=urn:contentItem:5F7T-S7C1-F4NT-X31C-00000-00&amp;context=" TargetMode="External" /><Relationship Id="rId307" Type="http://schemas.openxmlformats.org/officeDocument/2006/relationships/hyperlink" Target="https://advance.lexis.com/api/document?collection=cases-ca&amp;id=urn:contentItem:5F7T-S7D1-FCSB-S2VM-00000-00&amp;context=" TargetMode="External" /><Relationship Id="rId308" Type="http://schemas.openxmlformats.org/officeDocument/2006/relationships/hyperlink" Target="https://advance.lexis.com/api/document?collection=cases-ca&amp;id=urn:contentItem:5F8T-N3T1-JFKM-6519-00000-00&amp;context=" TargetMode="External" /><Relationship Id="rId309" Type="http://schemas.openxmlformats.org/officeDocument/2006/relationships/hyperlink" Target="https://advance.lexis.com/api/document?collection=cases-ca&amp;id=urn:contentItem:5F8T-N3V1-JFKM-6052-00000-00&amp;context=" TargetMode="External" /><Relationship Id="rId31" Type="http://schemas.openxmlformats.org/officeDocument/2006/relationships/hyperlink" Target="https://iclr.co.uk/pubrefLookup/redirectTo?ref=1924+P.+140" TargetMode="External" /><Relationship Id="rId310" Type="http://schemas.openxmlformats.org/officeDocument/2006/relationships/hyperlink" Target="https://advance.lexis.com/api/document?collection=cases-ca&amp;id=urn:contentItem:5F8T-N3V1-JFKM-608J-00000-00&amp;context=" TargetMode="External" /><Relationship Id="rId311" Type="http://schemas.openxmlformats.org/officeDocument/2006/relationships/hyperlink" Target="https://advance.lexis.com/api/document?collection=cases-ca&amp;id=urn:contentItem:5F7T-S7G1-FCYK-206N-00000-00&amp;context=" TargetMode="External" /><Relationship Id="rId312" Type="http://schemas.openxmlformats.org/officeDocument/2006/relationships/hyperlink" Target="https://advance.lexis.com/api/document?collection=cases-ca&amp;id=urn:contentItem:5F81-VJX1-JJYN-B4WF-00000-00&amp;context=" TargetMode="External" /><Relationship Id="rId313" Type="http://schemas.openxmlformats.org/officeDocument/2006/relationships/hyperlink" Target="https://advance.lexis.com/api/document?collection=cases-ca&amp;id=urn:contentItem:5FX0-MRR1-JSJC-X155-00000-00&amp;context=" TargetMode="External" /><Relationship Id="rId314" Type="http://schemas.openxmlformats.org/officeDocument/2006/relationships/hyperlink" Target="https://advance.lexis.com/api/document?collection=cases-ca&amp;id=urn:contentItem:5F8T-N3V1-FC1F-M3W8-00000-00&amp;context=" TargetMode="External" /><Relationship Id="rId315" Type="http://schemas.openxmlformats.org/officeDocument/2006/relationships/hyperlink" Target="https://advance.lexis.com/api/document?collection=cases-ca&amp;id=urn:contentItem:5F8T-N3V1-JFKM-60BP-00000-00&amp;context=" TargetMode="External" /><Relationship Id="rId316" Type="http://schemas.openxmlformats.org/officeDocument/2006/relationships/hyperlink" Target="https://advance.lexis.com/api/document?collection=cases-ca&amp;id=urn:contentItem:5F7T-S7K1-JWXF-20TC-00000-00&amp;context=" TargetMode="External" /><Relationship Id="rId317" Type="http://schemas.openxmlformats.org/officeDocument/2006/relationships/hyperlink" Target="https://advance.lexis.com/api/document?collection=cases-ca&amp;id=urn:contentItem:5F8T-N3V1-JF75-M3VS-00000-00&amp;context=" TargetMode="External" /><Relationship Id="rId318" Type="http://schemas.openxmlformats.org/officeDocument/2006/relationships/hyperlink" Target="https://advance.lexis.com/api/document?collection=cases-ca&amp;id=urn:contentItem:5F8T-N3T1-JGHR-M1Y0-00000-00&amp;context=" TargetMode="External" /><Relationship Id="rId319" Type="http://schemas.openxmlformats.org/officeDocument/2006/relationships/hyperlink" Target="https://advance.lexis.com/api/document?collection=cases-ca&amp;id=urn:contentItem:5F81-VJV1-JBM1-M4BF-00000-00&amp;context=" TargetMode="External" /><Relationship Id="rId32" Type="http://schemas.openxmlformats.org/officeDocument/2006/relationships/image" Target="media/image1.png" /><Relationship Id="rId320" Type="http://schemas.openxmlformats.org/officeDocument/2006/relationships/header" Target="header52.xml" /><Relationship Id="rId321" Type="http://schemas.openxmlformats.org/officeDocument/2006/relationships/header" Target="header53.xml" /><Relationship Id="rId322" Type="http://schemas.openxmlformats.org/officeDocument/2006/relationships/footer" Target="footer52.xml" /><Relationship Id="rId323" Type="http://schemas.openxmlformats.org/officeDocument/2006/relationships/footer" Target="footer53.xml" /><Relationship Id="rId324" Type="http://schemas.openxmlformats.org/officeDocument/2006/relationships/header" Target="header54.xml" /><Relationship Id="rId325" Type="http://schemas.openxmlformats.org/officeDocument/2006/relationships/footer" Target="footer54.xml" /><Relationship Id="rId326" Type="http://schemas.openxmlformats.org/officeDocument/2006/relationships/hyperlink" Target="https://advance.lexis.com/api/document?collection=cases-ca&amp;id=urn:contentItem:5F7T-S7M1-JNCK-22C3-00000-00&amp;context=" TargetMode="External" /><Relationship Id="rId327" Type="http://schemas.openxmlformats.org/officeDocument/2006/relationships/hyperlink" Target="https://advance.lexis.com/api/document?collection=legislation-ca&amp;id=urn:contentItem:5F41-1FG1-FC1F-M0TW-00000-00&amp;context=" TargetMode="External" /><Relationship Id="rId328" Type="http://schemas.openxmlformats.org/officeDocument/2006/relationships/hyperlink" Target="https://advance.lexis.com/api/document?collection=cases-ca&amp;id=urn:contentItem:5F7T-S7F1-FJTD-G3FY-00000-00&amp;context=" TargetMode="External" /><Relationship Id="rId329" Type="http://schemas.openxmlformats.org/officeDocument/2006/relationships/hyperlink" Target="https://advance.lexis.com/api/document?collection=cases-ca&amp;id=urn:contentItem:5F7T-S701-JF75-M4G1-00000-00&amp;context=" TargetMode="External" /><Relationship Id="rId33" Type="http://schemas.openxmlformats.org/officeDocument/2006/relationships/hyperlink" Target="https://advance.lexis.com/api/document?collection=cases-ca&amp;id=urn:contentItem:5F7T-S741-DY89-M3N5-00000-00&amp;context=" TargetMode="External" /><Relationship Id="rId330" Type="http://schemas.openxmlformats.org/officeDocument/2006/relationships/hyperlink" Target="https://advance.lexis.com/api/document?collection=cases-ca&amp;id=urn:contentItem:5F7T-S7J1-JGBH-B2H0-00000-00&amp;context=" TargetMode="External" /><Relationship Id="rId331" Type="http://schemas.openxmlformats.org/officeDocument/2006/relationships/hyperlink" Target="https://advance.lexis.com/api/document?collection=cases-ca&amp;id=urn:contentItem:5F7T-S741-DXPM-S0WH-00000-00&amp;context=" TargetMode="External" /><Relationship Id="rId332" Type="http://schemas.openxmlformats.org/officeDocument/2006/relationships/hyperlink" Target="https://advance.lexis.com/api/document?collection=cases-ca&amp;id=urn:contentItem:5F8T-N3V1-JTGH-B14C-00000-00&amp;context=" TargetMode="External" /><Relationship Id="rId333" Type="http://schemas.openxmlformats.org/officeDocument/2006/relationships/hyperlink" Target="https://advance.lexis.com/api/document?collection=cases-ca&amp;id=urn:contentItem:5F7T-S6W1-F528-G1K8-00000-00&amp;context=" TargetMode="External" /><Relationship Id="rId334" Type="http://schemas.openxmlformats.org/officeDocument/2006/relationships/hyperlink" Target="https://advance.lexis.com/api/document?collection=cases-ca&amp;id=urn:contentItem:5F7T-S771-JWBS-61JR-00000-00&amp;context=" TargetMode="External" /><Relationship Id="rId335" Type="http://schemas.openxmlformats.org/officeDocument/2006/relationships/hyperlink" Target="https://advance.lexis.com/api/document?collection=cases-ca&amp;id=urn:contentItem:5F7T-S781-DYMS-61GK-00000-00&amp;context=" TargetMode="External" /><Relationship Id="rId336" Type="http://schemas.openxmlformats.org/officeDocument/2006/relationships/hyperlink" Target="https://advance.lexis.com/api/document?collection=cases-ca&amp;id=urn:contentItem:5F7T-S701-JJ6S-61J5-00000-00&amp;context=" TargetMode="External" /><Relationship Id="rId337" Type="http://schemas.openxmlformats.org/officeDocument/2006/relationships/hyperlink" Target="https://advance.lexis.com/api/document?collection=cases-ca&amp;id=urn:contentItem:5F7T-S7C1-JSRM-60TS-00000-00&amp;context=" TargetMode="External" /><Relationship Id="rId338" Type="http://schemas.openxmlformats.org/officeDocument/2006/relationships/header" Target="header55.xml" /><Relationship Id="rId339" Type="http://schemas.openxmlformats.org/officeDocument/2006/relationships/header" Target="header56.xml" /><Relationship Id="rId34" Type="http://schemas.openxmlformats.org/officeDocument/2006/relationships/hyperlink" Target="https://advance.lexis.com/api/document?collection=cases-ca&amp;id=urn:contentItem:5F7T-S701-JJ6S-61CP-00000-00&amp;context=" TargetMode="External" /><Relationship Id="rId340" Type="http://schemas.openxmlformats.org/officeDocument/2006/relationships/footer" Target="footer55.xml" /><Relationship Id="rId341" Type="http://schemas.openxmlformats.org/officeDocument/2006/relationships/footer" Target="footer56.xml" /><Relationship Id="rId342" Type="http://schemas.openxmlformats.org/officeDocument/2006/relationships/header" Target="header57.xml" /><Relationship Id="rId343" Type="http://schemas.openxmlformats.org/officeDocument/2006/relationships/footer" Target="footer57.xml" /><Relationship Id="rId344" Type="http://schemas.openxmlformats.org/officeDocument/2006/relationships/hyperlink" Target="https://advance.lexis.com/api/document?collection=cases-ca&amp;id=urn:contentItem:5F7T-S7N1-F06F-249Y-00000-00&amp;context=" TargetMode="External" /><Relationship Id="rId345" Type="http://schemas.openxmlformats.org/officeDocument/2006/relationships/hyperlink" Target="https://advance.lexis.com/api/document?collection=cases-ca&amp;id=urn:contentItem:5F7T-S7M1-JCRC-B1X4-00000-00&amp;context=" TargetMode="External" /><Relationship Id="rId346" Type="http://schemas.openxmlformats.org/officeDocument/2006/relationships/hyperlink" Target="https://advance.lexis.com/api/document?collection=cases-ca&amp;id=urn:contentItem:5F8T-N3T1-JFKM-655K-00000-00&amp;context=" TargetMode="External" /><Relationship Id="rId347" Type="http://schemas.openxmlformats.org/officeDocument/2006/relationships/hyperlink" Target="https://advance.lexis.com/api/document?collection=cases-ca&amp;id=urn:contentItem:5F8T-N3S1-JBDT-B01P-00000-00&amp;context=" TargetMode="External" /><Relationship Id="rId348" Type="http://schemas.openxmlformats.org/officeDocument/2006/relationships/hyperlink" Target="https://advance.lexis.com/api/document?collection=cases-ca&amp;id=urn:contentItem:5F8T-N3T1-JGHR-M21F-00000-00&amp;context=" TargetMode="External" /><Relationship Id="rId349" Type="http://schemas.openxmlformats.org/officeDocument/2006/relationships/hyperlink" Target="https://advance.lexis.com/api/document?collection=cases-ca&amp;id=urn:contentItem:5F7T-S6Y1-JNY7-X2P6-00000-00&amp;context=" TargetMode="External" /><Relationship Id="rId35" Type="http://schemas.openxmlformats.org/officeDocument/2006/relationships/hyperlink" Target="https://advance.lexis.com/api/document?collection=cases-ca&amp;id=urn:contentItem:5F7V-3DK1-FCYK-241R-00000-00&amp;context=" TargetMode="External" /><Relationship Id="rId350" Type="http://schemas.openxmlformats.org/officeDocument/2006/relationships/hyperlink" Target="https://advance.lexis.com/api/document?collection=cases-ca&amp;id=urn:contentItem:5F8T-N3T1-JFKM-6524-00000-00&amp;context=" TargetMode="External" /><Relationship Id="rId351" Type="http://schemas.openxmlformats.org/officeDocument/2006/relationships/hyperlink" Target="https://advance.lexis.com/api/document?collection=cases-ca&amp;id=urn:contentItem:5F7T-S7K1-JWXF-20X0-00000-00&amp;context=" TargetMode="External" /><Relationship Id="rId352" Type="http://schemas.openxmlformats.org/officeDocument/2006/relationships/hyperlink" Target="https://advance.lexis.com/api/document?collection=cases-ca&amp;id=urn:contentItem:5F8T-N3V1-JTGH-B153-00000-00&amp;context=" TargetMode="External" /><Relationship Id="rId353" Type="http://schemas.openxmlformats.org/officeDocument/2006/relationships/hyperlink" Target="https://advance.lexis.com/api/document?collection=cases-ca&amp;id=urn:contentItem:5F8T-N3V1-JTGH-B18F-00000-00&amp;context=" TargetMode="External" /><Relationship Id="rId354" Type="http://schemas.openxmlformats.org/officeDocument/2006/relationships/hyperlink" Target="https://advance.lexis.com/api/document?collection=cases-ca&amp;id=urn:contentItem:5F7T-S7K1-JX3N-B2V4-00000-00&amp;context=" TargetMode="External" /><Relationship Id="rId355" Type="http://schemas.openxmlformats.org/officeDocument/2006/relationships/hyperlink" Target="https://advance.lexis.com/api/document?collection=cases-ca&amp;id=urn:contentItem:5F8T-N3P1-F7ND-G14C-00000-00&amp;context=" TargetMode="External" /><Relationship Id="rId356" Type="http://schemas.openxmlformats.org/officeDocument/2006/relationships/hyperlink" Target="https://advance.lexis.com/api/document?collection=cases-ca&amp;id=urn:contentItem:5F81-YGW1-DYFH-X025-00000-00&amp;context=" TargetMode="External" /><Relationship Id="rId357" Type="http://schemas.openxmlformats.org/officeDocument/2006/relationships/hyperlink" Target="https://advance.lexis.com/api/document?collection=cases-ca&amp;id=urn:contentItem:5F8P-SC71-JK4W-M2MK-00000-00&amp;context=" TargetMode="External" /><Relationship Id="rId358" Type="http://schemas.openxmlformats.org/officeDocument/2006/relationships/hyperlink" Target="https://advance.lexis.com/api/document?collection=cases-ca&amp;id=urn:contentItem:5F8T-N3V1-JF75-M3WX-00000-00&amp;context=" TargetMode="External" /><Relationship Id="rId359" Type="http://schemas.openxmlformats.org/officeDocument/2006/relationships/hyperlink" Target="https://advance.lexis.com/api/document?collection=cases-ca&amp;id=urn:contentItem:5F16-9321-FC1F-M53V-00000-00&amp;context=" TargetMode="External" /><Relationship Id="rId36" Type="http://schemas.openxmlformats.org/officeDocument/2006/relationships/hyperlink" Target="https://advance.lexis.com/api/document?collection=cases-ca&amp;id=urn:contentItem:5F81-VJS1-JN6B-S38D-00000-00&amp;context=" TargetMode="External" /><Relationship Id="rId360" Type="http://schemas.openxmlformats.org/officeDocument/2006/relationships/hyperlink" Target="https://advance.lexis.com/api/document?collection=cases-ca&amp;id=urn:contentItem:5F7T-S721-F06F-230Y-00000-00&amp;context=" TargetMode="External" /><Relationship Id="rId361" Type="http://schemas.openxmlformats.org/officeDocument/2006/relationships/hyperlink" Target="https://advance.lexis.com/api/document?collection=cases-ca&amp;id=urn:contentItem:5F7T-S7K1-F528-G2XC-00000-00&amp;context=" TargetMode="External" /><Relationship Id="rId362" Type="http://schemas.openxmlformats.org/officeDocument/2006/relationships/hyperlink" Target="https://advance.lexis.com/api/document?collection=cases-ca&amp;id=urn:contentItem:5F7T-S7M1-F4W2-626V-00000-00&amp;context=" TargetMode="External" /><Relationship Id="rId363" Type="http://schemas.openxmlformats.org/officeDocument/2006/relationships/hyperlink" Target="https://advance.lexis.com/api/document?collection=cases-ca&amp;id=urn:contentItem:5F7T-S7D1-FBFS-S1M7-00000-00&amp;context=" TargetMode="External" /><Relationship Id="rId364" Type="http://schemas.openxmlformats.org/officeDocument/2006/relationships/hyperlink" Target="https://advance.lexis.com/api/document?collection=cases-ca&amp;id=urn:contentItem:5F8T-N3T1-JJSF-234V-00000-00&amp;context=" TargetMode="External" /><Relationship Id="rId365" Type="http://schemas.openxmlformats.org/officeDocument/2006/relationships/hyperlink" Target="https://advance.lexis.com/api/document?collection=cases-ca&amp;id=urn:contentItem:5F8T-N3S1-JT99-250X-00000-00&amp;context=" TargetMode="External" /><Relationship Id="rId366" Type="http://schemas.openxmlformats.org/officeDocument/2006/relationships/hyperlink" Target="https://advance.lexis.com/api/document?collection=cases-ca&amp;id=urn:contentItem:5F7T-S7D1-JN6B-S131-00000-00&amp;context=" TargetMode="External" /><Relationship Id="rId367" Type="http://schemas.openxmlformats.org/officeDocument/2006/relationships/hyperlink" Target="https://advance.lexis.com/api/document?collection=cases-ca&amp;id=urn:contentItem:5F7T-S7C1-FCSB-S280-00000-00&amp;context=" TargetMode="External" /><Relationship Id="rId368" Type="http://schemas.openxmlformats.org/officeDocument/2006/relationships/hyperlink" Target="https://advance.lexis.com/api/document?collection=cases-ca&amp;id=urn:contentItem:5F7T-S761-JGHR-M2KY-00000-00&amp;context=" TargetMode="External" /><Relationship Id="rId369" Type="http://schemas.openxmlformats.org/officeDocument/2006/relationships/hyperlink" Target="https://advance.lexis.com/api/document?collection=cases-ca&amp;id=urn:contentItem:5F7T-S7J1-FGCG-S0D3-00000-00&amp;context=" TargetMode="External" /><Relationship Id="rId37" Type="http://schemas.openxmlformats.org/officeDocument/2006/relationships/hyperlink" Target="https://advance.lexis.com/api/document?collection=cases-ca&amp;id=urn:contentItem:5F7T-S701-JK4W-M10D-00000-00&amp;context=" TargetMode="External" /><Relationship Id="rId370" Type="http://schemas.openxmlformats.org/officeDocument/2006/relationships/header" Target="header58.xml" /><Relationship Id="rId371" Type="http://schemas.openxmlformats.org/officeDocument/2006/relationships/header" Target="header59.xml" /><Relationship Id="rId372" Type="http://schemas.openxmlformats.org/officeDocument/2006/relationships/footer" Target="footer58.xml" /><Relationship Id="rId373" Type="http://schemas.openxmlformats.org/officeDocument/2006/relationships/footer" Target="footer59.xml" /><Relationship Id="rId374" Type="http://schemas.openxmlformats.org/officeDocument/2006/relationships/header" Target="header60.xml" /><Relationship Id="rId375" Type="http://schemas.openxmlformats.org/officeDocument/2006/relationships/footer" Target="footer60.xml" /><Relationship Id="rId376" Type="http://schemas.openxmlformats.org/officeDocument/2006/relationships/hyperlink" Target="https://advance.lexis.com/api/document?collection=cases-ca&amp;id=urn:contentItem:5F7T-S7H1-JCRC-B178-00000-00&amp;context=" TargetMode="External" /><Relationship Id="rId377" Type="http://schemas.openxmlformats.org/officeDocument/2006/relationships/hyperlink" Target="https://advance.lexis.com/api/document?collection=cases-ca&amp;id=urn:contentItem:5F7T-S7H1-JS5Y-B2TW-00000-00&amp;context=" TargetMode="External" /><Relationship Id="rId378" Type="http://schemas.openxmlformats.org/officeDocument/2006/relationships/hyperlink" Target="https://advance.lexis.com/api/document?collection=cases-ca&amp;id=urn:contentItem:5F7T-S7D1-FFFC-B1G3-00000-00&amp;context=" TargetMode="External" /><Relationship Id="rId379" Type="http://schemas.openxmlformats.org/officeDocument/2006/relationships/hyperlink" Target="https://advance.lexis.com/api/document?collection=cases-ca&amp;id=urn:contentItem:5F7T-S7F1-F7VM-S4DS-00000-00&amp;context=" TargetMode="External" /><Relationship Id="rId38" Type="http://schemas.openxmlformats.org/officeDocument/2006/relationships/hyperlink" Target="https://advance.lexis.com/api/document?collection=cases-ca&amp;id=urn:contentItem:5F81-VJW1-FGY5-M2PJ-00000-00&amp;context=" TargetMode="External" /><Relationship Id="rId380" Type="http://schemas.openxmlformats.org/officeDocument/2006/relationships/header" Target="header61.xml" /><Relationship Id="rId381" Type="http://schemas.openxmlformats.org/officeDocument/2006/relationships/header" Target="header62.xml" /><Relationship Id="rId382" Type="http://schemas.openxmlformats.org/officeDocument/2006/relationships/footer" Target="footer61.xml" /><Relationship Id="rId383" Type="http://schemas.openxmlformats.org/officeDocument/2006/relationships/footer" Target="footer62.xml" /><Relationship Id="rId384" Type="http://schemas.openxmlformats.org/officeDocument/2006/relationships/header" Target="header63.xml" /><Relationship Id="rId385" Type="http://schemas.openxmlformats.org/officeDocument/2006/relationships/footer" Target="footer63.xml" /><Relationship Id="rId386" Type="http://schemas.openxmlformats.org/officeDocument/2006/relationships/hyperlink" Target="https://advance.lexis.com/api/document?collection=cases-ca&amp;id=urn:contentItem:5F7T-S7P1-JNJT-B2VK-00000-00&amp;context=" TargetMode="External" /><Relationship Id="rId387" Type="http://schemas.openxmlformats.org/officeDocument/2006/relationships/hyperlink" Target="https://advance.lexis.com/api/document?collection=cases-ca&amp;id=urn:contentItem:5F7T-S7P1-JG02-S49B-00000-00&amp;context=" TargetMode="External" /><Relationship Id="rId388" Type="http://schemas.openxmlformats.org/officeDocument/2006/relationships/hyperlink" Target="https://advance.lexis.com/api/document?collection=cases-ca&amp;id=urn:contentItem:5F8T-N3V1-FH4C-X234-00000-00&amp;context=" TargetMode="External" /><Relationship Id="rId389" Type="http://schemas.openxmlformats.org/officeDocument/2006/relationships/hyperlink" Target="https://advance.lexis.com/api/document?collection=cases-ca&amp;id=urn:contentItem:5F7T-S791-FJTD-G2V2-00000-00&amp;context=" TargetMode="External" /><Relationship Id="rId39" Type="http://schemas.openxmlformats.org/officeDocument/2006/relationships/hyperlink" Target="https://advance.lexis.com/api/document?collection=cases-ca&amp;id=urn:contentItem:5F8P-SBT1-F8KH-X2MK-00000-00&amp;context=" TargetMode="External" /><Relationship Id="rId390" Type="http://schemas.openxmlformats.org/officeDocument/2006/relationships/hyperlink" Target="https://advance.lexis.com/api/document?collection=cases-ca&amp;id=urn:contentItem:5F7T-S7K1-JX3N-B315-00000-00&amp;context=" TargetMode="External" /><Relationship Id="rId391" Type="http://schemas.openxmlformats.org/officeDocument/2006/relationships/hyperlink" Target="https://advance.lexis.com/api/document?collection=cases-ca&amp;id=urn:contentItem:5F7T-S7G1-FCYK-208R-00000-00&amp;context=" TargetMode="External" /><Relationship Id="rId392" Type="http://schemas.openxmlformats.org/officeDocument/2006/relationships/hyperlink" Target="https://advance.lexis.com/api/document?collection=cases-ca&amp;id=urn:contentItem:5F7T-S7K1-JNY7-X4CH-00000-00&amp;context=" TargetMode="External" /><Relationship Id="rId393" Type="http://schemas.openxmlformats.org/officeDocument/2006/relationships/hyperlink" Target="https://advance.lexis.com/api/document?collection=cases-ca&amp;id=urn:contentItem:5F7T-S781-F7G6-63BD-00000-00&amp;context=" TargetMode="External" /><Relationship Id="rId394" Type="http://schemas.openxmlformats.org/officeDocument/2006/relationships/hyperlink" Target="https://advance.lexis.com/api/document?collection=cases-ca&amp;id=urn:contentItem:5F7T-S6T1-FJTD-G17V-00000-00&amp;context=" TargetMode="External" /><Relationship Id="rId395" Type="http://schemas.openxmlformats.org/officeDocument/2006/relationships/hyperlink" Target="https://advance.lexis.com/api/document?collection=cases-ca&amp;id=urn:contentItem:5F8T-N3S1-JBDT-B060-00000-00&amp;context=" TargetMode="External" /><Relationship Id="rId396" Type="http://schemas.openxmlformats.org/officeDocument/2006/relationships/hyperlink" Target="https://advance.lexis.com/api/document?collection=cases-ca&amp;id=urn:contentItem:5F7T-S721-F4NT-X295-00000-00&amp;context=" TargetMode="External" /><Relationship Id="rId397" Type="http://schemas.openxmlformats.org/officeDocument/2006/relationships/hyperlink" Target="https://advance.lexis.com/api/document?collection=cases-ca&amp;id=urn:contentItem:5F7T-S721-F06F-236K-00000-00&amp;context=" TargetMode="External" /><Relationship Id="rId398" Type="http://schemas.openxmlformats.org/officeDocument/2006/relationships/hyperlink" Target="https://advance.lexis.com/api/document?collection=cases-ca&amp;id=urn:contentItem:5F7T-S781-JSC5-M402-00000-00&amp;context=" TargetMode="External" /><Relationship Id="rId399" Type="http://schemas.openxmlformats.org/officeDocument/2006/relationships/hyperlink" Target="https://advance.lexis.com/api/document?collection=cases-ca&amp;id=urn:contentItem:5F7T-S7D1-F7ND-G0NP-00000-00&amp;context=" TargetMode="External" /><Relationship Id="rId4" Type="http://schemas.openxmlformats.org/officeDocument/2006/relationships/header" Target="header1.xml" /><Relationship Id="rId40" Type="http://schemas.openxmlformats.org/officeDocument/2006/relationships/hyperlink" Target="https://advance.lexis.com/api/document?collection=cases-ca&amp;id=urn:contentItem:5F7T-S6S1-JC5P-G0WV-00000-00&amp;context=" TargetMode="External" /><Relationship Id="rId400" Type="http://schemas.openxmlformats.org/officeDocument/2006/relationships/hyperlink" Target="https://advance.lexis.com/api/document?collection=cases-ca&amp;id=urn:contentItem:5F7T-S791-JCJ5-24WJ-00000-00&amp;context=" TargetMode="External" /><Relationship Id="rId401" Type="http://schemas.openxmlformats.org/officeDocument/2006/relationships/hyperlink" Target="https://advance.lexis.com/api/document?collection=cases-ca&amp;id=urn:contentItem:5F7T-S7F1-JK4W-M1JB-00000-00&amp;context=" TargetMode="External" /><Relationship Id="rId402" Type="http://schemas.openxmlformats.org/officeDocument/2006/relationships/hyperlink" Target="https://advance.lexis.com/api/document?collection=cases-ca&amp;id=urn:contentItem:5F7T-S7M1-JJK6-S1MK-00000-00&amp;context=" TargetMode="External" /><Relationship Id="rId403" Type="http://schemas.openxmlformats.org/officeDocument/2006/relationships/hyperlink" Target="https://advance.lexis.com/api/document?collection=cases-ca&amp;id=urn:contentItem:5F7T-S7D1-FC6N-X111-00000-00&amp;context=" TargetMode="External" /><Relationship Id="rId404" Type="http://schemas.openxmlformats.org/officeDocument/2006/relationships/hyperlink" Target="https://advance.lexis.com/api/document?collection=cases-ca&amp;id=urn:contentItem:5F7T-S7F1-FBN1-21FG-00000-00&amp;context=" TargetMode="External" /><Relationship Id="rId405" Type="http://schemas.openxmlformats.org/officeDocument/2006/relationships/hyperlink" Target="https://advance.lexis.com/api/document?collection=cases-ca&amp;id=urn:contentItem:5F7T-S7M1-JNCK-22KT-00000-00&amp;context=" TargetMode="External" /><Relationship Id="rId406" Type="http://schemas.openxmlformats.org/officeDocument/2006/relationships/hyperlink" Target="https://advance.lexis.com/api/document?collection=cases-ca&amp;id=urn:contentItem:5F7T-S7N1-JGHR-M2XK-00000-00&amp;context=" TargetMode="External" /><Relationship Id="rId407" Type="http://schemas.openxmlformats.org/officeDocument/2006/relationships/hyperlink" Target="https://advance.lexis.com/api/document?collection=cases-ca&amp;id=urn:contentItem:5F7T-S7N1-F06F-248X-00000-00&amp;context=" TargetMode="External" /><Relationship Id="rId408" Type="http://schemas.openxmlformats.org/officeDocument/2006/relationships/header" Target="header64.xml" /><Relationship Id="rId409" Type="http://schemas.openxmlformats.org/officeDocument/2006/relationships/header" Target="header65.xml" /><Relationship Id="rId41" Type="http://schemas.openxmlformats.org/officeDocument/2006/relationships/hyperlink" Target="https://advance.lexis.com/api/document?collection=cases-ca&amp;id=urn:contentItem:5F7T-S6Y1-F81W-21G3-00000-00&amp;context=" TargetMode="External" /><Relationship Id="rId410" Type="http://schemas.openxmlformats.org/officeDocument/2006/relationships/footer" Target="footer64.xml" /><Relationship Id="rId411" Type="http://schemas.openxmlformats.org/officeDocument/2006/relationships/footer" Target="footer65.xml" /><Relationship Id="rId412" Type="http://schemas.openxmlformats.org/officeDocument/2006/relationships/header" Target="header66.xml" /><Relationship Id="rId413" Type="http://schemas.openxmlformats.org/officeDocument/2006/relationships/footer" Target="footer66.xml" /><Relationship Id="rId414" Type="http://schemas.openxmlformats.org/officeDocument/2006/relationships/hyperlink" Target="https://advance.lexis.com/api/document?collection=cases-ca&amp;id=urn:contentItem:5F7T-S7D1-FFFC-B1B4-00000-00&amp;context=" TargetMode="External" /><Relationship Id="rId415" Type="http://schemas.openxmlformats.org/officeDocument/2006/relationships/hyperlink" Target="https://advance.lexis.com/api/document?collection=legislation-ca&amp;id=urn:contentItem:5F41-1FP1-JXNB-60R6-00000-00&amp;context=" TargetMode="External" /><Relationship Id="rId416" Type="http://schemas.openxmlformats.org/officeDocument/2006/relationships/hyperlink" Target="https://advance.lexis.com/api/document?collection=legislation-ca&amp;id=urn:contentItem:5F41-1FG1-JC0G-61K8-00000-00&amp;context=" TargetMode="External" /><Relationship Id="rId417" Type="http://schemas.openxmlformats.org/officeDocument/2006/relationships/hyperlink" Target="https://advance.lexis.com/api/document?collection=legislation-ca&amp;id=urn:contentItem:5MTG-54W1-JN14-G10W-00000-00&amp;context=" TargetMode="External" /><Relationship Id="rId418" Type="http://schemas.openxmlformats.org/officeDocument/2006/relationships/hyperlink" Target="https://advance.lexis.com/api/document?collection=cases-ca&amp;id=urn:contentItem:5F7T-S721-F4NT-X2DF-00000-00&amp;context=" TargetMode="External" /><Relationship Id="rId419" Type="http://schemas.openxmlformats.org/officeDocument/2006/relationships/hyperlink" Target="https://advance.lexis.com/api/document?collection=cases-ca&amp;id=urn:contentItem:5F7H-SCN1-FG12-6108-00000-00&amp;context=" TargetMode="External" /><Relationship Id="rId42" Type="http://schemas.openxmlformats.org/officeDocument/2006/relationships/hyperlink" Target="https://advance.lexis.com/api/document?collection=cases-ca&amp;id=urn:contentItem:5F7T-S6T1-JJ1H-X2F9-00000-00&amp;context=" TargetMode="External" /><Relationship Id="rId420" Type="http://schemas.openxmlformats.org/officeDocument/2006/relationships/hyperlink" Target="https://advance.lexis.com/api/document?collection=cases-ca&amp;id=urn:contentItem:5F8P-SCX1-JB7K-22SW-00000-00&amp;context=" TargetMode="External" /><Relationship Id="rId421" Type="http://schemas.openxmlformats.org/officeDocument/2006/relationships/hyperlink" Target="https://advance.lexis.com/api/document?collection=cases-ca&amp;id=urn:contentItem:5F7T-S711-F27X-60WG-00000-00&amp;context=" TargetMode="External" /><Relationship Id="rId422" Type="http://schemas.openxmlformats.org/officeDocument/2006/relationships/hyperlink" Target="https://advance.lexis.com/api/document?collection=cases-ca&amp;id=urn:contentItem:5F7T-S721-FG12-621Y-00000-00&amp;context=" TargetMode="External" /><Relationship Id="rId423" Type="http://schemas.openxmlformats.org/officeDocument/2006/relationships/hyperlink" Target="https://advance.lexis.com/api/document?collection=cases-ca&amp;id=urn:contentItem:5F7T-S741-FJM6-61JD-00000-00&amp;context=" TargetMode="External" /><Relationship Id="rId424" Type="http://schemas.openxmlformats.org/officeDocument/2006/relationships/hyperlink" Target="https://advance.lexis.com/api/document?collection=cases-ca&amp;id=urn:contentItem:5F8T-N3V1-FC1F-M428-00000-00&amp;context=" TargetMode="External" /><Relationship Id="rId425" Type="http://schemas.openxmlformats.org/officeDocument/2006/relationships/hyperlink" Target="https://advance.lexis.com/api/document?collection=cases-ca&amp;id=urn:contentItem:5F7T-S6X1-F7ND-G3V4-00000-00&amp;context=" TargetMode="External" /><Relationship Id="rId426" Type="http://schemas.openxmlformats.org/officeDocument/2006/relationships/hyperlink" Target="https://advance.lexis.com/api/document?collection=cases-ca&amp;id=urn:contentItem:5F8T-N3V1-FC1F-M4BH-00000-00&amp;context=" TargetMode="External" /><Relationship Id="rId427" Type="http://schemas.openxmlformats.org/officeDocument/2006/relationships/hyperlink" Target="https://advance.lexis.com/api/document?collection=cases-ca&amp;id=urn:contentItem:5F8T-N3V1-JF75-M3RV-00000-00&amp;context=" TargetMode="External" /><Relationship Id="rId428" Type="http://schemas.openxmlformats.org/officeDocument/2006/relationships/hyperlink" Target="https://advance.lexis.com/api/document?collection=cases-ca&amp;id=urn:contentItem:5F8T-N3V1-JTGH-B116-00000-00&amp;context=" TargetMode="External" /><Relationship Id="rId429" Type="http://schemas.openxmlformats.org/officeDocument/2006/relationships/hyperlink" Target="https://advance.lexis.com/api/document?collection=cases-ca&amp;id=urn:contentItem:5F7T-S7B1-FH4C-X3T3-00000-00&amp;context=" TargetMode="External" /><Relationship Id="rId43" Type="http://schemas.openxmlformats.org/officeDocument/2006/relationships/header" Target="header7.xml" /><Relationship Id="rId430" Type="http://schemas.openxmlformats.org/officeDocument/2006/relationships/hyperlink" Target="https://advance.lexis.com/api/document?collection=cases-ca&amp;id=urn:contentItem:5F7T-S7C1-F7VM-S3MY-00000-00&amp;context=" TargetMode="External" /><Relationship Id="rId431" Type="http://schemas.openxmlformats.org/officeDocument/2006/relationships/hyperlink" Target="https://advance.lexis.com/api/document?collection=cases-ca&amp;id=urn:contentItem:5F8T-N3T1-JJSF-23N5-00000-00&amp;context=" TargetMode="External" /><Relationship Id="rId432" Type="http://schemas.openxmlformats.org/officeDocument/2006/relationships/hyperlink" Target="https://advance.lexis.com/api/document?collection=cases-ca&amp;id=urn:contentItem:5F8T-N3V1-JF75-M3J0-00000-00&amp;context=" TargetMode="External" /><Relationship Id="rId433" Type="http://schemas.openxmlformats.org/officeDocument/2006/relationships/hyperlink" Target="https://advance.lexis.com/api/document?collection=cases-ca&amp;id=urn:contentItem:5F8T-N3T1-JFKM-652S-00000-00&amp;context=" TargetMode="External" /><Relationship Id="rId434" Type="http://schemas.openxmlformats.org/officeDocument/2006/relationships/hyperlink" Target="https://advance.lexis.com/api/document?collection=cases-ca&amp;id=urn:contentItem:5F8T-N3T1-JFKM-651G-00000-00&amp;context=" TargetMode="External" /><Relationship Id="rId435" Type="http://schemas.openxmlformats.org/officeDocument/2006/relationships/hyperlink" Target="https://advance.lexis.com/api/document?collection=cases-ca&amp;id=urn:contentItem:5F8T-N3V1-FC1F-M4CN-00000-00&amp;context=" TargetMode="External" /><Relationship Id="rId436" Type="http://schemas.openxmlformats.org/officeDocument/2006/relationships/hyperlink" Target="https://advance.lexis.com/api/document?collection=cases-ca&amp;id=urn:contentItem:5F8T-N3T1-JJSF-23P8-00000-00&amp;context=" TargetMode="External" /><Relationship Id="rId437" Type="http://schemas.openxmlformats.org/officeDocument/2006/relationships/hyperlink" Target="https://advance.lexis.com/api/document?collection=cases-ca&amp;id=urn:contentItem:5F8T-N3V1-JF75-M3X0-00000-00&amp;context=" TargetMode="External" /><Relationship Id="rId438" Type="http://schemas.openxmlformats.org/officeDocument/2006/relationships/hyperlink" Target="https://advance.lexis.com/api/document?collection=cases-ca&amp;id=urn:contentItem:5F8T-N3T1-JJSF-23GT-00000-00&amp;context=" TargetMode="External" /><Relationship Id="rId439" Type="http://schemas.openxmlformats.org/officeDocument/2006/relationships/hyperlink" Target="https://advance.lexis.com/api/document?collection=cases-ca&amp;id=urn:contentItem:5F8T-N3V1-JFKM-6044-00000-00&amp;context=" TargetMode="External" /><Relationship Id="rId44" Type="http://schemas.openxmlformats.org/officeDocument/2006/relationships/header" Target="header8.xml" /><Relationship Id="rId440" Type="http://schemas.openxmlformats.org/officeDocument/2006/relationships/hyperlink" Target="https://advance.lexis.com/api/document?collection=cases-ca&amp;id=urn:contentItem:5F7T-S781-JSC5-M4CM-00000-00&amp;context=" TargetMode="External" /><Relationship Id="rId441" Type="http://schemas.openxmlformats.org/officeDocument/2006/relationships/hyperlink" Target="https://advance.lexis.com/api/document?collection=cases-ca&amp;id=urn:contentItem:5F81-VJV1-JG59-22SW-00000-00&amp;context=" TargetMode="External" /><Relationship Id="rId442" Type="http://schemas.openxmlformats.org/officeDocument/2006/relationships/hyperlink" Target="https://advance.lexis.com/api/document?collection=cases-ca&amp;id=urn:contentItem:5F7T-S761-FGJR-22BM-00000-00&amp;context=" TargetMode="External" /><Relationship Id="rId443" Type="http://schemas.openxmlformats.org/officeDocument/2006/relationships/hyperlink" Target="https://advance.lexis.com/api/document?collection=cases-ca&amp;id=urn:contentItem:5F7T-S751-JGHR-M1XM-00000-00&amp;context=" TargetMode="External" /><Relationship Id="rId444" Type="http://schemas.openxmlformats.org/officeDocument/2006/relationships/hyperlink" Target="https://advance.lexis.com/api/document?collection=cases-ca&amp;id=urn:contentItem:5F7T-S711-JNS1-M0TD-00000-00&amp;context=" TargetMode="External" /><Relationship Id="rId445" Type="http://schemas.openxmlformats.org/officeDocument/2006/relationships/hyperlink" Target="https://advance.lexis.com/api/document?collection=cases-ca&amp;id=urn:contentItem:5F7T-S6S1-JC5P-G179-00000-00&amp;context=" TargetMode="External" /><Relationship Id="rId446" Type="http://schemas.openxmlformats.org/officeDocument/2006/relationships/hyperlink" Target="https://advance.lexis.com/api/document?collection=cases-ca&amp;id=urn:contentItem:5F7T-S771-FG68-G0XD-00000-00&amp;context=" TargetMode="External" /><Relationship Id="rId447" Type="http://schemas.openxmlformats.org/officeDocument/2006/relationships/hyperlink" Target="https://advance.lexis.com/api/document?collection=cases-ca&amp;id=urn:contentItem:5XR8-3VW1-JYYX-64HN-00000-00&amp;context=" TargetMode="External" /><Relationship Id="rId448" Type="http://schemas.openxmlformats.org/officeDocument/2006/relationships/hyperlink" Target="https://advance.lexis.com/api/document?collection=cases-ca&amp;id=urn:contentItem:5F7T-S721-F8D9-M0N5-00000-00&amp;context=" TargetMode="External" /><Relationship Id="rId449" Type="http://schemas.openxmlformats.org/officeDocument/2006/relationships/hyperlink" Target="https://advance.lexis.com/api/document?collection=cases-ca&amp;id=urn:contentItem:5F8T-N3V1-JFKM-607N-00000-00&amp;context=" TargetMode="External" /><Relationship Id="rId45" Type="http://schemas.openxmlformats.org/officeDocument/2006/relationships/footer" Target="footer7.xml" /><Relationship Id="rId450" Type="http://schemas.openxmlformats.org/officeDocument/2006/relationships/header" Target="header67.xml" /><Relationship Id="rId451" Type="http://schemas.openxmlformats.org/officeDocument/2006/relationships/header" Target="header68.xml" /><Relationship Id="rId452" Type="http://schemas.openxmlformats.org/officeDocument/2006/relationships/footer" Target="footer67.xml" /><Relationship Id="rId453" Type="http://schemas.openxmlformats.org/officeDocument/2006/relationships/footer" Target="footer68.xml" /><Relationship Id="rId454" Type="http://schemas.openxmlformats.org/officeDocument/2006/relationships/header" Target="header69.xml" /><Relationship Id="rId455" Type="http://schemas.openxmlformats.org/officeDocument/2006/relationships/footer" Target="footer69.xml" /><Relationship Id="rId456" Type="http://schemas.openxmlformats.org/officeDocument/2006/relationships/hyperlink" Target="https://advance.lexis.com/api/document?collection=cases-ca&amp;id=urn:contentItem:5F7T-S7D1-FFFC-B1GP-00000-00&amp;context=" TargetMode="External" /><Relationship Id="rId457" Type="http://schemas.openxmlformats.org/officeDocument/2006/relationships/hyperlink" Target="https://advance.lexis.com/api/document?collection=cases-ca&amp;id=urn:contentItem:5F7T-S7C1-JS0R-22HS-00000-00&amp;context=" TargetMode="External" /><Relationship Id="rId458" Type="http://schemas.openxmlformats.org/officeDocument/2006/relationships/hyperlink" Target="https://advance.lexis.com/api/document?collection=cases-ca&amp;id=urn:contentItem:5F7T-S7D1-FCSB-S377-00000-00&amp;context=" TargetMode="External" /><Relationship Id="rId459" Type="http://schemas.openxmlformats.org/officeDocument/2006/relationships/hyperlink" Target="https://advance.lexis.com/api/document?collection=cases-ca&amp;id=urn:contentItem:5F7T-S7B1-FH4C-X3MY-00000-00&amp;context=" TargetMode="External" /><Relationship Id="rId46" Type="http://schemas.openxmlformats.org/officeDocument/2006/relationships/footer" Target="footer8.xml" /><Relationship Id="rId460" Type="http://schemas.openxmlformats.org/officeDocument/2006/relationships/hyperlink" Target="https://advance.lexis.com/api/document?collection=cases-ca&amp;id=urn:contentItem:5F7T-S7C1-F30T-B21Y-00000-00&amp;context=" TargetMode="External" /><Relationship Id="rId461" Type="http://schemas.openxmlformats.org/officeDocument/2006/relationships/hyperlink" Target="https://advance.lexis.com/api/document?collection=cases-ca&amp;id=urn:contentItem:5F7T-S781-JSC5-M4D1-00000-00&amp;context=" TargetMode="External" /><Relationship Id="rId462" Type="http://schemas.openxmlformats.org/officeDocument/2006/relationships/hyperlink" Target="https://advance.lexis.com/api/document?collection=cases-ca&amp;id=urn:contentItem:5F7T-S781-F06F-23R8-00000-00&amp;context=" TargetMode="External" /><Relationship Id="rId463" Type="http://schemas.openxmlformats.org/officeDocument/2006/relationships/header" Target="header70.xml" /><Relationship Id="rId464" Type="http://schemas.openxmlformats.org/officeDocument/2006/relationships/header" Target="header71.xml" /><Relationship Id="rId465" Type="http://schemas.openxmlformats.org/officeDocument/2006/relationships/footer" Target="footer70.xml" /><Relationship Id="rId466" Type="http://schemas.openxmlformats.org/officeDocument/2006/relationships/footer" Target="footer71.xml" /><Relationship Id="rId467" Type="http://schemas.openxmlformats.org/officeDocument/2006/relationships/header" Target="header72.xml" /><Relationship Id="rId468" Type="http://schemas.openxmlformats.org/officeDocument/2006/relationships/footer" Target="footer72.xml" /><Relationship Id="rId469" Type="http://schemas.openxmlformats.org/officeDocument/2006/relationships/hyperlink" Target="https://advance.lexis.com/api/document?collection=cases-ca&amp;id=urn:contentItem:5F7T-S7K1-JSJC-X186-00000-00&amp;context=" TargetMode="External" /><Relationship Id="rId47" Type="http://schemas.openxmlformats.org/officeDocument/2006/relationships/header" Target="header9.xml" /><Relationship Id="rId470" Type="http://schemas.openxmlformats.org/officeDocument/2006/relationships/hyperlink" Target="https://advance.lexis.com/api/document?collection=cases-ca&amp;id=urn:contentItem:5F7T-S771-JTGH-B15N-00000-00&amp;context=" TargetMode="External" /><Relationship Id="rId471" Type="http://schemas.openxmlformats.org/officeDocument/2006/relationships/hyperlink" Target="https://advance.lexis.com/api/document?collection=cases-ca&amp;id=urn:contentItem:5F7T-S771-JJD0-G1K3-00000-00&amp;context=" TargetMode="External" /><Relationship Id="rId472" Type="http://schemas.openxmlformats.org/officeDocument/2006/relationships/hyperlink" Target="https://advance.lexis.com/api/document?collection=cases-ca&amp;id=urn:contentItem:5F7T-S761-JS5Y-B1DS-00000-00&amp;context=" TargetMode="External" /><Relationship Id="rId473" Type="http://schemas.openxmlformats.org/officeDocument/2006/relationships/hyperlink" Target="https://advance.lexis.com/api/document?collection=cases-ca&amp;id=urn:contentItem:5F7T-S6X1-K0BB-S0MB-00000-00&amp;context=" TargetMode="External" /><Relationship Id="rId474" Type="http://schemas.openxmlformats.org/officeDocument/2006/relationships/hyperlink" Target="https://advance.lexis.com/api/document?collection=cases-ca&amp;id=urn:contentItem:5F7T-S721-FD4T-B141-00000-00&amp;context=" TargetMode="External" /><Relationship Id="rId475" Type="http://schemas.openxmlformats.org/officeDocument/2006/relationships/hyperlink" Target="https://advance.lexis.com/api/document?collection=cases-ca&amp;id=urn:contentItem:5F7T-S6Y1-DY33-B02X-00000-00&amp;context=" TargetMode="External" /><Relationship Id="rId476" Type="http://schemas.openxmlformats.org/officeDocument/2006/relationships/hyperlink" Target="https://advance.lexis.com/api/document?collection=cases-ca&amp;id=urn:contentItem:5F7T-S711-JNY7-X3DS-00000-00&amp;context=" TargetMode="External" /><Relationship Id="rId477" Type="http://schemas.openxmlformats.org/officeDocument/2006/relationships/hyperlink" Target="https://advance.lexis.com/api/document?collection=cases-ca&amp;id=urn:contentItem:5F7T-S711-FJDY-X2WN-00000-00&amp;context=" TargetMode="External" /><Relationship Id="rId478" Type="http://schemas.openxmlformats.org/officeDocument/2006/relationships/header" Target="header73.xml" /><Relationship Id="rId479" Type="http://schemas.openxmlformats.org/officeDocument/2006/relationships/header" Target="header74.xml" /><Relationship Id="rId48" Type="http://schemas.openxmlformats.org/officeDocument/2006/relationships/footer" Target="footer9.xml" /><Relationship Id="rId480" Type="http://schemas.openxmlformats.org/officeDocument/2006/relationships/footer" Target="footer73.xml" /><Relationship Id="rId481" Type="http://schemas.openxmlformats.org/officeDocument/2006/relationships/footer" Target="footer74.xml" /><Relationship Id="rId482" Type="http://schemas.openxmlformats.org/officeDocument/2006/relationships/header" Target="header75.xml" /><Relationship Id="rId483" Type="http://schemas.openxmlformats.org/officeDocument/2006/relationships/footer" Target="footer75.xml" /><Relationship Id="rId484" Type="http://schemas.openxmlformats.org/officeDocument/2006/relationships/hyperlink" Target="https://advance.lexis.com/api/document?collection=cases-ca&amp;id=urn:contentItem:5HYH-NGC1-F5T5-M2HY-00000-00&amp;context=" TargetMode="External" /><Relationship Id="rId485" Type="http://schemas.openxmlformats.org/officeDocument/2006/relationships/hyperlink" Target="https://advance.lexis.com/api/document?collection=cases-ca&amp;id=urn:contentItem:5F7T-S771-JJD0-G1G1-00000-00&amp;context=" TargetMode="External" /><Relationship Id="rId486" Type="http://schemas.openxmlformats.org/officeDocument/2006/relationships/hyperlink" Target="https://advance.lexis.com/api/document?collection=cases-ca&amp;id=urn:contentItem:5F8T-N3V1-JF75-M3D0-00000-00&amp;context=" TargetMode="External" /><Relationship Id="rId487" Type="http://schemas.openxmlformats.org/officeDocument/2006/relationships/hyperlink" Target="https://advance.lexis.com/api/document?collection=cases-ca&amp;id=urn:contentItem:5F81-VJX1-JJYN-B4JY-00000-00&amp;context=" TargetMode="External" /><Relationship Id="rId488" Type="http://schemas.openxmlformats.org/officeDocument/2006/relationships/hyperlink" Target="https://advance.lexis.com/api/document?collection=cases-ca&amp;id=urn:contentItem:5F8P-SGB1-F873-B2JB-00000-00&amp;context=" TargetMode="External" /><Relationship Id="rId489" Type="http://schemas.openxmlformats.org/officeDocument/2006/relationships/hyperlink" Target="https://advance.lexis.com/api/document?collection=cases-ca&amp;id=urn:contentItem:5F8T-N3V1-JF75-M3B3-00000-00&amp;context=" TargetMode="External" /><Relationship Id="rId49" Type="http://schemas.openxmlformats.org/officeDocument/2006/relationships/hyperlink" Target="https://advance.lexis.com/api/document?collection=cases-ca&amp;id=urn:contentItem:5F7T-S7F1-F7VM-S462-00000-00&amp;context=" TargetMode="External" /><Relationship Id="rId490" Type="http://schemas.openxmlformats.org/officeDocument/2006/relationships/hyperlink" Target="https://advance.lexis.com/api/document?collection=cases-ca&amp;id=urn:contentItem:5F7T-S7C1-F4NT-X2WS-00000-00&amp;context=" TargetMode="External" /><Relationship Id="rId491" Type="http://schemas.openxmlformats.org/officeDocument/2006/relationships/hyperlink" Target="https://advance.lexis.com/api/document?collection=cases-ca&amp;id=urn:contentItem:5F8T-N3T1-JJSF-23FN-00000-00&amp;context=" TargetMode="External" /><Relationship Id="rId492" Type="http://schemas.openxmlformats.org/officeDocument/2006/relationships/hyperlink" Target="https://advance.lexis.com/api/document?collection=cases-ca&amp;id=urn:contentItem:5F8N-K711-JB7K-206D-00000-00&amp;context=" TargetMode="External" /><Relationship Id="rId493" Type="http://schemas.openxmlformats.org/officeDocument/2006/relationships/hyperlink" Target="https://advance.lexis.com/api/document?collection=cases-ca&amp;id=urn:contentItem:5F82-1SF1-JB7K-234N-00000-00&amp;context=" TargetMode="External" /><Relationship Id="rId494" Type="http://schemas.openxmlformats.org/officeDocument/2006/relationships/hyperlink" Target="https://advance.lexis.com/api/document?collection=cases-ca&amp;id=urn:contentItem:5F7H-JFB1-JJ6S-60B4-00000-00&amp;context=" TargetMode="External" /><Relationship Id="rId495" Type="http://schemas.openxmlformats.org/officeDocument/2006/relationships/hyperlink" Target="https://advance.lexis.com/api/document?collection=cases-ca&amp;id=urn:contentItem:5F81-VJX1-FFTT-X1C4-00000-00&amp;context=" TargetMode="External" /><Relationship Id="rId496" Type="http://schemas.openxmlformats.org/officeDocument/2006/relationships/hyperlink" Target="https://advance.lexis.com/api/document?collection=cases-ca&amp;id=urn:contentItem:5F8T-N3V1-FC1F-M440-00000-00&amp;context=" TargetMode="External" /><Relationship Id="rId497" Type="http://schemas.openxmlformats.org/officeDocument/2006/relationships/hyperlink" Target="https://advance.lexis.com/api/document?collection=cases-ca&amp;id=urn:contentItem:5F7T-S6Y1-JPP5-21F5-00000-00&amp;context=" TargetMode="External" /><Relationship Id="rId498" Type="http://schemas.openxmlformats.org/officeDocument/2006/relationships/hyperlink" Target="https://advance.lexis.com/api/document?collection=cases-ca&amp;id=urn:contentItem:5F7T-S731-F60C-X132-00000-00&amp;context=" TargetMode="External" /><Relationship Id="rId499" Type="http://schemas.openxmlformats.org/officeDocument/2006/relationships/hyperlink" Target="https://advance.lexis.com/api/document?collection=cases-ca&amp;id=urn:contentItem:5F7T-S751-JP4G-618F-00000-00&amp;context=" TargetMode="External" /><Relationship Id="rId5" Type="http://schemas.openxmlformats.org/officeDocument/2006/relationships/header" Target="header2.xml" /><Relationship Id="rId50" Type="http://schemas.openxmlformats.org/officeDocument/2006/relationships/hyperlink" Target="https://advance.lexis.com/api/document?collection=cases-ca&amp;id=urn:contentItem:5F7T-S7C1-F7VM-S3R5-00000-00&amp;context=" TargetMode="External" /><Relationship Id="rId500" Type="http://schemas.openxmlformats.org/officeDocument/2006/relationships/hyperlink" Target="https://advance.lexis.com/api/document?collection=cases-ca&amp;id=urn:contentItem:5F8T-N3R1-JNS1-M12J-00000-00&amp;context=" TargetMode="External" /><Relationship Id="rId501" Type="http://schemas.openxmlformats.org/officeDocument/2006/relationships/hyperlink" Target="https://advance.lexis.com/api/document?collection=cases-ca&amp;id=urn:contentItem:5F8T-N3V1-JF75-M3KJ-00000-00&amp;context=" TargetMode="External" /><Relationship Id="rId502" Type="http://schemas.openxmlformats.org/officeDocument/2006/relationships/hyperlink" Target="https://advance.lexis.com/api/document?collection=cases-ca&amp;id=urn:contentItem:5F7T-S7N1-JWR6-S2G9-00000-00&amp;context=" TargetMode="External" /><Relationship Id="rId503" Type="http://schemas.openxmlformats.org/officeDocument/2006/relationships/hyperlink" Target="https://advance.lexis.com/api/document?collection=cases-ca&amp;id=urn:contentItem:5F7T-S791-FJTD-G2MT-00000-00&amp;context=" TargetMode="External" /><Relationship Id="rId504" Type="http://schemas.openxmlformats.org/officeDocument/2006/relationships/hyperlink" Target="https://advance.lexis.com/api/document?collection=cases-ca&amp;id=urn:contentItem:5F7T-S7F1-JX3N-B18Y-00000-00&amp;context=" TargetMode="External" /><Relationship Id="rId505" Type="http://schemas.openxmlformats.org/officeDocument/2006/relationships/hyperlink" Target="https://advance.lexis.com/api/document?collection=cases-ca&amp;id=urn:contentItem:5F7T-S7D1-JXG3-X0SS-00000-00&amp;context=" TargetMode="External" /><Relationship Id="rId506" Type="http://schemas.openxmlformats.org/officeDocument/2006/relationships/hyperlink" Target="https://advance.lexis.com/api/document?collection=cases-ca&amp;id=urn:contentItem:5F7T-S7M1-JFSV-G3M4-00000-00&amp;context=" TargetMode="External" /><Relationship Id="rId507" Type="http://schemas.openxmlformats.org/officeDocument/2006/relationships/hyperlink" Target="https://advance.lexis.com/api/document?collection=cases-ca&amp;id=urn:contentItem:5F8P-SD61-JWJ0-G1WW-00000-00&amp;context=" TargetMode="External" /><Relationship Id="rId508" Type="http://schemas.openxmlformats.org/officeDocument/2006/relationships/hyperlink" Target="https://advance.lexis.com/api/document?collection=cases-ca&amp;id=urn:contentItem:5F8P-T8W1-F4GK-M4FD-00000-00&amp;context=" TargetMode="External" /><Relationship Id="rId509" Type="http://schemas.openxmlformats.org/officeDocument/2006/relationships/hyperlink" Target="https://advance.lexis.com/api/document?collection=cases-ca&amp;id=urn:contentItem:5F7T-S781-F06F-23Y4-00000-00&amp;context=" TargetMode="External" /><Relationship Id="rId51" Type="http://schemas.openxmlformats.org/officeDocument/2006/relationships/hyperlink" Target="https://advance.lexis.com/api/document?collection=cases-ca&amp;id=urn:contentItem:5F8T-N3T1-JJSF-233X-00000-00&amp;context=" TargetMode="External" /><Relationship Id="rId510" Type="http://schemas.openxmlformats.org/officeDocument/2006/relationships/hyperlink" Target="https://advance.lexis.com/api/document?collection=cases-ca&amp;id=urn:contentItem:5F7T-S781-F06F-23VG-00000-00&amp;context=" TargetMode="External" /><Relationship Id="rId511" Type="http://schemas.openxmlformats.org/officeDocument/2006/relationships/hyperlink" Target="https://advance.lexis.com/api/document?collection=cases-ca&amp;id=urn:contentItem:5F7T-S781-F06F-241Y-00000-00&amp;context=" TargetMode="External" /><Relationship Id="rId512" Type="http://schemas.openxmlformats.org/officeDocument/2006/relationships/hyperlink" Target="https://advance.lexis.com/api/document?collection=cases-ca&amp;id=urn:contentItem:5F7T-S741-DXPM-S17F-00000-00&amp;context=" TargetMode="External" /><Relationship Id="rId513" Type="http://schemas.openxmlformats.org/officeDocument/2006/relationships/hyperlink" Target="https://advance.lexis.com/api/document?collection=cases-ca&amp;id=urn:contentItem:5F7T-S7B1-FH4C-X3GP-00000-00&amp;context=" TargetMode="External" /><Relationship Id="rId514" Type="http://schemas.openxmlformats.org/officeDocument/2006/relationships/hyperlink" Target="https://advance.lexis.com/api/document?collection=cases-ca&amp;id=urn:contentItem:5F7T-S7F1-FJTD-G3DF-00000-00&amp;context=" TargetMode="External" /><Relationship Id="rId515" Type="http://schemas.openxmlformats.org/officeDocument/2006/relationships/hyperlink" Target="https://advance.lexis.com/api/document?collection=cases-ca&amp;id=urn:contentItem:5F7T-S7C1-FGRY-B038-00000-00&amp;context=" TargetMode="External" /><Relationship Id="rId516" Type="http://schemas.openxmlformats.org/officeDocument/2006/relationships/hyperlink" Target="https://advance.lexis.com/api/document?collection=cases-ca&amp;id=urn:contentItem:5F7T-S7G1-JX3N-B2JF-00000-00&amp;context=" TargetMode="External" /><Relationship Id="rId517" Type="http://schemas.openxmlformats.org/officeDocument/2006/relationships/hyperlink" Target="https://advance.lexis.com/api/document?collection=cases-ca&amp;id=urn:contentItem:5F7T-S7C1-F7VM-S3PM-00000-00&amp;context=" TargetMode="External" /><Relationship Id="rId518" Type="http://schemas.openxmlformats.org/officeDocument/2006/relationships/hyperlink" Target="https://advance.lexis.com/api/document?collection=cases-ca&amp;id=urn:contentItem:5F8T-N3V1-FC1F-M461-00000-00&amp;context=" TargetMode="External" /><Relationship Id="rId519" Type="http://schemas.openxmlformats.org/officeDocument/2006/relationships/header" Target="header76.xml" /><Relationship Id="rId52" Type="http://schemas.openxmlformats.org/officeDocument/2006/relationships/hyperlink" Target="https://advance.lexis.com/api/document?collection=cases-ca&amp;id=urn:contentItem:5F8T-N3T1-JJSF-23F8-00000-00&amp;context=" TargetMode="External" /><Relationship Id="rId520" Type="http://schemas.openxmlformats.org/officeDocument/2006/relationships/header" Target="header77.xml" /><Relationship Id="rId521" Type="http://schemas.openxmlformats.org/officeDocument/2006/relationships/footer" Target="footer76.xml" /><Relationship Id="rId522" Type="http://schemas.openxmlformats.org/officeDocument/2006/relationships/footer" Target="footer77.xml" /><Relationship Id="rId523" Type="http://schemas.openxmlformats.org/officeDocument/2006/relationships/header" Target="header78.xml" /><Relationship Id="rId524" Type="http://schemas.openxmlformats.org/officeDocument/2006/relationships/footer" Target="footer78.xml" /><Relationship Id="rId525" Type="http://schemas.openxmlformats.org/officeDocument/2006/relationships/hyperlink" Target="https://advance.lexis.com/api/document?collection=cases-ca&amp;id=urn:contentItem:5F7T-S7G1-F5KY-B1K3-00000-00&amp;context=" TargetMode="External" /><Relationship Id="rId526" Type="http://schemas.openxmlformats.org/officeDocument/2006/relationships/hyperlink" Target="https://advance.lexis.com/api/document?collection=cases-ca&amp;id=urn:contentItem:5F7T-S7F1-JK4W-M1V8-00000-00&amp;context=" TargetMode="External" /><Relationship Id="rId527" Type="http://schemas.openxmlformats.org/officeDocument/2006/relationships/hyperlink" Target="https://advance.lexis.com/api/document?collection=cases-ca&amp;id=urn:contentItem:5F7T-S741-F2F4-G25W-00000-00&amp;context=" TargetMode="External" /><Relationship Id="rId528" Type="http://schemas.openxmlformats.org/officeDocument/2006/relationships/hyperlink" Target="https://advance.lexis.com/api/document?collection=cases-ca&amp;id=urn:contentItem:5F7T-S7D1-JXG3-X0ND-00000-00&amp;context=" TargetMode="External" /><Relationship Id="rId529" Type="http://schemas.openxmlformats.org/officeDocument/2006/relationships/hyperlink" Target="https://advance.lexis.com/api/document?collection=cases-ca&amp;id=urn:contentItem:5F7T-S781-F27X-61FV-00000-00&amp;context=" TargetMode="External" /><Relationship Id="rId53" Type="http://schemas.openxmlformats.org/officeDocument/2006/relationships/hyperlink" Target="https://advance.lexis.com/api/document?collection=cases-ca&amp;id=urn:contentItem:5F8T-N3V1-JF75-M3FN-00000-00&amp;context=" TargetMode="External" /><Relationship Id="rId530" Type="http://schemas.openxmlformats.org/officeDocument/2006/relationships/hyperlink" Target="https://advance.lexis.com/api/document?collection=cases-ca&amp;id=urn:contentItem:5F7T-S7D1-FCSB-S2KY-00000-00&amp;context=" TargetMode="External" /><Relationship Id="rId531" Type="http://schemas.openxmlformats.org/officeDocument/2006/relationships/hyperlink" Target="https://advance.lexis.com/api/document?collection=cases-ca&amp;id=urn:contentItem:5F8N-K6Y1-F8KH-X20N-00000-00&amp;context=" TargetMode="External" /><Relationship Id="rId532" Type="http://schemas.openxmlformats.org/officeDocument/2006/relationships/hyperlink" Target="https://advance.lexis.com/api/document?collection=cases-ca&amp;id=urn:contentItem:5F7T-S7C1-JSRM-60V2-00000-00&amp;context=" TargetMode="External" /><Relationship Id="rId533" Type="http://schemas.openxmlformats.org/officeDocument/2006/relationships/hyperlink" Target="https://advance.lexis.com/api/document?collection=cases-ca&amp;id=urn:contentItem:5F7T-S7F1-JBT7-X2NT-00000-00&amp;context=" TargetMode="External" /><Relationship Id="rId534" Type="http://schemas.openxmlformats.org/officeDocument/2006/relationships/hyperlink" Target="https://advance.lexis.com/api/document?collection=cases-ca&amp;id=urn:contentItem:5F7T-S7F1-JFKM-620C-00000-00&amp;context=" TargetMode="External" /><Relationship Id="rId535" Type="http://schemas.openxmlformats.org/officeDocument/2006/relationships/hyperlink" Target="https://advance.lexis.com/api/document?collection=cases-ca&amp;id=urn:contentItem:5F7T-S711-JNY7-X30K-00000-00&amp;context=" TargetMode="External" /><Relationship Id="rId536" Type="http://schemas.openxmlformats.org/officeDocument/2006/relationships/header" Target="header79.xml" /><Relationship Id="rId537" Type="http://schemas.openxmlformats.org/officeDocument/2006/relationships/header" Target="header80.xml" /><Relationship Id="rId538" Type="http://schemas.openxmlformats.org/officeDocument/2006/relationships/footer" Target="footer79.xml" /><Relationship Id="rId539" Type="http://schemas.openxmlformats.org/officeDocument/2006/relationships/footer" Target="footer80.xml" /><Relationship Id="rId54" Type="http://schemas.openxmlformats.org/officeDocument/2006/relationships/hyperlink" Target="https://advance.lexis.com/api/document?collection=cases-ca&amp;id=urn:contentItem:5F7T-S6V1-JWR6-S16K-00000-00&amp;context=" TargetMode="External" /><Relationship Id="rId540" Type="http://schemas.openxmlformats.org/officeDocument/2006/relationships/header" Target="header81.xml" /><Relationship Id="rId541" Type="http://schemas.openxmlformats.org/officeDocument/2006/relationships/footer" Target="footer81.xml" /><Relationship Id="rId542" Type="http://schemas.openxmlformats.org/officeDocument/2006/relationships/hyperlink" Target="https://advance.lexis.com/api/document?collection=cases-ca&amp;id=urn:contentItem:5F7T-S781-JSC5-M4F4-00000-00&amp;context=" TargetMode="External" /><Relationship Id="rId543" Type="http://schemas.openxmlformats.org/officeDocument/2006/relationships/hyperlink" Target="https://advance.lexis.com/api/document?collection=cases-ca&amp;id=urn:contentItem:5F7T-S781-F06F-23N7-00000-00&amp;context=" TargetMode="External" /><Relationship Id="rId544" Type="http://schemas.openxmlformats.org/officeDocument/2006/relationships/hyperlink" Target="https://advance.lexis.com/api/document?collection=cases-ca&amp;id=urn:contentItem:5F7T-S781-F7G6-63KX-00000-00&amp;context=" TargetMode="External" /><Relationship Id="rId545" Type="http://schemas.openxmlformats.org/officeDocument/2006/relationships/hyperlink" Target="https://advance.lexis.com/api/document?collection=cases-ca&amp;id=urn:contentItem:5F7T-S6X1-F7ND-G39N-00000-00&amp;context=" TargetMode="External" /><Relationship Id="rId546" Type="http://schemas.openxmlformats.org/officeDocument/2006/relationships/hyperlink" Target="https://advance.lexis.com/api/document?collection=cases-ca&amp;id=urn:contentItem:5F7T-S761-JCBX-S0H9-00000-00&amp;context=" TargetMode="External" /><Relationship Id="rId547" Type="http://schemas.openxmlformats.org/officeDocument/2006/relationships/hyperlink" Target="https://advance.lexis.com/api/document?collection=cases-ca&amp;id=urn:contentItem:5F7T-S771-F81W-22BW-00000-00&amp;context=" TargetMode="External" /><Relationship Id="rId548" Type="http://schemas.openxmlformats.org/officeDocument/2006/relationships/hyperlink" Target="https://advance.lexis.com/api/document?collection=cases-ca&amp;id=urn:contentItem:5F7T-S751-JBM1-M2GK-00000-00&amp;context=" TargetMode="External" /><Relationship Id="rId549" Type="http://schemas.openxmlformats.org/officeDocument/2006/relationships/hyperlink" Target="https://advance.lexis.com/api/document?collection=cases-ca&amp;id=urn:contentItem:5F7T-S761-F81W-21RK-00000-00&amp;context=" TargetMode="External" /><Relationship Id="rId55" Type="http://schemas.openxmlformats.org/officeDocument/2006/relationships/hyperlink" Target="https://advance.lexis.com/api/document?collection=cases-ca&amp;id=urn:contentItem:5F8T-N3S1-JBDT-B06N-00000-00&amp;context=" TargetMode="External" /><Relationship Id="rId550" Type="http://schemas.openxmlformats.org/officeDocument/2006/relationships/hyperlink" Target="https://advance.lexis.com/api/document?collection=cases-ca&amp;id=urn:contentItem:5F8T-N3S1-JT99-250W-00000-00&amp;context=" TargetMode="External" /><Relationship Id="rId551" Type="http://schemas.openxmlformats.org/officeDocument/2006/relationships/hyperlink" Target="https://advance.lexis.com/api/document?collection=cases-ca&amp;id=urn:contentItem:5F8T-N3R1-JJSF-22JX-00000-00&amp;context=" TargetMode="External" /><Relationship Id="rId552" Type="http://schemas.openxmlformats.org/officeDocument/2006/relationships/hyperlink" Target="https://advance.lexis.com/api/document?collection=cases-ca&amp;id=urn:contentItem:5F7T-S721-F5T5-M22W-00000-00&amp;context=" TargetMode="External" /><Relationship Id="rId553" Type="http://schemas.openxmlformats.org/officeDocument/2006/relationships/hyperlink" Target="https://advance.lexis.com/api/document?collection=cases-ca&amp;id=urn:contentItem:5F7T-S731-FFFC-B0WT-00000-00&amp;context=" TargetMode="External" /><Relationship Id="rId554" Type="http://schemas.openxmlformats.org/officeDocument/2006/relationships/hyperlink" Target="https://advance.lexis.com/api/document?collection=cases-ca&amp;id=urn:contentItem:5F7T-S771-F2TK-22XY-00000-00&amp;context=" TargetMode="External" /><Relationship Id="rId555" Type="http://schemas.openxmlformats.org/officeDocument/2006/relationships/hyperlink" Target="https://advance.lexis.com/api/document?collection=cases-ca&amp;id=urn:contentItem:5F7T-S761-JS5Y-B1V5-00000-00&amp;context=" TargetMode="External" /><Relationship Id="rId556" Type="http://schemas.openxmlformats.org/officeDocument/2006/relationships/hyperlink" Target="https://advance.lexis.com/api/document?collection=cases-ca&amp;id=urn:contentItem:5F7T-S751-JCJ5-24CT-00000-00&amp;context=" TargetMode="External" /><Relationship Id="rId557" Type="http://schemas.openxmlformats.org/officeDocument/2006/relationships/hyperlink" Target="https://advance.lexis.com/api/document?collection=cases-ca&amp;id=urn:contentItem:5F7T-S761-FFMK-M16H-00000-00&amp;context=" TargetMode="External" /><Relationship Id="rId558" Type="http://schemas.openxmlformats.org/officeDocument/2006/relationships/hyperlink" Target="https://advance.lexis.com/api/document?collection=cases-ca&amp;id=urn:contentItem:5F7T-S771-FG68-G153-00000-00&amp;context=" TargetMode="External" /><Relationship Id="rId559" Type="http://schemas.openxmlformats.org/officeDocument/2006/relationships/hyperlink" Target="https://advance.lexis.com/api/document?collection=cases-ca&amp;id=urn:contentItem:5F7T-S6Y1-JP9P-G1KH-00000-00&amp;context=" TargetMode="External" /><Relationship Id="rId56" Type="http://schemas.openxmlformats.org/officeDocument/2006/relationships/hyperlink" Target="https://advance.lexis.com/api/document?collection=cases-ca&amp;id=urn:contentItem:5F7T-S7D1-JN6B-S0XD-00000-00&amp;context=" TargetMode="External" /><Relationship Id="rId560" Type="http://schemas.openxmlformats.org/officeDocument/2006/relationships/header" Target="header82.xml" /><Relationship Id="rId561" Type="http://schemas.openxmlformats.org/officeDocument/2006/relationships/header" Target="header83.xml" /><Relationship Id="rId562" Type="http://schemas.openxmlformats.org/officeDocument/2006/relationships/footer" Target="footer82.xml" /><Relationship Id="rId563" Type="http://schemas.openxmlformats.org/officeDocument/2006/relationships/footer" Target="footer83.xml" /><Relationship Id="rId564" Type="http://schemas.openxmlformats.org/officeDocument/2006/relationships/header" Target="header84.xml" /><Relationship Id="rId565" Type="http://schemas.openxmlformats.org/officeDocument/2006/relationships/footer" Target="footer84.xml" /><Relationship Id="rId566" Type="http://schemas.openxmlformats.org/officeDocument/2006/relationships/hyperlink" Target="https://advance.lexis.com/api/document?collection=cases-ca&amp;id=urn:contentItem:5JGN-CPP1-JWR6-S268-00000-00&amp;context=" TargetMode="External" /><Relationship Id="rId567" Type="http://schemas.openxmlformats.org/officeDocument/2006/relationships/hyperlink" Target="https://advance.lexis.com/api/document?collection=cases-ca&amp;id=urn:contentItem:5NG1-FXB1-FCCX-63P9-00000-00&amp;context=" TargetMode="External" /><Relationship Id="rId568" Type="http://schemas.openxmlformats.org/officeDocument/2006/relationships/hyperlink" Target="https://advance.lexis.com/api/document?collection=legislation-ca&amp;id=urn:contentItem:5F3B-B7W1-JTGH-B01X-00000-00&amp;context=" TargetMode="External" /><Relationship Id="rId569" Type="http://schemas.openxmlformats.org/officeDocument/2006/relationships/hyperlink" Target="https://advance.lexis.com/api/document?collection=legislation-ca&amp;id=urn:contentItem:5VYK-WB71-JGBH-B3D0-00000-00&amp;context=" TargetMode="External" /><Relationship Id="rId57" Type="http://schemas.openxmlformats.org/officeDocument/2006/relationships/header" Target="header10.xml" /><Relationship Id="rId570" Type="http://schemas.openxmlformats.org/officeDocument/2006/relationships/hyperlink" Target="https://advance.lexis.com/api/document?collection=legislation-ca&amp;id=urn:contentItem:5VYK-WB41-F22N-X4VK-00000-00&amp;context=" TargetMode="External" /><Relationship Id="rId571" Type="http://schemas.openxmlformats.org/officeDocument/2006/relationships/hyperlink" Target="https://advance.lexis.com/api/document?collection=cases-ca&amp;id=urn:contentItem:5F7T-S7M1-JFSV-G3FB-00000-00&amp;context=" TargetMode="External" /><Relationship Id="rId572" Type="http://schemas.openxmlformats.org/officeDocument/2006/relationships/hyperlink" Target="https://advance.lexis.com/api/document?collection=cases-ca&amp;id=urn:contentItem:5F7T-S7G1-JPP5-21TY-00000-00&amp;context=" TargetMode="External" /><Relationship Id="rId573" Type="http://schemas.openxmlformats.org/officeDocument/2006/relationships/hyperlink" Target="https://advance.lexis.com/api/document?collection=cases-ca&amp;id=urn:contentItem:5F7T-S721-F4NT-X2H0-00000-00&amp;context=" TargetMode="External" /><Relationship Id="rId574" Type="http://schemas.openxmlformats.org/officeDocument/2006/relationships/hyperlink" Target="https://advance.lexis.com/api/document?collection=cases-ca&amp;id=urn:contentItem:5F7T-S711-JNS1-M121-00000-00&amp;context=" TargetMode="External" /><Relationship Id="rId575" Type="http://schemas.openxmlformats.org/officeDocument/2006/relationships/hyperlink" Target="https://advance.lexis.com/api/document?collection=cases-ca&amp;id=urn:contentItem:5F7T-S6T1-FD4T-B085-00000-00&amp;context=" TargetMode="External" /><Relationship Id="rId576" Type="http://schemas.openxmlformats.org/officeDocument/2006/relationships/hyperlink" Target="https://advance.lexis.com/api/document?collection=cases-ca&amp;id=urn:contentItem:5F7T-S7N1-JJ1H-X2WV-00000-00&amp;context=" TargetMode="External" /><Relationship Id="rId577" Type="http://schemas.openxmlformats.org/officeDocument/2006/relationships/hyperlink" Target="https://advance.lexis.com/api/document?collection=cases-ca&amp;id=urn:contentItem:5F7T-S6T1-DY89-M335-00000-00&amp;context=" TargetMode="External" /><Relationship Id="rId578" Type="http://schemas.openxmlformats.org/officeDocument/2006/relationships/hyperlink" Target="https://advance.lexis.com/api/document?collection=cases-ca&amp;id=urn:contentItem:5F7T-S721-F5T5-M21G-00000-00&amp;context=" TargetMode="External" /><Relationship Id="rId579" Type="http://schemas.openxmlformats.org/officeDocument/2006/relationships/hyperlink" Target="https://advance.lexis.com/api/document?collection=cases-ca&amp;id=urn:contentItem:5F7T-S6W1-F7ND-G2KH-00000-00&amp;context=" TargetMode="External" /><Relationship Id="rId58" Type="http://schemas.openxmlformats.org/officeDocument/2006/relationships/header" Target="header11.xml" /><Relationship Id="rId580" Type="http://schemas.openxmlformats.org/officeDocument/2006/relationships/hyperlink" Target="https://advance.lexis.com/api/document?collection=cases-ca&amp;id=urn:contentItem:5F7T-S6W1-F8SS-62N6-00000-00&amp;context=" TargetMode="External" /><Relationship Id="rId581" Type="http://schemas.openxmlformats.org/officeDocument/2006/relationships/hyperlink" Target="https://advance.lexis.com/api/document?collection=cases-ca&amp;id=urn:contentItem:5F16-9371-JKPJ-G49X-00000-00&amp;context=" TargetMode="External" /><Relationship Id="rId582" Type="http://schemas.openxmlformats.org/officeDocument/2006/relationships/hyperlink" Target="https://advance.lexis.com/api/document?collection=cases-ca&amp;id=urn:contentItem:5F8T-N3V1-JTGH-B1BF-00000-00&amp;context=" TargetMode="External" /><Relationship Id="rId583" Type="http://schemas.openxmlformats.org/officeDocument/2006/relationships/hyperlink" Target="https://advance.lexis.com/api/document?collection=cases-ca&amp;id=urn:contentItem:5F7T-S7P1-JBDT-B18P-00000-00&amp;context=" TargetMode="External" /><Relationship Id="rId584" Type="http://schemas.openxmlformats.org/officeDocument/2006/relationships/hyperlink" Target="https://advance.lexis.com/api/document?collection=cases-ca&amp;id=urn:contentItem:5G96-RXS1-FJDY-X3YW-00000-00&amp;context=" TargetMode="External" /><Relationship Id="rId585" Type="http://schemas.openxmlformats.org/officeDocument/2006/relationships/hyperlink" Target="https://advance.lexis.com/api/document?collection=cases-ca&amp;id=urn:contentItem:5F8T-N3T1-JJSF-23CF-00000-00&amp;context=" TargetMode="External" /><Relationship Id="rId586" Type="http://schemas.openxmlformats.org/officeDocument/2006/relationships/hyperlink" Target="https://advance.lexis.com/api/document?collection=cases-ca&amp;id=urn:contentItem:5F8P-SDS1-FJDY-X2G7-00000-00&amp;context=" TargetMode="External" /><Relationship Id="rId587" Type="http://schemas.openxmlformats.org/officeDocument/2006/relationships/hyperlink" Target="https://advance.lexis.com/api/document?collection=cases-ca&amp;id=urn:contentItem:5F8T-N3V1-JTGH-B1GJ-00000-00&amp;context=" TargetMode="External" /><Relationship Id="rId588" Type="http://schemas.openxmlformats.org/officeDocument/2006/relationships/hyperlink" Target="https://advance.lexis.com/api/document?collection=cases-ca&amp;id=urn:contentItem:5F8T-N3V1-JTGH-B19N-00000-00&amp;context=" TargetMode="External" /><Relationship Id="rId589" Type="http://schemas.openxmlformats.org/officeDocument/2006/relationships/hyperlink" Target="https://advance.lexis.com/api/document?collection=cases-ca&amp;id=urn:contentItem:5F8T-N3T1-JJSF-234C-00000-00&amp;context=" TargetMode="External" /><Relationship Id="rId59" Type="http://schemas.openxmlformats.org/officeDocument/2006/relationships/footer" Target="footer10.xml" /><Relationship Id="rId590" Type="http://schemas.openxmlformats.org/officeDocument/2006/relationships/hyperlink" Target="https://advance.lexis.com/api/document?collection=cases-ca&amp;id=urn:contentItem:5F8T-N3V1-JTGH-B0YP-00000-00&amp;context=" TargetMode="External" /><Relationship Id="rId591" Type="http://schemas.openxmlformats.org/officeDocument/2006/relationships/hyperlink" Target="https://advance.lexis.com/api/document?collection=cases-ca&amp;id=urn:contentItem:5F81-VJX1-JJYN-B4PB-00000-00&amp;context=" TargetMode="External" /><Relationship Id="rId592" Type="http://schemas.openxmlformats.org/officeDocument/2006/relationships/hyperlink" Target="https://advance.lexis.com/api/document?collection=cases-ca&amp;id=urn:contentItem:5F7T-S7B1-FH4C-X3CN-00000-00&amp;context=" TargetMode="External" /><Relationship Id="rId593" Type="http://schemas.openxmlformats.org/officeDocument/2006/relationships/hyperlink" Target="https://advance.lexis.com/api/document?collection=cases-ca&amp;id=urn:contentItem:5F8T-N3S1-JBDT-B0CD-00000-00&amp;context=" TargetMode="External" /><Relationship Id="rId594" Type="http://schemas.openxmlformats.org/officeDocument/2006/relationships/hyperlink" Target="https://advance.lexis.com/api/document?collection=cases-ca&amp;id=urn:contentItem:5F82-DK51-F4NT-X0N6-00000-00&amp;context=" TargetMode="External" /><Relationship Id="rId595" Type="http://schemas.openxmlformats.org/officeDocument/2006/relationships/hyperlink" Target="https://advance.lexis.com/api/document?collection=cases-ca&amp;id=urn:contentItem:5F8W-M4C1-FCCX-615V-00000-00&amp;context=" TargetMode="External" /><Relationship Id="rId596" Type="http://schemas.openxmlformats.org/officeDocument/2006/relationships/hyperlink" Target="https://advance.lexis.com/api/document?collection=cases-ca&amp;id=urn:contentItem:5F8T-N3V1-JTGH-B1DG-00000-00&amp;context=" TargetMode="External" /><Relationship Id="rId597" Type="http://schemas.openxmlformats.org/officeDocument/2006/relationships/hyperlink" Target="https://advance.lexis.com/api/document?collection=cases-ca&amp;id=urn:contentItem:5F8T-N3T1-JJSF-2379-00000-00&amp;context=" TargetMode="External" /><Relationship Id="rId598" Type="http://schemas.openxmlformats.org/officeDocument/2006/relationships/hyperlink" Target="https://advance.lexis.com/api/document?collection=cases-ca&amp;id=urn:contentItem:5F82-DK61-JT99-23JM-00000-00&amp;context=" TargetMode="External" /><Relationship Id="rId599" Type="http://schemas.openxmlformats.org/officeDocument/2006/relationships/hyperlink" Target="https://advance.lexis.com/api/document?collection=cases-ca&amp;id=urn:contentItem:5F8T-N3V1-FC1F-M48G-00000-00&amp;context=" TargetMode="External" /><Relationship Id="rId6" Type="http://schemas.openxmlformats.org/officeDocument/2006/relationships/footer" Target="footer1.xml" /><Relationship Id="rId60" Type="http://schemas.openxmlformats.org/officeDocument/2006/relationships/footer" Target="footer11.xml" /><Relationship Id="rId600" Type="http://schemas.openxmlformats.org/officeDocument/2006/relationships/hyperlink" Target="https://advance.lexis.com/api/document?collection=cases-ca&amp;id=urn:contentItem:5F7T-V421-JX8W-M4DP-00000-00&amp;context=" TargetMode="External" /><Relationship Id="rId601" Type="http://schemas.openxmlformats.org/officeDocument/2006/relationships/hyperlink" Target="https://advance.lexis.com/api/document?collection=cases-ca&amp;id=urn:contentItem:5F7F-5RG1-FCSB-S091-00000-00&amp;context=" TargetMode="External" /><Relationship Id="rId602" Type="http://schemas.openxmlformats.org/officeDocument/2006/relationships/hyperlink" Target="https://advance.lexis.com/api/document?collection=cases-ca&amp;id=urn:contentItem:5F8T-N3T1-JFKM-650V-00000-00&amp;context=" TargetMode="External" /><Relationship Id="rId603" Type="http://schemas.openxmlformats.org/officeDocument/2006/relationships/hyperlink" Target="https://advance.lexis.com/api/document?collection=cases-ca&amp;id=urn:contentItem:5F8T-N3V1-FC1F-M45P-00000-00&amp;context=" TargetMode="External" /><Relationship Id="rId604" Type="http://schemas.openxmlformats.org/officeDocument/2006/relationships/hyperlink" Target="https://advance.lexis.com/api/document?collection=cases-ca&amp;id=urn:contentItem:5F8T-N3V1-JF75-M3M7-00000-00&amp;context=" TargetMode="External" /><Relationship Id="rId605" Type="http://schemas.openxmlformats.org/officeDocument/2006/relationships/hyperlink" Target="https://advance.lexis.com/api/document?collection=cases-ca&amp;id=urn:contentItem:5F8T-N3V1-FC1F-M47D-00000-00&amp;context=" TargetMode="External" /><Relationship Id="rId606" Type="http://schemas.openxmlformats.org/officeDocument/2006/relationships/hyperlink" Target="https://advance.lexis.com/api/document?collection=cases-ca&amp;id=urn:contentItem:5F81-VJX1-JJYN-B529-00000-00&amp;context=" TargetMode="External" /><Relationship Id="rId607" Type="http://schemas.openxmlformats.org/officeDocument/2006/relationships/hyperlink" Target="https://advance.lexis.com/api/document?collection=cases-ca&amp;id=urn:contentItem:5F8T-N3V1-FC1F-M4DC-00000-00&amp;context=" TargetMode="External" /><Relationship Id="rId608" Type="http://schemas.openxmlformats.org/officeDocument/2006/relationships/hyperlink" Target="https://advance.lexis.com/api/document?collection=cases-ca&amp;id=urn:contentItem:5F81-VJX1-JKPJ-G1FM-00000-00&amp;context=" TargetMode="External" /><Relationship Id="rId609" Type="http://schemas.openxmlformats.org/officeDocument/2006/relationships/hyperlink" Target="https://advance.lexis.com/api/document?collection=cases-ca&amp;id=urn:contentItem:5F8N-K6W1-JNJT-B50T-00000-00&amp;context=" TargetMode="External" /><Relationship Id="rId61" Type="http://schemas.openxmlformats.org/officeDocument/2006/relationships/header" Target="header12.xml" /><Relationship Id="rId610" Type="http://schemas.openxmlformats.org/officeDocument/2006/relationships/hyperlink" Target="https://advance.lexis.com/api/document?collection=cases-ca&amp;id=urn:contentItem:5F7V-3DG1-JJK6-S3K7-00000-00&amp;context=" TargetMode="External" /><Relationship Id="rId611" Type="http://schemas.openxmlformats.org/officeDocument/2006/relationships/header" Target="header85.xml" /><Relationship Id="rId612" Type="http://schemas.openxmlformats.org/officeDocument/2006/relationships/header" Target="header86.xml" /><Relationship Id="rId613" Type="http://schemas.openxmlformats.org/officeDocument/2006/relationships/footer" Target="footer85.xml" /><Relationship Id="rId614" Type="http://schemas.openxmlformats.org/officeDocument/2006/relationships/footer" Target="footer86.xml" /><Relationship Id="rId615" Type="http://schemas.openxmlformats.org/officeDocument/2006/relationships/header" Target="header87.xml" /><Relationship Id="rId616" Type="http://schemas.openxmlformats.org/officeDocument/2006/relationships/footer" Target="footer87.xml" /><Relationship Id="rId617" Type="http://schemas.openxmlformats.org/officeDocument/2006/relationships/hyperlink" Target="https://advance.lexis.com/api/document?collection=cases-ca&amp;id=urn:contentItem:5F7T-S7B1-FH4C-X385-00000-00&amp;context=" TargetMode="External" /><Relationship Id="rId618" Type="http://schemas.openxmlformats.org/officeDocument/2006/relationships/hyperlink" Target="https://advance.lexis.com/api/document?collection=cases-ca&amp;id=urn:contentItem:5F7T-XPV1-F4W2-6323-00000-00&amp;context=" TargetMode="External" /><Relationship Id="rId619" Type="http://schemas.openxmlformats.org/officeDocument/2006/relationships/hyperlink" Target="https://advance.lexis.com/api/document?collection=cases-ca&amp;id=urn:contentItem:5F7T-S781-FH4C-X2S4-00000-00&amp;context=" TargetMode="External" /><Relationship Id="rId62" Type="http://schemas.openxmlformats.org/officeDocument/2006/relationships/footer" Target="footer12.xml" /><Relationship Id="rId620" Type="http://schemas.openxmlformats.org/officeDocument/2006/relationships/hyperlink" Target="https://advance.lexis.com/api/document?collection=cases-ca&amp;id=urn:contentItem:5F81-VJX1-FFTT-X1D5-00000-00&amp;context=" TargetMode="External" /><Relationship Id="rId621" Type="http://schemas.openxmlformats.org/officeDocument/2006/relationships/hyperlink" Target="https://advance.lexis.com/api/document?collection=cases-ca&amp;id=urn:contentItem:5F7T-S751-JBM1-M23W-00000-00&amp;context=" TargetMode="External" /><Relationship Id="rId622" Type="http://schemas.openxmlformats.org/officeDocument/2006/relationships/header" Target="header88.xml" /><Relationship Id="rId623" Type="http://schemas.openxmlformats.org/officeDocument/2006/relationships/header" Target="header89.xml" /><Relationship Id="rId624" Type="http://schemas.openxmlformats.org/officeDocument/2006/relationships/footer" Target="footer88.xml" /><Relationship Id="rId625" Type="http://schemas.openxmlformats.org/officeDocument/2006/relationships/footer" Target="footer89.xml" /><Relationship Id="rId626" Type="http://schemas.openxmlformats.org/officeDocument/2006/relationships/header" Target="header90.xml" /><Relationship Id="rId627" Type="http://schemas.openxmlformats.org/officeDocument/2006/relationships/footer" Target="footer90.xml" /><Relationship Id="rId628" Type="http://schemas.openxmlformats.org/officeDocument/2006/relationships/hyperlink" Target="https://advance.lexis.com/api/document?collection=cases-ca&amp;id=urn:contentItem:5F7T-S7J1-JGBH-B222-00000-00&amp;context=" TargetMode="External" /><Relationship Id="rId629" Type="http://schemas.openxmlformats.org/officeDocument/2006/relationships/hyperlink" Target="https://advance.lexis.com/api/document?collection=cases-ca&amp;id=urn:contentItem:5F8P-SBT1-F8KH-X2JH-00000-00&amp;context=" TargetMode="External" /><Relationship Id="rId63" Type="http://schemas.openxmlformats.org/officeDocument/2006/relationships/hyperlink" Target="https://advance.lexis.com/api/document?collection=cases-ca&amp;id=urn:contentItem:5F7T-S781-FH4C-X2PV-00000-00&amp;context=" TargetMode="External" /><Relationship Id="rId630" Type="http://schemas.openxmlformats.org/officeDocument/2006/relationships/hyperlink" Target="https://advance.lexis.com/api/document?collection=cases-ca&amp;id=urn:contentItem:5F8T-N3T1-JFKM-652P-00000-00&amp;context=" TargetMode="External" /><Relationship Id="rId631" Type="http://schemas.openxmlformats.org/officeDocument/2006/relationships/hyperlink" Target="https://advance.lexis.com/api/document?collection=cases-ca&amp;id=urn:contentItem:5F8T-N3V1-JTGH-B1DH-00000-00&amp;context=" TargetMode="External" /><Relationship Id="rId632" Type="http://schemas.openxmlformats.org/officeDocument/2006/relationships/hyperlink" Target="https://advance.lexis.com/api/document?collection=cases-ca&amp;id=urn:contentItem:5F7T-S711-F4W2-61MS-00000-00&amp;context=" TargetMode="External" /><Relationship Id="rId633" Type="http://schemas.openxmlformats.org/officeDocument/2006/relationships/image" Target="media/image2.png" /><Relationship Id="rId634" Type="http://schemas.openxmlformats.org/officeDocument/2006/relationships/image" Target="media/image3.png" /><Relationship Id="rId635" Type="http://schemas.openxmlformats.org/officeDocument/2006/relationships/hyperlink" Target="https://advance.lexis.com/api/document?collection=cases-ca&amp;id=urn:contentItem:5F7T-S7J1-JYYX-62K2-00000-00&amp;context=" TargetMode="External" /><Relationship Id="rId636" Type="http://schemas.openxmlformats.org/officeDocument/2006/relationships/hyperlink" Target="https://advance.lexis.com/api/document?collection=cases-ca&amp;id=urn:contentItem:5F8P-SCY1-F65M-630H-00000-00&amp;context=" TargetMode="External" /><Relationship Id="rId637" Type="http://schemas.openxmlformats.org/officeDocument/2006/relationships/hyperlink" Target="https://advance.lexis.com/api/document?collection=cases-ca&amp;id=urn:contentItem:5F8P-SDN1-FC6N-X4X2-00000-00&amp;context=" TargetMode="External" /><Relationship Id="rId638" Type="http://schemas.openxmlformats.org/officeDocument/2006/relationships/hyperlink" Target="https://advance.lexis.com/api/document?collection=cases-ca&amp;id=urn:contentItem:5F7T-S7J1-FGCG-S052-00000-00&amp;context=" TargetMode="External" /><Relationship Id="rId639" Type="http://schemas.openxmlformats.org/officeDocument/2006/relationships/header" Target="header91.xml" /><Relationship Id="rId64" Type="http://schemas.openxmlformats.org/officeDocument/2006/relationships/hyperlink" Target="https://advance.lexis.com/api/document?collection=legislation-ca&amp;id=urn:contentItem:5F41-1FJ1-JKPJ-G0P7-00000-00&amp;context=" TargetMode="External" /><Relationship Id="rId640" Type="http://schemas.openxmlformats.org/officeDocument/2006/relationships/header" Target="header92.xml" /><Relationship Id="rId641" Type="http://schemas.openxmlformats.org/officeDocument/2006/relationships/footer" Target="footer91.xml" /><Relationship Id="rId642" Type="http://schemas.openxmlformats.org/officeDocument/2006/relationships/footer" Target="footer92.xml" /><Relationship Id="rId643" Type="http://schemas.openxmlformats.org/officeDocument/2006/relationships/header" Target="header93.xml" /><Relationship Id="rId644" Type="http://schemas.openxmlformats.org/officeDocument/2006/relationships/footer" Target="footer93.xml" /><Relationship Id="rId645" Type="http://schemas.openxmlformats.org/officeDocument/2006/relationships/hyperlink" Target="https://advance.lexis.com/api/document?collection=cases-ca&amp;id=urn:contentItem:5F7T-S7G1-JPP5-21MC-00000-00&amp;context=" TargetMode="External" /><Relationship Id="rId646" Type="http://schemas.openxmlformats.org/officeDocument/2006/relationships/hyperlink" Target="https://advance.lexis.com/api/document?collection=cases-ca&amp;id=urn:contentItem:5F7D-TK01-JW5H-X090-00000-00&amp;context=" TargetMode="External" /><Relationship Id="rId647" Type="http://schemas.openxmlformats.org/officeDocument/2006/relationships/hyperlink" Target="https://advance.lexis.com/api/document?collection=legislation-ca&amp;id=urn:contentItem:5VYK-WB61-JJD0-G4F3-00000-00&amp;context=" TargetMode="External" /><Relationship Id="rId648" Type="http://schemas.openxmlformats.org/officeDocument/2006/relationships/hyperlink" Target="https://advance.lexis.com/api/document?collection=legislation-ca&amp;id=urn:contentItem:5SJV-0541-JN6B-S071-00000-00&amp;context=" TargetMode="External" /><Relationship Id="rId649" Type="http://schemas.openxmlformats.org/officeDocument/2006/relationships/hyperlink" Target="https://advance.lexis.com/api/document?collection=cases-ca&amp;id=urn:contentItem:5F7T-S771-F361-M1XM-00000-00&amp;context=" TargetMode="External" /><Relationship Id="rId65" Type="http://schemas.openxmlformats.org/officeDocument/2006/relationships/hyperlink" Target="https://advance.lexis.com/api/document?collection=cases-ca&amp;id=urn:contentItem:5F8T-N3V1-JF75-M3S6-00000-00&amp;context=" TargetMode="External" /><Relationship Id="rId650" Type="http://schemas.openxmlformats.org/officeDocument/2006/relationships/hyperlink" Target="https://advance.lexis.com/api/document?collection=cases-ca&amp;id=urn:contentItem:5F7T-S7B1-JCJ5-201K-00000-00&amp;context=" TargetMode="External" /><Relationship Id="rId651" Type="http://schemas.openxmlformats.org/officeDocument/2006/relationships/hyperlink" Target="https://advance.lexis.com/api/document?collection=cases-ca&amp;id=urn:contentItem:5F7T-S7G1-F5KY-B1PM-00000-00&amp;context=" TargetMode="External" /><Relationship Id="rId652" Type="http://schemas.openxmlformats.org/officeDocument/2006/relationships/hyperlink" Target="https://advance.lexis.com/api/document?collection=cases-ca&amp;id=urn:contentItem:5F7T-S7G1-F5KY-B1PN-00000-00&amp;context=" TargetMode="External" /><Relationship Id="rId653" Type="http://schemas.openxmlformats.org/officeDocument/2006/relationships/hyperlink" Target="https://advance.lexis.com/api/document?collection=cases-ca&amp;id=urn:contentItem:5F7T-S7C1-F7ND-G04M-00000-00&amp;context=" TargetMode="External" /><Relationship Id="rId654" Type="http://schemas.openxmlformats.org/officeDocument/2006/relationships/hyperlink" Target="https://advance.lexis.com/api/document?collection=cases-ca&amp;id=urn:contentItem:5F7T-S7C1-F7VM-S3G1-00000-00&amp;context=" TargetMode="External" /><Relationship Id="rId655" Type="http://schemas.openxmlformats.org/officeDocument/2006/relationships/hyperlink" Target="https://advance.lexis.com/api/document?collection=cases-ca&amp;id=urn:contentItem:5F7T-S7C1-JXG3-X09T-00000-00&amp;context=" TargetMode="External" /><Relationship Id="rId656" Type="http://schemas.openxmlformats.org/officeDocument/2006/relationships/hyperlink" Target="https://advance.lexis.com/api/document?collection=cases-ca&amp;id=urn:contentItem:5F8T-N3V1-FC1F-M3WT-00000-00&amp;context=" TargetMode="External" /><Relationship Id="rId657" Type="http://schemas.openxmlformats.org/officeDocument/2006/relationships/hyperlink" Target="https://advance.lexis.com/api/document?collection=cases-ca&amp;id=urn:contentItem:5F8T-N3V1-JTGH-B14J-00000-00&amp;context=" TargetMode="External" /><Relationship Id="rId658" Type="http://schemas.openxmlformats.org/officeDocument/2006/relationships/hyperlink" Target="https://advance.lexis.com/api/document?collection=cases-ca&amp;id=urn:contentItem:5F7T-S721-JSC5-M3TJ-00000-00&amp;context=" TargetMode="External" /><Relationship Id="rId659" Type="http://schemas.openxmlformats.org/officeDocument/2006/relationships/hyperlink" Target="https://advance.lexis.com/api/document?collection=cases-ca&amp;id=urn:contentItem:5F8T-N3V1-FC1F-M47Y-00000-00&amp;context=" TargetMode="External" /><Relationship Id="rId66" Type="http://schemas.openxmlformats.org/officeDocument/2006/relationships/header" Target="header13.xml" /><Relationship Id="rId660" Type="http://schemas.openxmlformats.org/officeDocument/2006/relationships/hyperlink" Target="https://advance.lexis.com/api/document?collection=cases-ca&amp;id=urn:contentItem:5F8T-N3V1-JF75-M3RB-00000-00&amp;context=" TargetMode="External" /><Relationship Id="rId661" Type="http://schemas.openxmlformats.org/officeDocument/2006/relationships/hyperlink" Target="https://advance.lexis.com/api/document?collection=analytical-materials-ca&amp;id=urn:contentItem:5HSF-1SC1-JJSF-2403-00000-00&amp;context=" TargetMode="External" /><Relationship Id="rId662" Type="http://schemas.openxmlformats.org/officeDocument/2006/relationships/hyperlink" Target="https://advance.lexis.com/api/document?collection=cases-ca&amp;id=urn:contentItem:5F8T-N3S1-JT99-24WM-00000-00&amp;context=" TargetMode="External" /><Relationship Id="rId663" Type="http://schemas.openxmlformats.org/officeDocument/2006/relationships/hyperlink" Target="https://advance.lexis.com/api/document?collection=cases-ca&amp;id=urn:contentItem:5F8T-N3T1-JFKM-654P-00000-00&amp;context=" TargetMode="External" /><Relationship Id="rId664" Type="http://schemas.openxmlformats.org/officeDocument/2006/relationships/hyperlink" Target="https://advance.lexis.com/api/document?collection=cases-ca&amp;id=urn:contentItem:5F81-VJV1-JK4W-M53F-00000-00&amp;context=" TargetMode="External" /><Relationship Id="rId665" Type="http://schemas.openxmlformats.org/officeDocument/2006/relationships/hyperlink" Target="https://advance.lexis.com/api/document?collection=cases-ca&amp;id=urn:contentItem:5F8T-N3T1-JJSF-2387-00000-00&amp;context=" TargetMode="External" /><Relationship Id="rId666" Type="http://schemas.openxmlformats.org/officeDocument/2006/relationships/hyperlink" Target="https://advance.lexis.com/api/document?collection=cases-ca&amp;id=urn:contentItem:5F8W-M491-K0HK-2450-00000-00&amp;context=" TargetMode="External" /><Relationship Id="rId667" Type="http://schemas.openxmlformats.org/officeDocument/2006/relationships/hyperlink" Target="https://advance.lexis.com/api/document?collection=cases-ca&amp;id=urn:contentItem:5F7T-S7G1-JBT7-X4DJ-00000-00&amp;context=" TargetMode="External" /><Relationship Id="rId668" Type="http://schemas.openxmlformats.org/officeDocument/2006/relationships/hyperlink" Target="https://advance.lexis.com/api/document?collection=cases-ca&amp;id=urn:contentItem:5F8T-N3V1-FC1F-M4GR-00000-00&amp;context=" TargetMode="External" /><Relationship Id="rId669" Type="http://schemas.openxmlformats.org/officeDocument/2006/relationships/hyperlink" Target="https://advance.lexis.com/api/document?collection=cases-ca&amp;id=urn:contentItem:5F7D-TJY1-FGJR-20DB-00000-00&amp;context=" TargetMode="External" /><Relationship Id="rId67" Type="http://schemas.openxmlformats.org/officeDocument/2006/relationships/header" Target="header14.xml" /><Relationship Id="rId670" Type="http://schemas.openxmlformats.org/officeDocument/2006/relationships/hyperlink" Target="https://advance.lexis.com/api/document?collection=cases-ca&amp;id=urn:contentItem:5F7D-TJY1-FGJR-209C-00000-00&amp;context=" TargetMode="External" /><Relationship Id="rId671" Type="http://schemas.openxmlformats.org/officeDocument/2006/relationships/hyperlink" Target="https://advance.lexis.com/api/document?collection=cases-ca&amp;id=urn:contentItem:5F7T-XPW1-JK4W-M2T1-00000-00&amp;context=" TargetMode="External" /><Relationship Id="rId672" Type="http://schemas.openxmlformats.org/officeDocument/2006/relationships/hyperlink" Target="https://advance.lexis.com/api/document?collection=cases-ca&amp;id=urn:contentItem:5F7F-5RG1-JC5P-G0F6-00000-00&amp;context=" TargetMode="External" /><Relationship Id="rId673" Type="http://schemas.openxmlformats.org/officeDocument/2006/relationships/hyperlink" Target="https://advance.lexis.com/api/document?collection=cases-ca&amp;id=urn:contentItem:5F8T-N3S1-JBDT-B03R-00000-00&amp;context=" TargetMode="External" /><Relationship Id="rId674" Type="http://schemas.openxmlformats.org/officeDocument/2006/relationships/hyperlink" Target="https://advance.lexis.com/api/document?collection=cases-ca&amp;id=urn:contentItem:5F7F-5RH1-JTGH-B061-00000-00&amp;context=" TargetMode="External" /><Relationship Id="rId675" Type="http://schemas.openxmlformats.org/officeDocument/2006/relationships/hyperlink" Target="https://advance.lexis.com/api/document?collection=cases-ca&amp;id=urn:contentItem:5F81-WC31-F5KY-B4KH-00000-00&amp;context=" TargetMode="External" /><Relationship Id="rId676" Type="http://schemas.openxmlformats.org/officeDocument/2006/relationships/hyperlink" Target="https://advance.lexis.com/api/document?collection=cases-ca&amp;id=urn:contentItem:5F8T-N3T1-JGHR-M285-00000-00&amp;context=" TargetMode="External" /><Relationship Id="rId677" Type="http://schemas.openxmlformats.org/officeDocument/2006/relationships/hyperlink" Target="https://advance.lexis.com/api/document?collection=cases-ca&amp;id=urn:contentItem:5F7T-S7G1-JBT7-X48N-00000-00&amp;context=" TargetMode="External" /><Relationship Id="rId678" Type="http://schemas.openxmlformats.org/officeDocument/2006/relationships/hyperlink" Target="https://advance.lexis.com/api/document?collection=cases-ca&amp;id=urn:contentItem:5F8T-N3T1-JFKM-654R-00000-00&amp;context=" TargetMode="External" /><Relationship Id="rId679" Type="http://schemas.openxmlformats.org/officeDocument/2006/relationships/hyperlink" Target="https://advance.lexis.com/api/document?collection=cases-ca&amp;id=urn:contentItem:5F8T-N3T1-JJSF-23MG-00000-00&amp;context=" TargetMode="External" /><Relationship Id="rId68" Type="http://schemas.openxmlformats.org/officeDocument/2006/relationships/footer" Target="footer13.xml" /><Relationship Id="rId680" Type="http://schemas.openxmlformats.org/officeDocument/2006/relationships/hyperlink" Target="https://advance.lexis.com/api/document?collection=cases-ca&amp;id=urn:contentItem:5F8T-N3T1-JJSF-23N7-00000-00&amp;context=" TargetMode="External" /><Relationship Id="rId681" Type="http://schemas.openxmlformats.org/officeDocument/2006/relationships/hyperlink" Target="https://advance.lexis.com/api/document?collection=cases-ca&amp;id=urn:contentItem:5F7T-S6X1-F7G6-628G-00000-00&amp;context=" TargetMode="External" /><Relationship Id="rId682" Type="http://schemas.openxmlformats.org/officeDocument/2006/relationships/hyperlink" Target="https://advance.lexis.com/api/document?collection=cases-ca&amp;id=urn:contentItem:5F8P-JG41-FCSB-S4BF-00000-00&amp;context=" TargetMode="External" /><Relationship Id="rId683" Type="http://schemas.openxmlformats.org/officeDocument/2006/relationships/hyperlink" Target="https://advance.lexis.com/api/document?collection=cases-ca&amp;id=urn:contentItem:5F8T-N3V1-JF75-M3RP-00000-00&amp;context=" TargetMode="External" /><Relationship Id="rId684" Type="http://schemas.openxmlformats.org/officeDocument/2006/relationships/hyperlink" Target="https://advance.lexis.com/api/document?collection=analytical-materials-ca&amp;id=urn:contentItem:5HSF-42J1-JPGX-S2WC-00000-00&amp;context=" TargetMode="External" /><Relationship Id="rId685" Type="http://schemas.openxmlformats.org/officeDocument/2006/relationships/hyperlink" Target="https://advance.lexis.com/api/document?collection=cases-ca&amp;id=urn:contentItem:5F7D-TJY1-FGJR-2074-00000-00&amp;context=" TargetMode="External" /><Relationship Id="rId686" Type="http://schemas.openxmlformats.org/officeDocument/2006/relationships/hyperlink" Target="https://advance.lexis.com/api/document?collection=cases-ca&amp;id=urn:contentItem:5F7H-KW91-F57G-S0FK-00000-00&amp;context=" TargetMode="External" /><Relationship Id="rId687" Type="http://schemas.openxmlformats.org/officeDocument/2006/relationships/hyperlink" Target="https://advance.lexis.com/api/document?collection=cases-ca&amp;id=urn:contentItem:5F7H-KW91-DYV0-G00H-00000-00&amp;context=" TargetMode="External" /><Relationship Id="rId688" Type="http://schemas.openxmlformats.org/officeDocument/2006/relationships/hyperlink" Target="https://advance.lexis.com/api/document?collection=cases-ca&amp;id=urn:contentItem:5F7T-XPW1-JG59-21YC-00000-00&amp;context=" TargetMode="External" /><Relationship Id="rId689" Type="http://schemas.openxmlformats.org/officeDocument/2006/relationships/hyperlink" Target="https://advance.lexis.com/api/document?collection=cases-ca&amp;id=urn:contentItem:5F81-VJV1-F60C-X32G-00000-00&amp;context=" TargetMode="External" /><Relationship Id="rId69" Type="http://schemas.openxmlformats.org/officeDocument/2006/relationships/footer" Target="footer14.xml" /><Relationship Id="rId690" Type="http://schemas.openxmlformats.org/officeDocument/2006/relationships/hyperlink" Target="https://advance.lexis.com/api/document?collection=cases-ca&amp;id=urn:contentItem:5F8T-N3V1-JF75-M3P8-00000-00&amp;context=" TargetMode="External" /><Relationship Id="rId691" Type="http://schemas.openxmlformats.org/officeDocument/2006/relationships/hyperlink" Target="https://advance.lexis.com/api/document?collection=cases-ca&amp;id=urn:contentItem:5F8T-N3T1-JJSF-2331-00000-00&amp;context=" TargetMode="External" /><Relationship Id="rId692" Type="http://schemas.openxmlformats.org/officeDocument/2006/relationships/hyperlink" Target="https://advance.lexis.com/api/document?collection=cases-ca&amp;id=urn:contentItem:5F8T-N3V1-JTGH-B12R-00000-00&amp;context=" TargetMode="External" /><Relationship Id="rId693" Type="http://schemas.openxmlformats.org/officeDocument/2006/relationships/hyperlink" Target="https://advance.lexis.com/api/document?collection=cases-ca&amp;id=urn:contentItem:5F8T-N3V1-JTGH-B181-00000-00&amp;context=" TargetMode="External" /><Relationship Id="rId694" Type="http://schemas.openxmlformats.org/officeDocument/2006/relationships/hyperlink" Target="https://advance.lexis.com/api/document?collection=cases-ca&amp;id=urn:contentItem:5F7T-S7D1-JN6B-S14C-00000-00&amp;context=" TargetMode="External" /><Relationship Id="rId695" Type="http://schemas.openxmlformats.org/officeDocument/2006/relationships/hyperlink" Target="https://advance.lexis.com/api/document?collection=cases-ca&amp;id=urn:contentItem:5F7T-S751-FJDY-X41D-00000-00&amp;context=" TargetMode="External" /><Relationship Id="rId696" Type="http://schemas.openxmlformats.org/officeDocument/2006/relationships/hyperlink" Target="https://advance.lexis.com/api/document?collection=cases-ca&amp;id=urn:contentItem:5F7T-S771-JTGH-B1BD-00000-00&amp;context=" TargetMode="External" /><Relationship Id="rId697" Type="http://schemas.openxmlformats.org/officeDocument/2006/relationships/hyperlink" Target="https://advance.lexis.com/api/document?collection=cases-ca&amp;id=urn:contentItem:5F7D-TJY1-FGJR-2088-00000-00&amp;context=" TargetMode="External" /><Relationship Id="rId698" Type="http://schemas.openxmlformats.org/officeDocument/2006/relationships/hyperlink" Target="https://advance.lexis.com/api/document?collection=cases-ca&amp;id=urn:contentItem:5F8T-N3V1-FC1F-M4C9-00000-00&amp;context=" TargetMode="External" /><Relationship Id="rId699" Type="http://schemas.openxmlformats.org/officeDocument/2006/relationships/hyperlink" Target="https://advance.lexis.com/api/document?collection=cases-ca&amp;id=urn:contentItem:5F8T-N3V1-JTGH-B0YD-00000-00&amp;context=" TargetMode="External" /><Relationship Id="rId7" Type="http://schemas.openxmlformats.org/officeDocument/2006/relationships/footer" Target="footer2.xml" /><Relationship Id="rId70" Type="http://schemas.openxmlformats.org/officeDocument/2006/relationships/header" Target="header15.xml" /><Relationship Id="rId700" Type="http://schemas.openxmlformats.org/officeDocument/2006/relationships/hyperlink" Target="https://advance.lexis.com/api/document?collection=cases-ca&amp;id=urn:contentItem:5F8T-N3V1-JTGH-B186-00000-00&amp;context=" TargetMode="External" /><Relationship Id="rId701" Type="http://schemas.openxmlformats.org/officeDocument/2006/relationships/hyperlink" Target="https://advance.lexis.com/api/document?collection=cases-ca&amp;id=urn:contentItem:5F8T-N3T1-JJSF-2382-00000-00&amp;context=" TargetMode="External" /><Relationship Id="rId702" Type="http://schemas.openxmlformats.org/officeDocument/2006/relationships/hyperlink" Target="https://advance.lexis.com/api/document?collection=cases-ca&amp;id=urn:contentItem:5F8T-N3V1-FC1F-M412-00000-00&amp;context=" TargetMode="External" /><Relationship Id="rId703" Type="http://schemas.openxmlformats.org/officeDocument/2006/relationships/hyperlink" Target="https://advance.lexis.com/api/document?collection=cases-ca&amp;id=urn:contentItem:5F8T-N3T1-JJSF-23JD-00000-00&amp;context=" TargetMode="External" /><Relationship Id="rId704" Type="http://schemas.openxmlformats.org/officeDocument/2006/relationships/hyperlink" Target="https://advance.lexis.com/api/document?collection=analytical-materials-ca&amp;id=urn:contentItem:5HSF-1SC1-JJSF-23W9-00000-00&amp;context=" TargetMode="External" /><Relationship Id="rId705" Type="http://schemas.openxmlformats.org/officeDocument/2006/relationships/hyperlink" Target="https://advance.lexis.com/api/document?collection=cases-ca&amp;id=urn:contentItem:5F8T-N3T1-JJSF-239D-00000-00&amp;context=" TargetMode="External" /><Relationship Id="rId706" Type="http://schemas.openxmlformats.org/officeDocument/2006/relationships/hyperlink" Target="https://advance.lexis.com/api/document?collection=cases-ca&amp;id=urn:contentItem:5F8T-N3S1-JBDT-B06X-00000-00&amp;context=" TargetMode="External" /><Relationship Id="rId707" Type="http://schemas.openxmlformats.org/officeDocument/2006/relationships/hyperlink" Target="https://advance.lexis.com/api/document?collection=cases-ca&amp;id=urn:contentItem:5F7T-S6W1-F8SS-62KB-00000-00&amp;context=" TargetMode="External" /><Relationship Id="rId708" Type="http://schemas.openxmlformats.org/officeDocument/2006/relationships/hyperlink" Target="https://advance.lexis.com/api/document?collection=cases-ca&amp;id=urn:contentItem:5F7T-S781-F7G6-63K5-00000-00&amp;context=" TargetMode="External" /><Relationship Id="rId709" Type="http://schemas.openxmlformats.org/officeDocument/2006/relationships/hyperlink" Target="https://advance.lexis.com/api/document?collection=cases-ca&amp;id=urn:contentItem:5F7D-TJY1-FGJR-2036-00000-00&amp;context=" TargetMode="External" /><Relationship Id="rId71" Type="http://schemas.openxmlformats.org/officeDocument/2006/relationships/footer" Target="footer15.xml" /><Relationship Id="rId710" Type="http://schemas.openxmlformats.org/officeDocument/2006/relationships/hyperlink" Target="https://advance.lexis.com/api/document?collection=cases-ca&amp;id=urn:contentItem:5F7T-S771-F361-M1JS-00000-00&amp;context=" TargetMode="External" /><Relationship Id="rId711" Type="http://schemas.openxmlformats.org/officeDocument/2006/relationships/hyperlink" Target="https://advance.lexis.com/api/document?collection=analytical-materials-ca&amp;id=urn:contentItem:5HSF-42J1-JPGX-S2YD-00000-00&amp;context=" TargetMode="External" /><Relationship Id="rId712" Type="http://schemas.openxmlformats.org/officeDocument/2006/relationships/hyperlink" Target="https://advance.lexis.com/api/document?collection=cases-ca&amp;id=urn:contentItem:5F7T-S7F1-FJTD-G3C4-00000-00&amp;context=" TargetMode="External" /><Relationship Id="rId713" Type="http://schemas.openxmlformats.org/officeDocument/2006/relationships/hyperlink" Target="https://advance.lexis.com/api/document?collection=legislation-ca&amp;id=urn:contentItem:5VYK-WB31-FFTT-X0VN-00000-00&amp;context=" TargetMode="External" /><Relationship Id="rId714" Type="http://schemas.openxmlformats.org/officeDocument/2006/relationships/hyperlink" Target="https://advance.lexis.com/api/document?collection=cases-ca&amp;id=urn:contentItem:5F8T-N3T1-JGHR-M26Y-00000-00&amp;context=" TargetMode="External" /><Relationship Id="rId715" Type="http://schemas.openxmlformats.org/officeDocument/2006/relationships/hyperlink" Target="https://advance.lexis.com/api/document?collection=cases-ca&amp;id=urn:contentItem:5F8T-N3V1-JF75-M3RD-00000-00&amp;context=" TargetMode="External" /><Relationship Id="rId716" Type="http://schemas.openxmlformats.org/officeDocument/2006/relationships/hyperlink" Target="https://advance.lexis.com/api/document?collection=cases-ca&amp;id=urn:contentItem:5F7D-TJY1-FJDY-X0HH-00000-00&amp;context=" TargetMode="External" /><Relationship Id="rId717" Type="http://schemas.openxmlformats.org/officeDocument/2006/relationships/hyperlink" Target="https://advance.lexis.com/api/document?collection=cases-ca&amp;id=urn:contentItem:5F7T-S741-F2F4-G275-00000-00&amp;context=" TargetMode="External" /><Relationship Id="rId718" Type="http://schemas.openxmlformats.org/officeDocument/2006/relationships/hyperlink" Target="https://advance.lexis.com/api/document?collection=cases-ca&amp;id=urn:contentItem:5F8T-N3V1-JFKM-6027-00000-00&amp;context=" TargetMode="External" /><Relationship Id="rId719" Type="http://schemas.openxmlformats.org/officeDocument/2006/relationships/hyperlink" Target="https://advance.lexis.com/api/document?collection=cases-ca&amp;id=urn:contentItem:5F8T-N3V1-JF75-M3RC-00000-00&amp;context=" TargetMode="External" /><Relationship Id="rId72" Type="http://schemas.openxmlformats.org/officeDocument/2006/relationships/hyperlink" Target="https://advance.lexis.com/api/document?collection=cases-ca&amp;id=urn:contentItem:5F7T-S7F1-JX3N-B1XJ-00000-00&amp;context=" TargetMode="External" /><Relationship Id="rId720" Type="http://schemas.openxmlformats.org/officeDocument/2006/relationships/hyperlink" Target="https://advance.lexis.com/api/document?collection=cases-ca&amp;id=urn:contentItem:5F8T-N3V1-FC1F-M4DY-00000-00&amp;context=" TargetMode="External" /><Relationship Id="rId721" Type="http://schemas.openxmlformats.org/officeDocument/2006/relationships/hyperlink" Target="https://advance.lexis.com/api/document?collection=cases-ca&amp;id=urn:contentItem:5F7D-TJY1-FJDY-X0KW-00000-00&amp;context=" TargetMode="External" /><Relationship Id="rId722" Type="http://schemas.openxmlformats.org/officeDocument/2006/relationships/hyperlink" Target="https://advance.lexis.com/api/document?collection=analytical-materials-ca&amp;id=urn:contentItem:5HSF-1SC1-JJSF-24J7-00000-00&amp;context=" TargetMode="External" /><Relationship Id="rId723" Type="http://schemas.openxmlformats.org/officeDocument/2006/relationships/hyperlink" Target="https://advance.lexis.com/api/document?collection=legislation-ca&amp;id=urn:contentItem:5VYK-W9W1-JWBS-64Y3-00000-00&amp;context=" TargetMode="External" /><Relationship Id="rId724" Type="http://schemas.openxmlformats.org/officeDocument/2006/relationships/hyperlink" Target="https://advance.lexis.com/api/document?collection=cases-ca&amp;id=urn:contentItem:5F8T-N3V1-FC1F-M439-00000-00&amp;context=" TargetMode="External" /><Relationship Id="rId725" Type="http://schemas.openxmlformats.org/officeDocument/2006/relationships/hyperlink" Target="https://advance.lexis.com/api/document?collection=cases-ca&amp;id=urn:contentItem:5F7D-TK01-JW5H-X013-00000-00&amp;context=" TargetMode="External" /><Relationship Id="rId726" Type="http://schemas.openxmlformats.org/officeDocument/2006/relationships/hyperlink" Target="https://advance.lexis.com/api/document?collection=cases-ca&amp;id=urn:contentItem:5F7H-KW91-FGJR-20SN-00000-00&amp;context=" TargetMode="External" /><Relationship Id="rId727" Type="http://schemas.openxmlformats.org/officeDocument/2006/relationships/hyperlink" Target="https://advance.lexis.com/api/document?collection=cases-ca&amp;id=urn:contentItem:5F7T-S7G1-F5KY-B1FJ-00000-00&amp;context=" TargetMode="External" /><Relationship Id="rId728" Type="http://schemas.openxmlformats.org/officeDocument/2006/relationships/hyperlink" Target="https://advance.lexis.com/api/document?collection=cases-ca&amp;id=urn:contentItem:5F7T-S7F1-DXWW-23D2-00000-00&amp;context=" TargetMode="External" /><Relationship Id="rId729" Type="http://schemas.openxmlformats.org/officeDocument/2006/relationships/hyperlink" Target="https://advance.lexis.com/api/document?collection=cases-ca&amp;id=urn:contentItem:5F7T-S721-JSC5-M3TG-00000-00&amp;context=" TargetMode="External" /><Relationship Id="rId73" Type="http://schemas.openxmlformats.org/officeDocument/2006/relationships/hyperlink" Target="https://advance.lexis.com/api/document?collection=cases-ca&amp;id=urn:contentItem:5F7T-S781-F27X-6134-00000-00&amp;context=" TargetMode="External" /><Relationship Id="rId730" Type="http://schemas.openxmlformats.org/officeDocument/2006/relationships/hyperlink" Target="https://advance.lexis.com/api/document?collection=legislation-ca&amp;id=urn:contentItem:5F41-1FH1-JSRM-601D-00000-00&amp;context=" TargetMode="External" /><Relationship Id="rId731" Type="http://schemas.openxmlformats.org/officeDocument/2006/relationships/hyperlink" Target="https://advance.lexis.com/api/document?collection=cases-ca&amp;id=urn:contentItem:5F8T-N3T1-JJSF-2393-00000-00&amp;context=" TargetMode="External" /><Relationship Id="rId732" Type="http://schemas.openxmlformats.org/officeDocument/2006/relationships/hyperlink" Target="https://advance.lexis.com/api/document?collection=cases-ca&amp;id=urn:contentItem:5F8T-N3T1-JJSF-23NY-00000-00&amp;context=" TargetMode="External" /><Relationship Id="rId733" Type="http://schemas.openxmlformats.org/officeDocument/2006/relationships/hyperlink" Target="https://advance.lexis.com/api/document?collection=cases-ca&amp;id=urn:contentItem:5F8T-N3V1-JF75-M3M8-00000-00&amp;context=" TargetMode="External" /><Relationship Id="rId734" Type="http://schemas.openxmlformats.org/officeDocument/2006/relationships/hyperlink" Target="https://advance.lexis.com/api/document?collection=cases-ca&amp;id=urn:contentItem:5F8T-N3V1-JF75-M3P0-00000-00&amp;context=" TargetMode="External" /><Relationship Id="rId735" Type="http://schemas.openxmlformats.org/officeDocument/2006/relationships/hyperlink" Target="https://advance.lexis.com/api/document?collection=cases-ca&amp;id=urn:contentItem:5F8T-N3V1-JTGH-B15G-00000-00&amp;context=" TargetMode="External" /><Relationship Id="rId736" Type="http://schemas.openxmlformats.org/officeDocument/2006/relationships/hyperlink" Target="https://advance.lexis.com/api/document?collection=cases-ca&amp;id=urn:contentItem:5F8T-N3N1-JWXF-24SJ-00000-00&amp;context=" TargetMode="External" /><Relationship Id="rId737" Type="http://schemas.openxmlformats.org/officeDocument/2006/relationships/hyperlink" Target="https://advance.lexis.com/api/document?collection=cases-ca&amp;id=urn:contentItem:5F8T-N3V1-JTGH-B12S-00000-00&amp;context=" TargetMode="External" /><Relationship Id="rId738" Type="http://schemas.openxmlformats.org/officeDocument/2006/relationships/hyperlink" Target="https://advance.lexis.com/api/document?collection=cases-ca&amp;id=urn:contentItem:5F7V-3DJ1-F30T-B41S-00000-00&amp;context=" TargetMode="External" /><Relationship Id="rId739" Type="http://schemas.openxmlformats.org/officeDocument/2006/relationships/hyperlink" Target="https://advance.lexis.com/api/document?collection=cases-ca&amp;id=urn:contentItem:5F7V-3DJ1-F30T-B48C-00000-00&amp;context=" TargetMode="External" /><Relationship Id="rId74" Type="http://schemas.openxmlformats.org/officeDocument/2006/relationships/hyperlink" Target="https://advance.lexis.com/api/document?collection=cases-ca&amp;id=urn:contentItem:5F7T-S771-JW5H-X207-00000-00&amp;context=" TargetMode="External" /><Relationship Id="rId740" Type="http://schemas.openxmlformats.org/officeDocument/2006/relationships/hyperlink" Target="https://advance.lexis.com/api/document?collection=cases-ca&amp;id=urn:contentItem:5F82-1SF1-F4W2-6393-00000-00&amp;context=" TargetMode="External" /><Relationship Id="rId741" Type="http://schemas.openxmlformats.org/officeDocument/2006/relationships/hyperlink" Target="https://advance.lexis.com/api/document?collection=cases-ca&amp;id=urn:contentItem:5F81-VJX1-JJYN-B52P-00000-00&amp;context=" TargetMode="External" /><Relationship Id="rId742" Type="http://schemas.openxmlformats.org/officeDocument/2006/relationships/hyperlink" Target="https://advance.lexis.com/api/document?collection=cases-ca&amp;id=urn:contentItem:5F82-1SF1-K054-G4D4-00000-00&amp;context=" TargetMode="External" /><Relationship Id="rId743" Type="http://schemas.openxmlformats.org/officeDocument/2006/relationships/hyperlink" Target="https://advance.lexis.com/api/document?collection=cases-ca&amp;id=urn:contentItem:5F16-9351-FFFC-B2YY-00000-00&amp;context=" TargetMode="External" /><Relationship Id="rId744" Type="http://schemas.openxmlformats.org/officeDocument/2006/relationships/hyperlink" Target="https://advance.lexis.com/api/document?collection=cases-ca&amp;id=urn:contentItem:5F7T-S761-FFMK-M0VH-00000-00&amp;context=" TargetMode="External" /><Relationship Id="rId745" Type="http://schemas.openxmlformats.org/officeDocument/2006/relationships/hyperlink" Target="https://advance.lexis.com/api/document?collection=legislation-ca&amp;id=urn:contentItem:5VYK-WB51-JW09-M4VW-00000-00&amp;context=" TargetMode="External" /><Relationship Id="rId746" Type="http://schemas.openxmlformats.org/officeDocument/2006/relationships/hyperlink" Target="https://advance.lexis.com/api/document?collection=cases-ca&amp;id=urn:contentItem:5F8W-M461-F8SS-60SN-00000-00&amp;context=" TargetMode="External" /><Relationship Id="rId747" Type="http://schemas.openxmlformats.org/officeDocument/2006/relationships/hyperlink" Target="https://advance.lexis.com/api/document?collection=cases-ca&amp;id=urn:contentItem:5F8T-N3R1-JJSF-22T8-00000-00&amp;context=" TargetMode="External" /><Relationship Id="rId748" Type="http://schemas.openxmlformats.org/officeDocument/2006/relationships/hyperlink" Target="https://advance.lexis.com/api/document?collection=cases-ca&amp;id=urn:contentItem:5F8T-N3R1-JNS1-M10B-00000-00&amp;context=" TargetMode="External" /><Relationship Id="rId749" Type="http://schemas.openxmlformats.org/officeDocument/2006/relationships/hyperlink" Target="https://advance.lexis.com/api/document?collection=analytical-materials-ca&amp;id=urn:contentItem:5HSF-3RT1-JWBS-61XG-00000-00&amp;context=" TargetMode="External" /><Relationship Id="rId75" Type="http://schemas.openxmlformats.org/officeDocument/2006/relationships/hyperlink" Target="https://advance.lexis.com/api/document?collection=cases-ca&amp;id=urn:contentItem:5F7T-S711-JC0G-636S-00000-00&amp;context=" TargetMode="External" /><Relationship Id="rId750" Type="http://schemas.openxmlformats.org/officeDocument/2006/relationships/hyperlink" Target="https://advance.lexis.com/api/document?collection=analytical-materials-ca&amp;id=urn:contentItem:5HSF-34T1-FJM6-60V3-00000-00&amp;context=" TargetMode="External" /><Relationship Id="rId751" Type="http://schemas.openxmlformats.org/officeDocument/2006/relationships/image" Target="media/image4.png" /><Relationship Id="rId752" Type="http://schemas.openxmlformats.org/officeDocument/2006/relationships/image" Target="media/image5.png" /><Relationship Id="rId753" Type="http://schemas.openxmlformats.org/officeDocument/2006/relationships/image" Target="media/image6.png" /><Relationship Id="rId754" Type="http://schemas.openxmlformats.org/officeDocument/2006/relationships/header" Target="header94.xml" /><Relationship Id="rId755" Type="http://schemas.openxmlformats.org/officeDocument/2006/relationships/header" Target="header95.xml" /><Relationship Id="rId756" Type="http://schemas.openxmlformats.org/officeDocument/2006/relationships/footer" Target="footer94.xml" /><Relationship Id="rId757" Type="http://schemas.openxmlformats.org/officeDocument/2006/relationships/footer" Target="footer95.xml" /><Relationship Id="rId758" Type="http://schemas.openxmlformats.org/officeDocument/2006/relationships/header" Target="header96.xml" /><Relationship Id="rId759" Type="http://schemas.openxmlformats.org/officeDocument/2006/relationships/footer" Target="footer96.xml" /><Relationship Id="rId76" Type="http://schemas.openxmlformats.org/officeDocument/2006/relationships/hyperlink" Target="https://advance.lexis.com/api/document?collection=cases-ca&amp;id=urn:contentItem:5F7T-S7D1-FFFC-B1GR-00000-00&amp;context=" TargetMode="External" /><Relationship Id="rId760" Type="http://schemas.openxmlformats.org/officeDocument/2006/relationships/hyperlink" Target="https://advance.lexis.com/api/document?collection=cases-ca&amp;id=urn:contentItem:5K6Y-81N1-JFDC-X1HB-00000-00&amp;context=" TargetMode="External" /><Relationship Id="rId761" Type="http://schemas.openxmlformats.org/officeDocument/2006/relationships/hyperlink" Target="https://advance.lexis.com/api/document?collection=cases-ca&amp;id=urn:contentItem:5F7T-S7N1-JGHR-M34T-00000-00&amp;context=" TargetMode="External" /><Relationship Id="rId762" Type="http://schemas.openxmlformats.org/officeDocument/2006/relationships/hyperlink" Target="https://advance.lexis.com/api/document?collection=cases-ca&amp;id=urn:contentItem:5F7T-S781-F900-G0T1-00000-00&amp;context=" TargetMode="External" /><Relationship Id="rId763" Type="http://schemas.openxmlformats.org/officeDocument/2006/relationships/hyperlink" Target="https://advance.lexis.com/api/document?collection=cases-ca&amp;id=urn:contentItem:5F8T-N3T1-JJSF-2361-00000-00&amp;context=" TargetMode="External" /><Relationship Id="rId764" Type="http://schemas.openxmlformats.org/officeDocument/2006/relationships/hyperlink" Target="https://advance.lexis.com/api/document?collection=cases-ca&amp;id=urn:contentItem:5F7T-S721-FD4T-B0MF-00000-00&amp;context=" TargetMode="External" /><Relationship Id="rId765" Type="http://schemas.openxmlformats.org/officeDocument/2006/relationships/hyperlink" Target="https://advance.lexis.com/api/document?collection=cases-ca&amp;id=urn:contentItem:5F7T-S761-JCBX-S0D0-00000-00&amp;context=" TargetMode="External" /><Relationship Id="rId766" Type="http://schemas.openxmlformats.org/officeDocument/2006/relationships/hyperlink" Target="https://advance.lexis.com/api/document?collection=cases-ca&amp;id=urn:contentItem:5F8T-N3V1-JF75-M3CD-00000-00&amp;context=" TargetMode="External" /><Relationship Id="rId767" Type="http://schemas.openxmlformats.org/officeDocument/2006/relationships/hyperlink" Target="https://advance.lexis.com/api/document?collection=cases-ca&amp;id=urn:contentItem:5F7T-S7J1-JYYX-623G-00000-00&amp;context=" TargetMode="External" /><Relationship Id="rId768" Type="http://schemas.openxmlformats.org/officeDocument/2006/relationships/hyperlink" Target="https://advance.lexis.com/api/document?collection=cases-ca&amp;id=urn:contentItem:5F7T-S7M1-JCRC-B1N9-00000-00&amp;context=" TargetMode="External" /><Relationship Id="rId769" Type="http://schemas.openxmlformats.org/officeDocument/2006/relationships/hyperlink" Target="https://advance.lexis.com/api/document?collection=cases-ca&amp;id=urn:contentItem:5F7T-S7K1-JKHB-62KK-00000-00&amp;context=" TargetMode="External" /><Relationship Id="rId77" Type="http://schemas.openxmlformats.org/officeDocument/2006/relationships/hyperlink" Target="https://advance.lexis.com/api/document?collection=cases-ca&amp;id=urn:contentItem:5F7T-S781-F7G6-63B0-00000-00&amp;context=" TargetMode="External" /><Relationship Id="rId770" Type="http://schemas.openxmlformats.org/officeDocument/2006/relationships/hyperlink" Target="https://advance.lexis.com/api/document?collection=cases-ca&amp;id=urn:contentItem:5F7T-S7C1-F4NT-X356-00000-00&amp;context=" TargetMode="External" /><Relationship Id="rId771" Type="http://schemas.openxmlformats.org/officeDocument/2006/relationships/hyperlink" Target="https://advance.lexis.com/api/document?collection=cases-ca&amp;id=urn:contentItem:5F7T-S7F1-DXWW-242N-00000-00&amp;context=" TargetMode="External" /><Relationship Id="rId772" Type="http://schemas.openxmlformats.org/officeDocument/2006/relationships/hyperlink" Target="https://advance.lexis.com/api/document?collection=cases-ca&amp;id=urn:contentItem:5F7T-S7D1-DY89-M463-00000-00&amp;context=" TargetMode="External" /><Relationship Id="rId773" Type="http://schemas.openxmlformats.org/officeDocument/2006/relationships/hyperlink" Target="https://advance.lexis.com/api/document?collection=cases-ca&amp;id=urn:contentItem:5F7T-S7K1-DY33-B18G-00000-00&amp;context=" TargetMode="External" /><Relationship Id="rId774" Type="http://schemas.openxmlformats.org/officeDocument/2006/relationships/hyperlink" Target="https://advance.lexis.com/api/document?collection=cases-ca&amp;id=urn:contentItem:5F7T-S7H1-JS5Y-B2X0-00000-00&amp;context=" TargetMode="External" /><Relationship Id="rId775" Type="http://schemas.openxmlformats.org/officeDocument/2006/relationships/hyperlink" Target="https://advance.lexis.com/api/document?collection=cases-ca&amp;id=urn:contentItem:5F7T-S781-F900-G0T0-00000-00&amp;context=" TargetMode="External" /><Relationship Id="rId776" Type="http://schemas.openxmlformats.org/officeDocument/2006/relationships/hyperlink" Target="https://advance.lexis.com/api/document?collection=cases-ca&amp;id=urn:contentItem:5F8T-N3T1-JFKM-6549-00000-00&amp;context=" TargetMode="External" /><Relationship Id="rId777" Type="http://schemas.openxmlformats.org/officeDocument/2006/relationships/hyperlink" Target="https://advance.lexis.com/api/document?collection=cases-ca&amp;id=urn:contentItem:5F7T-S741-F528-G20V-00000-00&amp;context=" TargetMode="External" /><Relationship Id="rId778" Type="http://schemas.openxmlformats.org/officeDocument/2006/relationships/header" Target="header97.xml" /><Relationship Id="rId779" Type="http://schemas.openxmlformats.org/officeDocument/2006/relationships/header" Target="header98.xml" /><Relationship Id="rId78" Type="http://schemas.openxmlformats.org/officeDocument/2006/relationships/hyperlink" Target="https://advance.lexis.com/api/document?collection=cases-ca&amp;id=urn:contentItem:5F7T-S6V1-JNS1-M0BG-00000-00&amp;context=" TargetMode="External" /><Relationship Id="rId780" Type="http://schemas.openxmlformats.org/officeDocument/2006/relationships/footer" Target="footer97.xml" /><Relationship Id="rId781" Type="http://schemas.openxmlformats.org/officeDocument/2006/relationships/footer" Target="footer98.xml" /><Relationship Id="rId782" Type="http://schemas.openxmlformats.org/officeDocument/2006/relationships/header" Target="header99.xml" /><Relationship Id="rId783" Type="http://schemas.openxmlformats.org/officeDocument/2006/relationships/footer" Target="footer99.xml" /><Relationship Id="rId784" Type="http://schemas.openxmlformats.org/officeDocument/2006/relationships/hyperlink" Target="https://advance.lexis.com/api/document?collection=cases-ca&amp;id=urn:contentItem:5F7T-S7P1-JG02-S3YS-00000-00&amp;context=" TargetMode="External" /><Relationship Id="rId785" Type="http://schemas.openxmlformats.org/officeDocument/2006/relationships/hyperlink" Target="https://advance.lexis.com/api/document?collection=cases-ca&amp;id=urn:contentItem:5F8T-N3V1-FC1F-M497-00000-00&amp;context=" TargetMode="External" /><Relationship Id="rId786" Type="http://schemas.openxmlformats.org/officeDocument/2006/relationships/hyperlink" Target="https://advance.lexis.com/api/document?collection=cases-ca&amp;id=urn:contentItem:5F7T-S7D1-JS5Y-B2D4-00000-00&amp;context=" TargetMode="External" /><Relationship Id="rId787" Type="http://schemas.openxmlformats.org/officeDocument/2006/relationships/hyperlink" Target="https://advance.lexis.com/api/document?collection=cases-ca&amp;id=urn:contentItem:5F82-1SF1-F361-M41C-00000-00&amp;context=" TargetMode="External" /><Relationship Id="rId788" Type="http://schemas.openxmlformats.org/officeDocument/2006/relationships/hyperlink" Target="https://advance.lexis.com/api/document?collection=cases-ca&amp;id=urn:contentItem:5F8P-SFR1-JTGH-B06R-00000-00&amp;context=" TargetMode="External" /><Relationship Id="rId789" Type="http://schemas.openxmlformats.org/officeDocument/2006/relationships/hyperlink" Target="https://advance.lexis.com/api/document?collection=cases-ca&amp;id=urn:contentItem:5F8P-SFN1-F2TK-23TV-00000-00&amp;context=" TargetMode="External" /><Relationship Id="rId79" Type="http://schemas.openxmlformats.org/officeDocument/2006/relationships/hyperlink" Target="https://advance.lexis.com/api/document?collection=cases-ca&amp;id=urn:contentItem:5F7T-S6V1-JFKM-6133-00000-00&amp;context=" TargetMode="External" /><Relationship Id="rId790" Type="http://schemas.openxmlformats.org/officeDocument/2006/relationships/hyperlink" Target="https://advance.lexis.com/api/document?collection=cases-ca&amp;id=urn:contentItem:5F8P-SFT1-JGPY-X0X3-00000-00&amp;context=" TargetMode="External" /><Relationship Id="rId791" Type="http://schemas.openxmlformats.org/officeDocument/2006/relationships/hyperlink" Target="https://advance.lexis.com/api/document?collection=cases-ca&amp;id=urn:contentItem:5F8P-SFK1-JBDT-B3M8-00000-00&amp;context=" TargetMode="External" /><Relationship Id="rId792" Type="http://schemas.openxmlformats.org/officeDocument/2006/relationships/hyperlink" Target="https://advance.lexis.com/api/document?collection=cases-ca&amp;id=urn:contentItem:5F81-VJX1-FGY5-M3C6-00000-00&amp;context=" TargetMode="External" /><Relationship Id="rId793" Type="http://schemas.openxmlformats.org/officeDocument/2006/relationships/hyperlink" Target="https://advance.lexis.com/api/document?collection=cases-ca&amp;id=urn:contentItem:5F82-1SF1-JKPJ-G280-00000-00&amp;context=" TargetMode="External" /><Relationship Id="rId794" Type="http://schemas.openxmlformats.org/officeDocument/2006/relationships/hyperlink" Target="https://advance.lexis.com/api/document?collection=cases-ca&amp;id=urn:contentItem:5F8P-SGB1-JBT7-X33S-00000-00&amp;context=" TargetMode="External" /><Relationship Id="rId795" Type="http://schemas.openxmlformats.org/officeDocument/2006/relationships/hyperlink" Target="https://advance.lexis.com/api/document?collection=cases-ca&amp;id=urn:contentItem:5F8P-SGC1-JG02-S2G0-00000-00&amp;context=" TargetMode="External" /><Relationship Id="rId796" Type="http://schemas.openxmlformats.org/officeDocument/2006/relationships/hyperlink" Target="https://advance.lexis.com/api/document?collection=cases-ca&amp;id=urn:contentItem:5F8P-SFF1-JGPY-X558-00000-00&amp;context=" TargetMode="External" /><Relationship Id="rId797" Type="http://schemas.openxmlformats.org/officeDocument/2006/relationships/hyperlink" Target="https://advance.lexis.com/api/document?collection=cases-ca&amp;id=urn:contentItem:5F8P-SFC1-JX8W-M0PD-00000-00&amp;context=" TargetMode="External" /><Relationship Id="rId798" Type="http://schemas.openxmlformats.org/officeDocument/2006/relationships/hyperlink" Target="https://advance.lexis.com/api/document?collection=cases-ca&amp;id=urn:contentItem:5F81-VJY1-JPGX-S4XW-00000-00&amp;context=" TargetMode="External" /><Relationship Id="rId799" Type="http://schemas.openxmlformats.org/officeDocument/2006/relationships/hyperlink" Target="https://advance.lexis.com/api/document?collection=cases-ca&amp;id=urn:contentItem:5F7T-S761-FFMK-M0YJ-00000-00&amp;context=" TargetMode="External" /><Relationship Id="rId8" Type="http://schemas.openxmlformats.org/officeDocument/2006/relationships/header" Target="header3.xml" /><Relationship Id="rId80" Type="http://schemas.openxmlformats.org/officeDocument/2006/relationships/hyperlink" Target="https://advance.lexis.com/api/document?collection=cases-ca&amp;id=urn:contentItem:5F7T-S781-JC5P-G1S9-00000-00&amp;context=" TargetMode="External" /><Relationship Id="rId800" Type="http://schemas.openxmlformats.org/officeDocument/2006/relationships/hyperlink" Target="https://advance.lexis.com/api/document?collection=cases-ca&amp;id=urn:contentItem:5F7T-S771-F2TK-22T7-00000-00&amp;context=" TargetMode="External" /><Relationship Id="rId801" Type="http://schemas.openxmlformats.org/officeDocument/2006/relationships/hyperlink" Target="https://advance.lexis.com/api/document?collection=cases-ca&amp;id=urn:contentItem:5F8T-N3V1-FC1F-M486-00000-00&amp;context=" TargetMode="External" /><Relationship Id="rId802" Type="http://schemas.openxmlformats.org/officeDocument/2006/relationships/hyperlink" Target="https://advance.lexis.com/api/document?collection=cases-ca&amp;id=urn:contentItem:5F8T-N3V1-FH4C-X1XK-00000-00&amp;context=" TargetMode="External" /><Relationship Id="rId803" Type="http://schemas.openxmlformats.org/officeDocument/2006/relationships/hyperlink" Target="https://advance.lexis.com/api/document?collection=cases-ca&amp;id=urn:contentItem:5F7T-S7C1-FGRY-B0NK-00000-00&amp;context=" TargetMode="External" /><Relationship Id="rId804" Type="http://schemas.openxmlformats.org/officeDocument/2006/relationships/hyperlink" Target="https://advance.lexis.com/api/document?collection=cases-ca&amp;id=urn:contentItem:5F7T-S7D1-F7ND-G070-00000-00&amp;context=" TargetMode="External" /><Relationship Id="rId805" Type="http://schemas.openxmlformats.org/officeDocument/2006/relationships/hyperlink" Target="https://advance.lexis.com/api/document?collection=cases-ca&amp;id=urn:contentItem:5F7T-S781-F7G6-63N4-00000-00&amp;context=" TargetMode="External" /><Relationship Id="rId806" Type="http://schemas.openxmlformats.org/officeDocument/2006/relationships/hyperlink" Target="https://advance.lexis.com/api/document?collection=cases-ca&amp;id=urn:contentItem:5F8T-N3V1-FC1F-M41Y-00000-00&amp;context=" TargetMode="External" /><Relationship Id="rId807" Type="http://schemas.openxmlformats.org/officeDocument/2006/relationships/hyperlink" Target="https://advance.lexis.com/api/document?collection=cases-ca&amp;id=urn:contentItem:5F8P-SFV1-FGY5-M2HP-00000-00&amp;context=" TargetMode="External" /><Relationship Id="rId808" Type="http://schemas.openxmlformats.org/officeDocument/2006/relationships/hyperlink" Target="https://advance.lexis.com/api/document?collection=cases-ca&amp;id=urn:contentItem:5F8P-SFX1-DY33-B22W-00000-00&amp;context=" TargetMode="External" /><Relationship Id="rId809" Type="http://schemas.openxmlformats.org/officeDocument/2006/relationships/hyperlink" Target="https://advance.lexis.com/api/document?collection=cases-ca&amp;id=urn:contentItem:5F8T-N3T1-JGHR-M24N-00000-00&amp;context=" TargetMode="External" /><Relationship Id="rId81" Type="http://schemas.openxmlformats.org/officeDocument/2006/relationships/hyperlink" Target="https://advance.lexis.com/api/document?collection=cases-ca&amp;id=urn:contentItem:5F7T-S6W1-JYYX-61TX-00000-00&amp;context=" TargetMode="External" /><Relationship Id="rId810" Type="http://schemas.openxmlformats.org/officeDocument/2006/relationships/hyperlink" Target="https://advance.lexis.com/api/document?collection=cases-ca&amp;id=urn:contentItem:5F8T-N3R1-JJSF-22XJ-00000-00&amp;context=" TargetMode="External" /><Relationship Id="rId811" Type="http://schemas.openxmlformats.org/officeDocument/2006/relationships/hyperlink" Target="https://advance.lexis.com/api/document?collection=cases-ca&amp;id=urn:contentItem:5F7T-S7K1-F528-G34D-00000-00&amp;context=" TargetMode="External" /><Relationship Id="rId812" Type="http://schemas.openxmlformats.org/officeDocument/2006/relationships/hyperlink" Target="https://advance.lexis.com/api/document?collection=cases-ca&amp;id=urn:contentItem:5F82-1SJ1-F900-G2BR-00000-00&amp;context=" TargetMode="External" /><Relationship Id="rId813" Type="http://schemas.openxmlformats.org/officeDocument/2006/relationships/hyperlink" Target="https://advance.lexis.com/api/document?collection=cases-ca&amp;id=urn:contentItem:5F8P-SCS1-F8SS-626V-00000-00&amp;context=" TargetMode="External" /><Relationship Id="rId814" Type="http://schemas.openxmlformats.org/officeDocument/2006/relationships/hyperlink" Target="https://advance.lexis.com/api/document?collection=cases-ca&amp;id=urn:contentItem:5F8P-SD51-F1H1-24KX-00000-00&amp;context=" TargetMode="External" /><Relationship Id="rId815" Type="http://schemas.openxmlformats.org/officeDocument/2006/relationships/hyperlink" Target="https://advance.lexis.com/api/document?collection=cases-ca&amp;id=urn:contentItem:5F7T-S771-F361-M1C1-00000-00&amp;context=" TargetMode="External" /><Relationship Id="rId816" Type="http://schemas.openxmlformats.org/officeDocument/2006/relationships/hyperlink" Target="https://advance.lexis.com/api/document?collection=legislation-ca&amp;id=urn:contentItem:5F41-1FK1-DY33-B0JT-00000-00&amp;context=" TargetMode="External" /><Relationship Id="rId817" Type="http://schemas.openxmlformats.org/officeDocument/2006/relationships/hyperlink" Target="https://advance.lexis.com/api/document?collection=cases-ca&amp;id=urn:contentItem:5F7T-S7N1-F06F-24SF-00000-00&amp;context=" TargetMode="External" /><Relationship Id="rId818" Type="http://schemas.openxmlformats.org/officeDocument/2006/relationships/hyperlink" Target="https://advance.lexis.com/api/document?collection=cases-ca&amp;id=urn:contentItem:5F82-1SJ1-FGY5-M51C-00000-00&amp;context=" TargetMode="External" /><Relationship Id="rId819" Type="http://schemas.openxmlformats.org/officeDocument/2006/relationships/hyperlink" Target="https://advance.lexis.com/api/document?collection=cases-ca&amp;id=urn:contentItem:5F7T-S791-FJTD-G2FC-00000-00&amp;context=" TargetMode="External" /><Relationship Id="rId82" Type="http://schemas.openxmlformats.org/officeDocument/2006/relationships/hyperlink" Target="https://advance.lexis.com/api/document?collection=cases-ca&amp;id=urn:contentItem:5F7T-S701-JBT7-X23F-00000-00&amp;context=" TargetMode="External" /><Relationship Id="rId820" Type="http://schemas.openxmlformats.org/officeDocument/2006/relationships/hyperlink" Target="https://advance.lexis.com/api/document?collection=cases-ca&amp;id=urn:contentItem:5F8T-N3V1-JF75-M3GT-00000-00&amp;context=" TargetMode="External" /><Relationship Id="rId821" Type="http://schemas.openxmlformats.org/officeDocument/2006/relationships/hyperlink" Target="https://advance.lexis.com/api/document?collection=cases-ca&amp;id=urn:contentItem:5F8P-SDG1-FJDY-X1H0-00000-00&amp;context=" TargetMode="External" /><Relationship Id="rId822" Type="http://schemas.openxmlformats.org/officeDocument/2006/relationships/hyperlink" Target="https://advance.lexis.com/api/document?collection=cases-ca&amp;id=urn:contentItem:5F8P-SDP1-JF75-M18R-00000-00&amp;context=" TargetMode="External" /><Relationship Id="rId823" Type="http://schemas.openxmlformats.org/officeDocument/2006/relationships/hyperlink" Target="https://advance.lexis.com/api/document?collection=cases-ca&amp;id=urn:contentItem:5F8P-SDT1-JJYN-B327-00000-00&amp;context=" TargetMode="External" /><Relationship Id="rId824" Type="http://schemas.openxmlformats.org/officeDocument/2006/relationships/hyperlink" Target="https://advance.lexis.com/api/document?collection=cases-ca&amp;id=urn:contentItem:5F8P-SFX1-F4GK-M47S-00000-00&amp;context=" TargetMode="External" /><Relationship Id="rId825" Type="http://schemas.openxmlformats.org/officeDocument/2006/relationships/hyperlink" Target="https://advance.lexis.com/api/document?collection=cases-ca&amp;id=urn:contentItem:5F8P-SF61-JPP5-21XG-00000-00&amp;context=" TargetMode="External" /><Relationship Id="rId826" Type="http://schemas.openxmlformats.org/officeDocument/2006/relationships/hyperlink" Target="https://advance.lexis.com/api/document?collection=cases-ca&amp;id=urn:contentItem:5F8P-SF81-JF75-M1MX-00000-00&amp;context=" TargetMode="External" /><Relationship Id="rId827" Type="http://schemas.openxmlformats.org/officeDocument/2006/relationships/hyperlink" Target="https://advance.lexis.com/api/document?collection=cases-ca&amp;id=urn:contentItem:5F7T-XPY1-JP9P-G31J-00000-00&amp;context=" TargetMode="External" /><Relationship Id="rId828" Type="http://schemas.openxmlformats.org/officeDocument/2006/relationships/hyperlink" Target="https://advance.lexis.com/api/document?collection=cases-ca&amp;id=urn:contentItem:5F7T-XPY1-JP9P-G2J0-00000-00&amp;context=" TargetMode="External" /><Relationship Id="rId829" Type="http://schemas.openxmlformats.org/officeDocument/2006/relationships/hyperlink" Target="https://advance.lexis.com/api/document?collection=cases-ca&amp;id=urn:contentItem:5F82-1SH1-F57G-S35N-00000-00&amp;context=" TargetMode="External" /><Relationship Id="rId83" Type="http://schemas.openxmlformats.org/officeDocument/2006/relationships/hyperlink" Target="https://advance.lexis.com/api/document?collection=cases-ca&amp;id=urn:contentItem:5F7T-S7C1-F4NT-X2XT-00000-00&amp;context=" TargetMode="External" /><Relationship Id="rId830" Type="http://schemas.openxmlformats.org/officeDocument/2006/relationships/hyperlink" Target="https://advance.lexis.com/api/document?collection=cases-ca&amp;id=urn:contentItem:5F7T-S7J1-JNS1-M253-00000-00&amp;context=" TargetMode="External" /><Relationship Id="rId831" Type="http://schemas.openxmlformats.org/officeDocument/2006/relationships/hyperlink" Target="https://advance.lexis.com/api/document?collection=cases-ca&amp;id=urn:contentItem:5F8T-N3V1-FC1F-M46D-00000-00&amp;context=" TargetMode="External" /><Relationship Id="rId832" Type="http://schemas.openxmlformats.org/officeDocument/2006/relationships/hyperlink" Target="https://advance.lexis.com/api/document?collection=cases-ca&amp;id=urn:contentItem:5F7T-S771-JTGH-B1KF-00000-00&amp;context=" TargetMode="External" /><Relationship Id="rId833" Type="http://schemas.openxmlformats.org/officeDocument/2006/relationships/hyperlink" Target="https://advance.lexis.com/api/document?collection=cases-ca&amp;id=urn:contentItem:5F82-1SF1-K054-G4BN-00000-00&amp;context=" TargetMode="External" /><Relationship Id="rId834" Type="http://schemas.openxmlformats.org/officeDocument/2006/relationships/hyperlink" Target="https://advance.lexis.com/api/document?collection=cases-ca&amp;id=urn:contentItem:5F7T-S751-FJDY-X419-00000-00&amp;context=" TargetMode="External" /><Relationship Id="rId835" Type="http://schemas.openxmlformats.org/officeDocument/2006/relationships/hyperlink" Target="https://advance.lexis.com/api/document?collection=cases-ca&amp;id=urn:contentItem:5F82-1SD1-FC1F-M366-00000-00&amp;context=" TargetMode="External" /><Relationship Id="rId836" Type="http://schemas.openxmlformats.org/officeDocument/2006/relationships/hyperlink" Target="https://advance.lexis.com/api/document?collection=cases-ca&amp;id=urn:contentItem:5F8P-SFT1-JJK6-S1MN-00000-00&amp;context=" TargetMode="External" /><Relationship Id="rId837" Type="http://schemas.openxmlformats.org/officeDocument/2006/relationships/hyperlink" Target="https://advance.lexis.com/api/document?collection=cases-ca&amp;id=urn:contentItem:5F7T-S7N1-F06F-24CF-00000-00&amp;context=" TargetMode="External" /><Relationship Id="rId838" Type="http://schemas.openxmlformats.org/officeDocument/2006/relationships/hyperlink" Target="https://advance.lexis.com/api/document?collection=cases-ca&amp;id=urn:contentItem:5F8P-SGB1-F873-B306-00000-00&amp;context=" TargetMode="External" /><Relationship Id="rId839" Type="http://schemas.openxmlformats.org/officeDocument/2006/relationships/hyperlink" Target="https://advance.lexis.com/api/document?collection=cases-ca&amp;id=urn:contentItem:5F8P-SDF1-F81W-20TD-00000-00&amp;context=" TargetMode="External" /><Relationship Id="rId84" Type="http://schemas.openxmlformats.org/officeDocument/2006/relationships/header" Target="header16.xml" /><Relationship Id="rId840" Type="http://schemas.openxmlformats.org/officeDocument/2006/relationships/hyperlink" Target="https://advance.lexis.com/api/document?collection=cases-ca&amp;id=urn:contentItem:5F82-1SF1-JKPJ-G2G7-00000-00&amp;context=" TargetMode="External" /><Relationship Id="rId841" Type="http://schemas.openxmlformats.org/officeDocument/2006/relationships/hyperlink" Target="https://advance.lexis.com/api/document?collection=cases-ca&amp;id=urn:contentItem:5F7T-S711-FJDY-X30K-00000-00&amp;context=" TargetMode="External" /><Relationship Id="rId842" Type="http://schemas.openxmlformats.org/officeDocument/2006/relationships/hyperlink" Target="https://advance.lexis.com/api/document?collection=cases-ca&amp;id=urn:contentItem:5F7T-S7F1-FFFC-B25N-00000-00&amp;context=" TargetMode="External" /><Relationship Id="rId843" Type="http://schemas.openxmlformats.org/officeDocument/2006/relationships/hyperlink" Target="https://advance.lexis.com/api/document?collection=cases-ca&amp;id=urn:contentItem:5F7T-S7J1-FGCG-S08D-00000-00&amp;context=" TargetMode="External" /><Relationship Id="rId844" Type="http://schemas.openxmlformats.org/officeDocument/2006/relationships/hyperlink" Target="https://advance.lexis.com/api/document?collection=cases-ca&amp;id=urn:contentItem:5F8P-SDT1-JCJ5-24DM-00000-00&amp;context=" TargetMode="External" /><Relationship Id="rId845" Type="http://schemas.openxmlformats.org/officeDocument/2006/relationships/hyperlink" Target="https://advance.lexis.com/api/document?collection=cases-ca&amp;id=urn:contentItem:5F7T-S7K1-F1H1-22C7-00000-00&amp;context=" TargetMode="External" /><Relationship Id="rId846" Type="http://schemas.openxmlformats.org/officeDocument/2006/relationships/hyperlink" Target="https://advance.lexis.com/api/document?collection=cases-ca&amp;id=urn:contentItem:5F82-1SJ1-DYMS-63DJ-00000-00&amp;context=" TargetMode="External" /><Relationship Id="rId847" Type="http://schemas.openxmlformats.org/officeDocument/2006/relationships/hyperlink" Target="https://advance.lexis.com/api/document?collection=cases-ca&amp;id=urn:contentItem:5F7T-S7N1-JC5P-G2D6-00000-00&amp;context=" TargetMode="External" /><Relationship Id="rId848" Type="http://schemas.openxmlformats.org/officeDocument/2006/relationships/hyperlink" Target="https://advance.lexis.com/api/document?collection=cases-ca&amp;id=urn:contentItem:5F7T-S7F1-JFKM-61JV-00000-00&amp;context=" TargetMode="External" /><Relationship Id="rId849" Type="http://schemas.openxmlformats.org/officeDocument/2006/relationships/hyperlink" Target="https://advance.lexis.com/api/document?collection=cases-ca&amp;id=urn:contentItem:5F7T-S7H1-K054-G20G-00000-00&amp;context=" TargetMode="External" /><Relationship Id="rId85" Type="http://schemas.openxmlformats.org/officeDocument/2006/relationships/header" Target="header17.xml" /><Relationship Id="rId850" Type="http://schemas.openxmlformats.org/officeDocument/2006/relationships/hyperlink" Target="https://advance.lexis.com/api/document?collection=cases-ca&amp;id=urn:contentItem:5F7T-S7H1-F016-S3MK-00000-00&amp;context=" TargetMode="External" /><Relationship Id="rId851" Type="http://schemas.openxmlformats.org/officeDocument/2006/relationships/hyperlink" Target="https://advance.lexis.com/api/document?collection=cases-ca&amp;id=urn:contentItem:5F7T-S7D1-JN6B-S159-00000-00&amp;context=" TargetMode="External" /><Relationship Id="rId852" Type="http://schemas.openxmlformats.org/officeDocument/2006/relationships/hyperlink" Target="https://advance.lexis.com/api/document?collection=cases-ca&amp;id=urn:contentItem:5F7T-S7F1-JK4W-M19F-00000-00&amp;context=" TargetMode="External" /><Relationship Id="rId853" Type="http://schemas.openxmlformats.org/officeDocument/2006/relationships/hyperlink" Target="https://advance.lexis.com/api/document?collection=cases-ca&amp;id=urn:contentItem:5F8P-SF11-FFTT-X2Y6-00000-00&amp;context=" TargetMode="External" /><Relationship Id="rId854" Type="http://schemas.openxmlformats.org/officeDocument/2006/relationships/hyperlink" Target="https://advance.lexis.com/api/document?collection=cases-ca&amp;id=urn:contentItem:5F8P-SDH1-JBDT-B33G-00000-00&amp;context=" TargetMode="External" /><Relationship Id="rId855" Type="http://schemas.openxmlformats.org/officeDocument/2006/relationships/hyperlink" Target="https://advance.lexis.com/api/document?collection=cases-ca&amp;id=urn:contentItem:5F7T-S7N1-JGHR-M32G-00000-00&amp;context=" TargetMode="External" /><Relationship Id="rId856" Type="http://schemas.openxmlformats.org/officeDocument/2006/relationships/hyperlink" Target="https://advance.lexis.com/api/document?collection=cases-ca&amp;id=urn:contentItem:5F7T-S7J1-DXWW-24YD-00000-00&amp;context=" TargetMode="External" /><Relationship Id="rId857" Type="http://schemas.openxmlformats.org/officeDocument/2006/relationships/hyperlink" Target="https://advance.lexis.com/api/document?collection=cases-ca&amp;id=urn:contentItem:5F7T-S7M1-JFSV-G3T3-00000-00&amp;context=" TargetMode="External" /><Relationship Id="rId858" Type="http://schemas.openxmlformats.org/officeDocument/2006/relationships/hyperlink" Target="https://advance.lexis.com/api/document?collection=cases-ca&amp;id=urn:contentItem:5F8P-SCM1-F81W-2042-00000-00&amp;context=" TargetMode="External" /><Relationship Id="rId859" Type="http://schemas.openxmlformats.org/officeDocument/2006/relationships/hyperlink" Target="https://advance.lexis.com/api/document?collection=cases-ca&amp;id=urn:contentItem:5F82-1SD1-FC6N-X3WY-00000-00&amp;context=" TargetMode="External" /><Relationship Id="rId86" Type="http://schemas.openxmlformats.org/officeDocument/2006/relationships/footer" Target="footer16.xml" /><Relationship Id="rId860" Type="http://schemas.openxmlformats.org/officeDocument/2006/relationships/hyperlink" Target="https://advance.lexis.com/api/document?collection=cases-ca&amp;id=urn:contentItem:5F8T-N3T1-JGHR-M278-00000-00&amp;context=" TargetMode="External" /><Relationship Id="rId861" Type="http://schemas.openxmlformats.org/officeDocument/2006/relationships/hyperlink" Target="https://advance.lexis.com/api/document?collection=cases-ca&amp;id=urn:contentItem:5F8P-SF91-JSC5-M1XG-00000-00&amp;context=" TargetMode="External" /><Relationship Id="rId862" Type="http://schemas.openxmlformats.org/officeDocument/2006/relationships/hyperlink" Target="https://advance.lexis.com/api/document?collection=cases-ca&amp;id=urn:contentItem:5F8P-SF91-JGPY-X4YJ-00000-00&amp;context=" TargetMode="External" /><Relationship Id="rId863" Type="http://schemas.openxmlformats.org/officeDocument/2006/relationships/hyperlink" Target="https://advance.lexis.com/api/document?collection=cases-ca&amp;id=urn:contentItem:5F81-VJY1-FBN1-234T-00000-00&amp;context=" TargetMode="External" /><Relationship Id="rId864" Type="http://schemas.openxmlformats.org/officeDocument/2006/relationships/hyperlink" Target="https://advance.lexis.com/api/document?collection=cases-ca&amp;id=urn:contentItem:5F7T-S7J1-JNS1-M22B-00000-00&amp;context=" TargetMode="External" /><Relationship Id="rId865" Type="http://schemas.openxmlformats.org/officeDocument/2006/relationships/hyperlink" Target="https://advance.lexis.com/api/document?collection=cases-ca&amp;id=urn:contentItem:5F7T-S7K1-JWXF-2103-00000-00&amp;context=" TargetMode="External" /><Relationship Id="rId866" Type="http://schemas.openxmlformats.org/officeDocument/2006/relationships/hyperlink" Target="https://advance.lexis.com/api/document?collection=cases-ca&amp;id=urn:contentItem:5F8P-SGB1-JCJ5-20N5-00000-00&amp;context=" TargetMode="External" /><Relationship Id="rId867" Type="http://schemas.openxmlformats.org/officeDocument/2006/relationships/hyperlink" Target="https://advance.lexis.com/api/document?collection=cases-ca&amp;id=urn:contentItem:5F8P-SGB1-JBT7-X2XD-00000-00&amp;context=" TargetMode="External" /><Relationship Id="rId868" Type="http://schemas.openxmlformats.org/officeDocument/2006/relationships/hyperlink" Target="https://advance.lexis.com/api/document?collection=cases-ca&amp;id=urn:contentItem:5F8P-SGB1-F873-B2HH-00000-00&amp;context=" TargetMode="External" /><Relationship Id="rId869" Type="http://schemas.openxmlformats.org/officeDocument/2006/relationships/hyperlink" Target="https://advance.lexis.com/api/document?collection=cases-ca&amp;id=urn:contentItem:5F82-1SD1-F8D9-M2HK-00000-00&amp;context=" TargetMode="External" /><Relationship Id="rId87" Type="http://schemas.openxmlformats.org/officeDocument/2006/relationships/footer" Target="footer17.xml" /><Relationship Id="rId870" Type="http://schemas.openxmlformats.org/officeDocument/2006/relationships/hyperlink" Target="https://advance.lexis.com/api/document?collection=cases-ca&amp;id=urn:contentItem:5F8P-SCM1-F81W-2012-00000-00&amp;context=" TargetMode="External" /><Relationship Id="rId871" Type="http://schemas.openxmlformats.org/officeDocument/2006/relationships/hyperlink" Target="https://advance.lexis.com/api/document?collection=cases-ca&amp;id=urn:contentItem:5F8P-SF11-JF1Y-B32K-00000-00&amp;context=" TargetMode="External" /><Relationship Id="rId872" Type="http://schemas.openxmlformats.org/officeDocument/2006/relationships/hyperlink" Target="https://advance.lexis.com/api/document?collection=cases-ca&amp;id=urn:contentItem:5F8P-SDM1-F5T5-M2K8-00000-00&amp;context=" TargetMode="External" /><Relationship Id="rId873" Type="http://schemas.openxmlformats.org/officeDocument/2006/relationships/hyperlink" Target="https://advance.lexis.com/api/document?collection=cases-ca&amp;id=urn:contentItem:5F8P-SGC1-F60C-X3M5-00000-00&amp;context=" TargetMode="External" /><Relationship Id="rId874" Type="http://schemas.openxmlformats.org/officeDocument/2006/relationships/hyperlink" Target="https://advance.lexis.com/api/document?collection=cases-ca&amp;id=urn:contentItem:5F8P-SF21-FH4C-X1TF-00000-00&amp;context=" TargetMode="External" /><Relationship Id="rId875" Type="http://schemas.openxmlformats.org/officeDocument/2006/relationships/hyperlink" Target="https://advance.lexis.com/api/document?collection=cases-ca&amp;id=urn:contentItem:5F8T-N3V1-FH4C-X1WM-00000-00&amp;context=" TargetMode="External" /><Relationship Id="rId876" Type="http://schemas.openxmlformats.org/officeDocument/2006/relationships/hyperlink" Target="https://advance.lexis.com/api/document?collection=cases-ca&amp;id=urn:contentItem:5F7T-S751-JP4G-614D-00000-00&amp;context=" TargetMode="External" /><Relationship Id="rId877" Type="http://schemas.openxmlformats.org/officeDocument/2006/relationships/hyperlink" Target="https://advance.lexis.com/api/document?collection=cases-ca&amp;id=urn:contentItem:5F7T-S751-JG02-S29T-00000-00&amp;context=" TargetMode="External" /><Relationship Id="rId878" Type="http://schemas.openxmlformats.org/officeDocument/2006/relationships/hyperlink" Target="https://advance.lexis.com/api/document?collection=cases-ca&amp;id=urn:contentItem:5F82-1SD1-JFKM-609Y-00000-00&amp;context=" TargetMode="External" /><Relationship Id="rId879" Type="http://schemas.openxmlformats.org/officeDocument/2006/relationships/hyperlink" Target="https://advance.lexis.com/api/document?collection=cases-ca&amp;id=urn:contentItem:5F82-1SF1-F1P7-B3WX-00000-00&amp;context=" TargetMode="External" /><Relationship Id="rId88" Type="http://schemas.openxmlformats.org/officeDocument/2006/relationships/header" Target="header18.xml" /><Relationship Id="rId880" Type="http://schemas.openxmlformats.org/officeDocument/2006/relationships/header" Target="header100.xml" /><Relationship Id="rId881" Type="http://schemas.openxmlformats.org/officeDocument/2006/relationships/header" Target="header101.xml" /><Relationship Id="rId882" Type="http://schemas.openxmlformats.org/officeDocument/2006/relationships/footer" Target="footer100.xml" /><Relationship Id="rId883" Type="http://schemas.openxmlformats.org/officeDocument/2006/relationships/footer" Target="footer101.xml" /><Relationship Id="rId884" Type="http://schemas.openxmlformats.org/officeDocument/2006/relationships/header" Target="header102.xml" /><Relationship Id="rId885" Type="http://schemas.openxmlformats.org/officeDocument/2006/relationships/footer" Target="footer102.xml" /><Relationship Id="rId886" Type="http://schemas.openxmlformats.org/officeDocument/2006/relationships/hyperlink" Target="https://advance.lexis.com/api/document?collection=cases-ca&amp;id=urn:contentItem:5F7T-S7C1-JS0R-22DM-00000-00&amp;context=" TargetMode="External" /><Relationship Id="rId887" Type="http://schemas.openxmlformats.org/officeDocument/2006/relationships/hyperlink" Target="https://advance.lexis.com/api/document?collection=cases-ca&amp;id=urn:contentItem:5F8T-N3P1-F956-S173-00000-00&amp;context=" TargetMode="External" /><Relationship Id="rId888" Type="http://schemas.openxmlformats.org/officeDocument/2006/relationships/hyperlink" Target="https://advance.lexis.com/api/document?collection=cases-ca&amp;id=urn:contentItem:5F81-YGV1-DYFH-X4WN-00000-00&amp;context=" TargetMode="External" /><Relationship Id="rId889" Type="http://schemas.openxmlformats.org/officeDocument/2006/relationships/hyperlink" Target="https://advance.lexis.com/api/document?collection=cases-ca&amp;id=urn:contentItem:5F7T-S781-F06F-23VX-00000-00&amp;context=" TargetMode="External" /><Relationship Id="rId89" Type="http://schemas.openxmlformats.org/officeDocument/2006/relationships/footer" Target="footer18.xml" /><Relationship Id="rId890" Type="http://schemas.openxmlformats.org/officeDocument/2006/relationships/header" Target="header103.xml" /><Relationship Id="rId891" Type="http://schemas.openxmlformats.org/officeDocument/2006/relationships/header" Target="header104.xml" /><Relationship Id="rId892" Type="http://schemas.openxmlformats.org/officeDocument/2006/relationships/footer" Target="footer103.xml" /><Relationship Id="rId893" Type="http://schemas.openxmlformats.org/officeDocument/2006/relationships/footer" Target="footer104.xml" /><Relationship Id="rId894" Type="http://schemas.openxmlformats.org/officeDocument/2006/relationships/header" Target="header105.xml" /><Relationship Id="rId895" Type="http://schemas.openxmlformats.org/officeDocument/2006/relationships/footer" Target="footer105.xml" /><Relationship Id="rId896" Type="http://schemas.openxmlformats.org/officeDocument/2006/relationships/hyperlink" Target="https://advance.lexis.com/api/document?collection=cases-ca&amp;id=urn:contentItem:5GCC-XVB1-JSXV-G04N-00000-00&amp;context=" TargetMode="External" /><Relationship Id="rId897" Type="http://schemas.openxmlformats.org/officeDocument/2006/relationships/hyperlink" Target="https://advance.lexis.com/api/document?collection=cases-ca&amp;id=urn:contentItem:5K6Y-81N1-JFDC-X1V1-00000-00&amp;context=" TargetMode="External" /><Relationship Id="rId898" Type="http://schemas.openxmlformats.org/officeDocument/2006/relationships/image" Target="media/image7.jpeg" /><Relationship Id="rId899" Type="http://schemas.openxmlformats.org/officeDocument/2006/relationships/hyperlink" Target="https://advance.lexis.com/api/document?collection=cases-ca&amp;id=urn:contentItem:5F8T-N3S1-JT99-24X1-00000-00&amp;context=" TargetMode="External" /><Relationship Id="rId9" Type="http://schemas.openxmlformats.org/officeDocument/2006/relationships/footer" Target="footer3.xml" /><Relationship Id="rId90" Type="http://schemas.openxmlformats.org/officeDocument/2006/relationships/hyperlink" Target="https://advance.lexis.com/api/document?collection=cases-ca&amp;id=urn:contentItem:5JY7-RCM1-DXHD-G2S9-00000-00&amp;context=" TargetMode="External" /><Relationship Id="rId900" Type="http://schemas.openxmlformats.org/officeDocument/2006/relationships/hyperlink" Target="https://advance.lexis.com/api/document?collection=cases-ca&amp;id=urn:contentItem:5F8T-N3V1-JTGH-B1J4-00000-00&amp;context=" TargetMode="External" /><Relationship Id="rId901" Type="http://schemas.openxmlformats.org/officeDocument/2006/relationships/hyperlink" Target="https://advance.lexis.com/api/document?collection=cases-ca&amp;id=urn:contentItem:5F8T-N3T1-JGHR-M1TY-00000-00&amp;context=" TargetMode="External" /><Relationship Id="rId902" Type="http://schemas.openxmlformats.org/officeDocument/2006/relationships/hyperlink" Target="https://advance.lexis.com/api/document?collection=cases-ca&amp;id=urn:contentItem:5F8T-N3V1-JTGH-B1GV-00000-00&amp;context=" TargetMode="External" /><Relationship Id="rId903" Type="http://schemas.openxmlformats.org/officeDocument/2006/relationships/hyperlink" Target="https://advance.lexis.com/api/document?collection=cases-ca&amp;id=urn:contentItem:5F8T-N3V1-JTGH-B16V-00000-00&amp;context=" TargetMode="External" /><Relationship Id="rId904" Type="http://schemas.openxmlformats.org/officeDocument/2006/relationships/hyperlink" Target="https://advance.lexis.com/api/document?collection=cases-ca&amp;id=urn:contentItem:5F7T-S7P1-JSJC-X1TY-00000-00&amp;context=" TargetMode="External" /><Relationship Id="rId905" Type="http://schemas.openxmlformats.org/officeDocument/2006/relationships/hyperlink" Target="https://advance.lexis.com/api/document?collection=cases-ca&amp;id=urn:contentItem:5F8T-N3V1-JFKM-609S-00000-00&amp;context=" TargetMode="External" /><Relationship Id="rId906" Type="http://schemas.openxmlformats.org/officeDocument/2006/relationships/hyperlink" Target="https://advance.lexis.com/api/document?collection=cases-ca&amp;id=urn:contentItem:5F7T-S7N1-F06F-24JN-00000-00&amp;context=" TargetMode="External" /><Relationship Id="rId907" Type="http://schemas.openxmlformats.org/officeDocument/2006/relationships/hyperlink" Target="https://advance.lexis.com/api/document?collection=cases-ca&amp;id=urn:contentItem:5F8T-N3V1-FC1F-M44Y-00000-00&amp;context=" TargetMode="External" /><Relationship Id="rId908" Type="http://schemas.openxmlformats.org/officeDocument/2006/relationships/hyperlink" Target="https://advance.lexis.com/api/document?collection=cases-ca&amp;id=urn:contentItem:5F8T-N3V1-FC1F-M4FS-00000-00&amp;context=" TargetMode="External" /><Relationship Id="rId909" Type="http://schemas.openxmlformats.org/officeDocument/2006/relationships/hyperlink" Target="https://advance.lexis.com/api/document?collection=cases-ca&amp;id=urn:contentItem:5F8T-N3S1-JBDT-B0FY-00000-00&amp;context=" TargetMode="External" /><Relationship Id="rId91" Type="http://schemas.openxmlformats.org/officeDocument/2006/relationships/hyperlink" Target="https://advance.lexis.com/api/document?collection=legislation-ca&amp;id=urn:contentItem:5F98-2T41-JS0R-2471-00000-00&amp;context=" TargetMode="External" /><Relationship Id="rId910" Type="http://schemas.openxmlformats.org/officeDocument/2006/relationships/hyperlink" Target="https://advance.lexis.com/api/document?collection=cases-ca&amp;id=urn:contentItem:5F7T-S7F1-JX3N-B1N8-00000-00&amp;context=" TargetMode="External" /><Relationship Id="rId911" Type="http://schemas.openxmlformats.org/officeDocument/2006/relationships/hyperlink" Target="https://advance.lexis.com/api/document?collection=cases-ca&amp;id=urn:contentItem:5F81-VJY1-FBN1-22Y3-00000-00&amp;context=" TargetMode="External" /><Relationship Id="rId912" Type="http://schemas.openxmlformats.org/officeDocument/2006/relationships/hyperlink" Target="https://advance.lexis.com/api/document?collection=cases-ca&amp;id=urn:contentItem:5F8N-K6V1-K0HK-243T-00000-00&amp;context=" TargetMode="External" /><Relationship Id="rId913" Type="http://schemas.openxmlformats.org/officeDocument/2006/relationships/hyperlink" Target="https://advance.lexis.com/api/document?collection=cases-ca&amp;id=urn:contentItem:5F7T-S7G1-JWR6-S1SW-00000-00&amp;context=" TargetMode="External" /><Relationship Id="rId914" Type="http://schemas.openxmlformats.org/officeDocument/2006/relationships/hyperlink" Target="https://advance.lexis.com/api/document?collection=cases-ca&amp;id=urn:contentItem:5F81-VJX1-JP9P-G4VY-00000-00&amp;context=" TargetMode="External" /><Relationship Id="rId915" Type="http://schemas.openxmlformats.org/officeDocument/2006/relationships/hyperlink" Target="https://advance.lexis.com/api/document?collection=cases-ca&amp;id=urn:contentItem:5F8P-SCK1-F81W-2564-00000-00&amp;context=" TargetMode="External" /><Relationship Id="rId916" Type="http://schemas.openxmlformats.org/officeDocument/2006/relationships/hyperlink" Target="https://advance.lexis.com/api/document?collection=cases-ca&amp;id=urn:contentItem:5F81-VJX1-FGY5-M3B7-00000-00&amp;context=" TargetMode="External" /><Relationship Id="rId917" Type="http://schemas.openxmlformats.org/officeDocument/2006/relationships/hyperlink" Target="https://advance.lexis.com/api/document?collection=cases-ca&amp;id=urn:contentItem:5F8P-SGB1-JKB3-X169-00000-00&amp;context=" TargetMode="External" /><Relationship Id="rId918" Type="http://schemas.openxmlformats.org/officeDocument/2006/relationships/hyperlink" Target="https://advance.lexis.com/api/document?collection=cases-ca&amp;id=urn:contentItem:5F82-1SF1-JKPJ-G25D-00000-00&amp;context=" TargetMode="External" /><Relationship Id="rId919" Type="http://schemas.openxmlformats.org/officeDocument/2006/relationships/hyperlink" Target="https://advance.lexis.com/api/document?collection=cases-ca&amp;id=urn:contentItem:5F8T-N3V1-JTGH-B1DM-00000-00&amp;context=" TargetMode="External" /><Relationship Id="rId92" Type="http://schemas.openxmlformats.org/officeDocument/2006/relationships/hyperlink" Target="https://advance.lexis.com/api/document?collection=legislation-ca&amp;id=urn:contentItem:5F41-1FH1-F361-M0F1-00000-00&amp;context=" TargetMode="External" /><Relationship Id="rId920" Type="http://schemas.openxmlformats.org/officeDocument/2006/relationships/hyperlink" Target="https://advance.lexis.com/api/document?collection=cases-ca&amp;id=urn:contentItem:5F16-92X1-FBN1-236P-00000-00&amp;context=" TargetMode="External" /><Relationship Id="rId921" Type="http://schemas.openxmlformats.org/officeDocument/2006/relationships/hyperlink" Target="https://advance.lexis.com/api/document?collection=cases-ca&amp;id=urn:contentItem:5F7T-S7H1-JFKM-6292-00000-00&amp;context=" TargetMode="External" /><Relationship Id="rId922" Type="http://schemas.openxmlformats.org/officeDocument/2006/relationships/hyperlink" Target="https://advance.lexis.com/api/document?collection=cases-ca&amp;id=urn:contentItem:5F8T-N3V1-FC1F-M47R-00000-00&amp;context=" TargetMode="External" /><Relationship Id="rId923" Type="http://schemas.openxmlformats.org/officeDocument/2006/relationships/hyperlink" Target="https://advance.lexis.com/api/document?collection=cases-ca&amp;id=urn:contentItem:5F8P-SF21-F873-B1PB-00000-00&amp;context=" TargetMode="External" /><Relationship Id="rId924" Type="http://schemas.openxmlformats.org/officeDocument/2006/relationships/hyperlink" Target="https://advance.lexis.com/api/document?collection=cases-ca&amp;id=urn:contentItem:5F8T-N3R1-FJDY-X2T2-00000-00&amp;context=" TargetMode="External" /><Relationship Id="rId925" Type="http://schemas.openxmlformats.org/officeDocument/2006/relationships/hyperlink" Target="https://advance.lexis.com/api/document?collection=cases-ca&amp;id=urn:contentItem:5F7T-S7B1-JSRM-60C1-00000-00&amp;context=" TargetMode="External" /><Relationship Id="rId926" Type="http://schemas.openxmlformats.org/officeDocument/2006/relationships/hyperlink" Target="https://advance.lexis.com/api/document?collection=cases-ca&amp;id=urn:contentItem:5F7V-3DK1-FG68-G2NC-00000-00&amp;context=" TargetMode="External" /><Relationship Id="rId927" Type="http://schemas.openxmlformats.org/officeDocument/2006/relationships/header" Target="header106.xml" /><Relationship Id="rId928" Type="http://schemas.openxmlformats.org/officeDocument/2006/relationships/header" Target="header107.xml" /><Relationship Id="rId929" Type="http://schemas.openxmlformats.org/officeDocument/2006/relationships/footer" Target="footer106.xml" /><Relationship Id="rId93" Type="http://schemas.openxmlformats.org/officeDocument/2006/relationships/hyperlink" Target="https://advance.lexis.com/api/document?collection=legislation-ca&amp;id=urn:contentItem:5FCP-0YD1-FGY5-M3BV-00000-00&amp;context=" TargetMode="External" /><Relationship Id="rId930" Type="http://schemas.openxmlformats.org/officeDocument/2006/relationships/footer" Target="footer107.xml" /><Relationship Id="rId931" Type="http://schemas.openxmlformats.org/officeDocument/2006/relationships/header" Target="header108.xml" /><Relationship Id="rId932" Type="http://schemas.openxmlformats.org/officeDocument/2006/relationships/footer" Target="footer108.xml" /><Relationship Id="rId933" Type="http://schemas.openxmlformats.org/officeDocument/2006/relationships/hyperlink" Target="https://advance.lexis.com/api/document?collection=cases-ca&amp;id=urn:contentItem:5F7T-S7P1-JP4G-6253-00000-00&amp;context=" TargetMode="External" /><Relationship Id="rId934" Type="http://schemas.openxmlformats.org/officeDocument/2006/relationships/hyperlink" Target="https://advance.lexis.com/api/document?collection=cases-ca&amp;id=urn:contentItem:5F8T-N3N1-JWXF-24ST-00000-00&amp;context=" TargetMode="External" /><Relationship Id="rId935" Type="http://schemas.openxmlformats.org/officeDocument/2006/relationships/hyperlink" Target="https://advance.lexis.com/api/document?collection=cases-ca&amp;id=urn:contentItem:5F7T-S7N1-JGHR-M3D7-00000-00&amp;context=" TargetMode="External" /><Relationship Id="rId936" Type="http://schemas.openxmlformats.org/officeDocument/2006/relationships/hyperlink" Target="https://advance.lexis.com/api/document?collection=cases-ca&amp;id=urn:contentItem:5F16-93C1-JKHB-63S3-00000-00&amp;context=" TargetMode="External" /><Relationship Id="rId937" Type="http://schemas.openxmlformats.org/officeDocument/2006/relationships/hyperlink" Target="https://advance.lexis.com/api/document?collection=cases-ca&amp;id=urn:contentItem:5F7T-S761-JS5Y-B1KW-00000-00&amp;context=" TargetMode="External" /><Relationship Id="rId938" Type="http://schemas.openxmlformats.org/officeDocument/2006/relationships/hyperlink" Target="https://advance.lexis.com/api/document?collection=cases-ca&amp;id=urn:contentItem:5F7T-S7H1-JS5Y-B2TC-00000-00&amp;context=" TargetMode="External" /><Relationship Id="rId939" Type="http://schemas.openxmlformats.org/officeDocument/2006/relationships/image" Target="media/image8.jpeg" /><Relationship Id="rId94" Type="http://schemas.openxmlformats.org/officeDocument/2006/relationships/hyperlink" Target="https://advance.lexis.com/api/document?collection=cases-ca&amp;id=urn:contentItem:5F7T-S7M1-F4W2-62BB-00000-00&amp;context=" TargetMode="External" /><Relationship Id="rId940" Type="http://schemas.openxmlformats.org/officeDocument/2006/relationships/image" Target="media/image9.jpeg" /><Relationship Id="rId941" Type="http://schemas.openxmlformats.org/officeDocument/2006/relationships/image" Target="media/image10.jpeg" /><Relationship Id="rId942" Type="http://schemas.openxmlformats.org/officeDocument/2006/relationships/image" Target="media/image11.jpeg" /><Relationship Id="rId943" Type="http://schemas.openxmlformats.org/officeDocument/2006/relationships/image" Target="media/image12.jpeg" /><Relationship Id="rId944" Type="http://schemas.openxmlformats.org/officeDocument/2006/relationships/image" Target="media/image13.jpeg" /><Relationship Id="rId945" Type="http://schemas.openxmlformats.org/officeDocument/2006/relationships/header" Target="header109.xml" /><Relationship Id="rId946" Type="http://schemas.openxmlformats.org/officeDocument/2006/relationships/header" Target="header110.xml" /><Relationship Id="rId947" Type="http://schemas.openxmlformats.org/officeDocument/2006/relationships/footer" Target="footer109.xml" /><Relationship Id="rId948" Type="http://schemas.openxmlformats.org/officeDocument/2006/relationships/footer" Target="footer110.xml" /><Relationship Id="rId949" Type="http://schemas.openxmlformats.org/officeDocument/2006/relationships/header" Target="header111.xml" /><Relationship Id="rId95" Type="http://schemas.openxmlformats.org/officeDocument/2006/relationships/hyperlink" Target="https://advance.lexis.com/api/document?collection=cases-ca&amp;id=urn:contentItem:5F7T-S7N1-JWR6-S287-00000-00&amp;context=" TargetMode="External" /><Relationship Id="rId950" Type="http://schemas.openxmlformats.org/officeDocument/2006/relationships/footer" Target="footer111.xml" /><Relationship Id="rId951" Type="http://schemas.openxmlformats.org/officeDocument/2006/relationships/hyperlink" Target="https://advance.lexis.com/api/document?collection=cases-ca&amp;id=urn:contentItem:5K6X-H241-JNS1-M0KB-00000-00&amp;context=" TargetMode="External" /><Relationship Id="rId952" Type="http://schemas.openxmlformats.org/officeDocument/2006/relationships/hyperlink" Target="https://advance.lexis.com/api/document?collection=cases-ca&amp;id=urn:contentItem:5F7T-S7G1-JNY7-X3TF-00000-00&amp;context=" TargetMode="External" /><Relationship Id="rId953" Type="http://schemas.openxmlformats.org/officeDocument/2006/relationships/header" Target="header112.xml" /><Relationship Id="rId954" Type="http://schemas.openxmlformats.org/officeDocument/2006/relationships/header" Target="header113.xml" /><Relationship Id="rId955" Type="http://schemas.openxmlformats.org/officeDocument/2006/relationships/footer" Target="footer112.xml" /><Relationship Id="rId956" Type="http://schemas.openxmlformats.org/officeDocument/2006/relationships/footer" Target="footer113.xml" /><Relationship Id="rId957" Type="http://schemas.openxmlformats.org/officeDocument/2006/relationships/header" Target="header114.xml" /><Relationship Id="rId958" Type="http://schemas.openxmlformats.org/officeDocument/2006/relationships/footer" Target="footer114.xml" /><Relationship Id="rId959" Type="http://schemas.openxmlformats.org/officeDocument/2006/relationships/hyperlink" Target="https://advance.lexis.com/api/document?collection=cases-ca&amp;id=urn:contentItem:5F7T-S7J1-JYYX-62K7-00000-00&amp;context=" TargetMode="External" /><Relationship Id="rId96" Type="http://schemas.openxmlformats.org/officeDocument/2006/relationships/hyperlink" Target="https://advance.lexis.com/api/document?collection=cases-ca&amp;id=urn:contentItem:5F7T-S7K1-JKHB-62YV-00000-00&amp;context=" TargetMode="External" /><Relationship Id="rId960" Type="http://schemas.openxmlformats.org/officeDocument/2006/relationships/hyperlink" Target="https://advance.lexis.com/api/document?collection=legislation-ca&amp;id=urn:contentItem:5F41-1FH1-JSRM-60GH-00000-00&amp;context=" TargetMode="External" /><Relationship Id="rId961" Type="http://schemas.openxmlformats.org/officeDocument/2006/relationships/hyperlink" Target="https://advance.lexis.com/api/document?collection=legislation-ca&amp;id=urn:contentItem:5W2C-X5J1-JJ1H-X0F6-00000-00&amp;context=" TargetMode="External" /><Relationship Id="rId962" Type="http://schemas.openxmlformats.org/officeDocument/2006/relationships/hyperlink" Target="https://advance.lexis.com/api/document?collection=cases-ca&amp;id=urn:contentItem:5F7T-S6X1-F06F-22GP-00000-00&amp;context=" TargetMode="External" /><Relationship Id="rId963" Type="http://schemas.openxmlformats.org/officeDocument/2006/relationships/hyperlink" Target="https://advance.lexis.com/api/document?collection=cases-ca&amp;id=urn:contentItem:5F7T-S6Y1-DY33-B060-00000-00&amp;context=" TargetMode="External" /><Relationship Id="rId964" Type="http://schemas.openxmlformats.org/officeDocument/2006/relationships/hyperlink" Target="https://advance.lexis.com/api/document?collection=cases-ca&amp;id=urn:contentItem:5F7T-S771-JW5H-X1MV-00000-00&amp;context=" TargetMode="External" /><Relationship Id="rId965" Type="http://schemas.openxmlformats.org/officeDocument/2006/relationships/hyperlink" Target="https://advance.lexis.com/api/document?collection=cases-ca&amp;id=urn:contentItem:5F8N-K731-F361-M16X-00000-00&amp;context=" TargetMode="External" /><Relationship Id="rId966" Type="http://schemas.openxmlformats.org/officeDocument/2006/relationships/header" Target="header115.xml" /><Relationship Id="rId967" Type="http://schemas.openxmlformats.org/officeDocument/2006/relationships/header" Target="header116.xml" /><Relationship Id="rId968" Type="http://schemas.openxmlformats.org/officeDocument/2006/relationships/footer" Target="footer115.xml" /><Relationship Id="rId969" Type="http://schemas.openxmlformats.org/officeDocument/2006/relationships/footer" Target="footer116.xml" /><Relationship Id="rId97" Type="http://schemas.openxmlformats.org/officeDocument/2006/relationships/hyperlink" Target="https://advance.lexis.com/api/document?collection=cases-ca&amp;id=urn:contentItem:5F81-WC31-F5KY-B4VS-00000-00&amp;context=" TargetMode="External" /><Relationship Id="rId970" Type="http://schemas.openxmlformats.org/officeDocument/2006/relationships/header" Target="header117.xml" /><Relationship Id="rId971" Type="http://schemas.openxmlformats.org/officeDocument/2006/relationships/footer" Target="footer117.xml" /><Relationship Id="rId972" Type="http://schemas.openxmlformats.org/officeDocument/2006/relationships/hyperlink" Target="https://advance.lexis.com/api/document?collection=cases-ca&amp;id=urn:contentItem:5F7T-S7N1-JJ1H-X35C-00000-00&amp;context=" TargetMode="External" /><Relationship Id="rId973" Type="http://schemas.openxmlformats.org/officeDocument/2006/relationships/hyperlink" Target="https://advance.lexis.com/api/document?collection=legislation-ca&amp;id=urn:contentItem:5F41-1FH1-F361-M0G8-00000-00&amp;context=" TargetMode="External" /><Relationship Id="rId974" Type="http://schemas.openxmlformats.org/officeDocument/2006/relationships/hyperlink" Target="https://advance.lexis.com/api/document?collection=cases-ca&amp;id=urn:contentItem:5F7T-S701-JGPY-X1HB-00000-00&amp;context=" TargetMode="External" /><Relationship Id="rId975" Type="http://schemas.openxmlformats.org/officeDocument/2006/relationships/header" Target="header118.xml" /><Relationship Id="rId976" Type="http://schemas.openxmlformats.org/officeDocument/2006/relationships/header" Target="header119.xml" /><Relationship Id="rId977" Type="http://schemas.openxmlformats.org/officeDocument/2006/relationships/footer" Target="footer118.xml" /><Relationship Id="rId978" Type="http://schemas.openxmlformats.org/officeDocument/2006/relationships/footer" Target="footer119.xml" /><Relationship Id="rId979" Type="http://schemas.openxmlformats.org/officeDocument/2006/relationships/header" Target="header120.xml" /><Relationship Id="rId98" Type="http://schemas.openxmlformats.org/officeDocument/2006/relationships/hyperlink" Target="https://advance.lexis.com/api/document?collection=cases-ca&amp;id=urn:contentItem:5F8W-M461-JJ1H-X244-00000-00&amp;context=" TargetMode="External" /><Relationship Id="rId980" Type="http://schemas.openxmlformats.org/officeDocument/2006/relationships/footer" Target="footer120.xml" /><Relationship Id="rId981" Type="http://schemas.openxmlformats.org/officeDocument/2006/relationships/hyperlink" Target="https://advance.lexis.com/api/document?collection=cases-ca&amp;id=urn:contentItem:5F7T-S771-JN14-G2B8-00000-00&amp;context=" TargetMode="External" /><Relationship Id="rId982" Type="http://schemas.openxmlformats.org/officeDocument/2006/relationships/hyperlink" Target="https://advance.lexis.com/api/document?collection=cases-ca&amp;id=urn:contentItem:5F8T-N3V1-JF75-M3VR-00000-00&amp;context=" TargetMode="External" /><Relationship Id="rId983" Type="http://schemas.openxmlformats.org/officeDocument/2006/relationships/hyperlink" Target="https://advance.lexis.com/api/document?collection=cases-ca&amp;id=urn:contentItem:5F8N-K701-JJ1H-X3FG-00000-00&amp;context=" TargetMode="External" /><Relationship Id="rId984" Type="http://schemas.openxmlformats.org/officeDocument/2006/relationships/header" Target="header121.xml" /><Relationship Id="rId985" Type="http://schemas.openxmlformats.org/officeDocument/2006/relationships/header" Target="header122.xml" /><Relationship Id="rId986" Type="http://schemas.openxmlformats.org/officeDocument/2006/relationships/footer" Target="footer121.xml" /><Relationship Id="rId987" Type="http://schemas.openxmlformats.org/officeDocument/2006/relationships/footer" Target="footer122.xml" /><Relationship Id="rId988" Type="http://schemas.openxmlformats.org/officeDocument/2006/relationships/header" Target="header123.xml" /><Relationship Id="rId989" Type="http://schemas.openxmlformats.org/officeDocument/2006/relationships/footer" Target="footer123.xml" /><Relationship Id="rId99" Type="http://schemas.openxmlformats.org/officeDocument/2006/relationships/hyperlink" Target="https://advance.lexis.com/api/document?collection=cases-ca&amp;id=urn:contentItem:5F7T-S7K1-JSJC-X0SB-00000-00&amp;context=" TargetMode="External" /><Relationship Id="rId990" Type="http://schemas.openxmlformats.org/officeDocument/2006/relationships/hyperlink" Target="https://advance.lexis.com/api/document?collection=cases-ca&amp;id=urn:contentItem:5F7T-S7N1-JGHR-M37K-00000-00&amp;context=" TargetMode="External" /><Relationship Id="rId991" Type="http://schemas.openxmlformats.org/officeDocument/2006/relationships/hyperlink" Target="https://advance.lexis.com/api/document?collection=cases-ca&amp;id=urn:contentItem:5F7T-S7M1-JCRC-B1H1-00000-00&amp;context=" TargetMode="External" /><Relationship Id="rId992" Type="http://schemas.openxmlformats.org/officeDocument/2006/relationships/hyperlink" Target="https://advance.lexis.com/api/document?collection=cases-ca&amp;id=urn:contentItem:5F7T-S701-JF75-M4NY-00000-00&amp;context=" TargetMode="External" /><Relationship Id="rId993" Type="http://schemas.openxmlformats.org/officeDocument/2006/relationships/hyperlink" Target="https://advance.lexis.com/api/document?collection=cases-ca&amp;id=urn:contentItem:5F7T-S7J1-JYYX-62D7-00000-00&amp;context=" TargetMode="External" /><Relationship Id="rId994" Type="http://schemas.openxmlformats.org/officeDocument/2006/relationships/hyperlink" Target="https://advance.lexis.com/api/document?collection=cases-ca&amp;id=urn:contentItem:5F7T-S7H1-F4GK-M3DN-00000-00&amp;context=" TargetMode="External" /><Relationship Id="rId995" Type="http://schemas.openxmlformats.org/officeDocument/2006/relationships/hyperlink" Target="https://advance.lexis.com/api/document?collection=cases-ca&amp;id=urn:contentItem:5F82-1SH1-JF1Y-B2V8-00000-00&amp;context=" TargetMode="External" /><Relationship Id="rId996" Type="http://schemas.openxmlformats.org/officeDocument/2006/relationships/hyperlink" Target="https://advance.lexis.com/api/document?collection=cases-ca&amp;id=urn:contentItem:5F7T-S6X1-FJDY-X10J-00000-00&amp;context=" TargetMode="External" /><Relationship Id="rId997" Type="http://schemas.openxmlformats.org/officeDocument/2006/relationships/hyperlink" Target="https://advance.lexis.com/api/document?collection=cases-ca&amp;id=urn:contentItem:5F7T-S6Y1-JSC5-M2KH-00000-00&amp;context=" TargetMode="External" /><Relationship Id="rId998" Type="http://schemas.openxmlformats.org/officeDocument/2006/relationships/hyperlink" Target="https://advance.lexis.com/api/document?collection=cases-ca&amp;id=urn:contentItem:5F7T-S7F1-DXWW-23NB-00000-00&amp;context=" TargetMode="External" /><Relationship Id="rId999" Type="http://schemas.openxmlformats.org/officeDocument/2006/relationships/hyperlink" Target="https://advance.lexis.com/api/document?collection=cases-ca&amp;id=urn:contentItem:5F7T-S6W1-JYYX-61WY-00000-00&amp;context=" TargetMode="Externa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Grey Mortgage Investment Corp. v. Campbell &amp; Pound Ltd., [2002] B.C.J. No. 964</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115046376</vt:lpwstr>
  </property>
  <property fmtid="{D5CDD505-2E9C-101B-9397-08002B2CF9AE}" pid="3" name="LADocCount">
    <vt:i4>50</vt:i4>
  </property>
  <property fmtid="{D5CDD505-2E9C-101B-9397-08002B2CF9AE}" pid="4" name="Language">
    <vt:lpwstr>en-CA</vt:lpwstr>
  </property>
  <property fmtid="{D5CDD505-2E9C-101B-9397-08002B2CF9AE}" pid="5" name="UserPermID">
    <vt:lpwstr>urn:user:PA187417739</vt:lpwstr>
  </property>
</Properties>
</file>